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rPr>
          <w:color w:val="C1121C"/>
        </w:rPr>
        <w:t>Monitor Institucional Argentino (MIA)</w:t>
      </w:r>
    </w:p>
    <w:p>
      <w:pPr>
        <w:pStyle w:val="Subttulo"/>
      </w:pPr>
      <w:r>
        <w:t>Reporte mensual · Edición Enero 2026 — cierre definitivo</w:t>
      </w:r>
    </w:p>
    <w:p>
      <w:r>
        <w:t>Departamento de Políticas Públicas — Fundación Libertad y Progreso</w:t>
      </w:r>
    </w:p>
    <w:p>
      <w:pPr>
        <w:pStyle w:val="Ttulo1"/>
      </w:pPr>
      <w:r>
        <w:rPr>
          <w:color w:val="C1121C"/>
        </w:rPr>
        <w:t>Resumen ejecutivo</w:t>
      </w:r>
    </w:p>
    <w:p>
      <w:pPr>
        <w:jc w:val="both"/>
      </w:pPr>
      <w:r>
        <w:t xml:space="preserve">El Monitor Institucional Argentino registra en Enero 2026 un valor de </w:t>
      </w:r>
      <w:r>
        <w:rPr>
          <w:b/>
        </w:rPr>
        <w:t>56,74</w:t>
      </w:r>
      <w:r>
        <w:t xml:space="preserve"> sobre 100 (cierre definitivo). El índice sube </w:t>
      </w:r>
      <w:r>
        <w:rPr>
          <w:b/>
        </w:rPr>
        <w:t>+6,35</w:t>
      </w:r>
      <w:r>
        <w:t xml:space="preserve"> puntos respecto de Diciembre 2025 (50,39). Interanual (Enero 2025: 52,48): +4,26. El eje que más incide es </w:t>
      </w:r>
      <w:r>
        <w:rPr>
          <w:b/>
        </w:rPr>
        <w:t>Ejecutivo</w:t>
      </w:r>
      <w:r>
        <w:t xml:space="preserve"> (al alza).</w:t>
      </w:r>
    </w:p>
    <w:p>
      <w:pPr>
        <w:pStyle w:val="Ttulo1"/>
      </w:pPr>
      <w:r>
        <w:rPr>
          <w:color w:val="C1121C"/>
        </w:rPr>
        <w:t>1. MIA consolidado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329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consolid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32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2. Sub-índices por eje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530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5ej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53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3. MIA Núcleo (serie comparable)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775" cy="24436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a_nucle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4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1"/>
      </w:pPr>
      <w:r>
        <w:rPr>
          <w:color w:val="C1121C"/>
        </w:rPr>
        <w:t>4. Lectura mes a mes</w:t>
      </w:r>
    </w:p>
    <w:p>
      <w:pPr>
        <w:jc w:val="both"/>
      </w:pPr>
      <w:r>
        <w:t>Índice y sub-índices, con su peso y la variación frente a Diciembre 2025: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565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08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Peso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Dic</w:t>
            </w:r>
          </w:p>
        </w:tc>
        <w:tc>
          <w:tcPr>
            <w:tcW w:type="dxa" w:w="1485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Ene</w:t>
            </w:r>
          </w:p>
        </w:tc>
        <w:tc>
          <w:tcPr>
            <w:tcW w:type="dxa" w:w="1350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MIA (total)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50,39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56,74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+6,35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Ejecutivo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35,91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57,12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+21,21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Legislativo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56,42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56,93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+0,51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Judicial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33,94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33,84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−0,11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Prensa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76,47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75,57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−0,90</w:t>
            </w:r>
          </w:p>
        </w:tc>
      </w:tr>
      <w:tr>
        <w:tc>
          <w:tcPr>
            <w:tcW w:type="dxa" w:w="2565"/>
          </w:tcPr>
          <w:p>
            <w:pPr>
              <w:jc w:val="left"/>
            </w:pPr>
            <w:r>
              <w:rPr>
                <w:b/>
                <w:sz w:val="18"/>
              </w:rPr>
              <w:t>Banco Central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67,13</w:t>
            </w:r>
          </w:p>
        </w:tc>
        <w:tc>
          <w:tcPr>
            <w:tcW w:type="dxa" w:w="1485"/>
          </w:tcPr>
          <w:p>
            <w:pPr>
              <w:jc w:val="center"/>
            </w:pPr>
            <w:r>
              <w:rPr>
                <w:b w:val="0"/>
                <w:sz w:val="18"/>
              </w:rPr>
              <w:t>67,39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+0,27</w:t>
            </w:r>
          </w:p>
        </w:tc>
      </w:tr>
    </w:tbl>
    <w:p/>
    <w:p>
      <w:pPr>
        <w:jc w:val="both"/>
      </w:pPr>
      <w:r>
        <w:t>Principales movimientos por variable:</w:t>
      </w:r>
    </w:p>
    <w:tbl>
      <w:tblPr>
        <w:tblStyle w:val="Tablaconcuadrcula"/>
        <w:tblW w:type="auto" w:w="0"/>
        <w:tblLayout w:type="fixed"/>
        <w:tblLook w:firstColumn="1" w:firstRow="1" w:lastColumn="0" w:lastRow="0" w:noHBand="0" w:noVBand="1" w:val="04A0"/>
      </w:tblPr>
      <w:tblGrid>
        <w:gridCol w:w="1593"/>
        <w:gridCol w:w="1593"/>
        <w:gridCol w:w="1593"/>
        <w:gridCol w:w="1593"/>
        <w:gridCol w:w="1593"/>
      </w:tblGrid>
      <w:tr>
        <w:tc>
          <w:tcPr>
            <w:tcW w:type="dxa" w:w="2781"/>
            <w:shd w:val="clear" w:fill="F2DEDE"/>
          </w:tcPr>
          <w:p>
            <w:pPr>
              <w:jc w:val="left"/>
            </w:pPr>
            <w:r>
              <w:rPr>
                <w:b/>
                <w:color w:val="C1121C"/>
                <w:sz w:val="18"/>
              </w:rPr>
              <w:t>Variable</w:t>
            </w:r>
          </w:p>
        </w:tc>
        <w:tc>
          <w:tcPr>
            <w:tcW w:type="dxa" w:w="164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Eje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Dic</w:t>
            </w:r>
          </w:p>
        </w:tc>
        <w:tc>
          <w:tcPr>
            <w:tcW w:type="dxa" w:w="1138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Ene</w:t>
            </w:r>
          </w:p>
        </w:tc>
        <w:tc>
          <w:tcPr>
            <w:tcW w:type="dxa" w:w="1264"/>
            <w:shd w:val="clear" w:fill="F2DEDE"/>
          </w:tcPr>
          <w:p>
            <w:pPr>
              <w:jc w:val="center"/>
            </w:pPr>
            <w:r>
              <w:rPr>
                <w:b/>
                <w:color w:val="C1121C"/>
                <w:sz w:val="18"/>
              </w:rPr>
              <w:t>Var.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Discrecionalidad presup.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11,9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72,9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+61,0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Causas contra periodistas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Prensa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21,7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17,1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−4,6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DNU vs Leyes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Ejecutivo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19,9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17,2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−2,7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Calidad Normativa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79,0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80,1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+1,1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Acceso de la prensa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Prensa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71,5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70,8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B02020"/>
                <w:sz w:val="18"/>
              </w:rPr>
              <w:t>−0,7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Costo del Legislativo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Legislativo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84,6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85,1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+0,5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Financiamiento al Tesoro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Banco Central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84,2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84,7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+0,5</w:t>
            </w:r>
          </w:p>
        </w:tc>
      </w:tr>
      <w:tr>
        <w:tc>
          <w:tcPr>
            <w:tcW w:type="dxa" w:w="2781"/>
          </w:tcPr>
          <w:p>
            <w:pPr>
              <w:jc w:val="left"/>
            </w:pPr>
            <w:r>
              <w:rPr>
                <w:b/>
                <w:sz w:val="18"/>
              </w:rPr>
              <w:t>Letras intransferibles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sz w:val="18"/>
              </w:rPr>
              <w:t>Banco Central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67,5</w:t>
            </w:r>
          </w:p>
        </w:tc>
        <w:tc>
          <w:tcPr>
            <w:tcW w:type="dxa" w:w="1138"/>
          </w:tcPr>
          <w:p>
            <w:pPr>
              <w:jc w:val="center"/>
            </w:pPr>
            <w:r>
              <w:rPr>
                <w:b w:val="0"/>
                <w:sz w:val="18"/>
              </w:rPr>
              <w:t>67,9</w:t>
            </w:r>
          </w:p>
        </w:tc>
        <w:tc>
          <w:tcPr>
            <w:tcW w:type="dxa" w:w="1264"/>
          </w:tcPr>
          <w:p>
            <w:pPr>
              <w:jc w:val="center"/>
            </w:pPr>
            <w:r>
              <w:rPr>
                <w:b/>
                <w:color w:val="1E7A34"/>
                <w:sz w:val="18"/>
              </w:rPr>
              <w:t>+0,4</w:t>
            </w:r>
          </w:p>
        </w:tc>
      </w:tr>
    </w:tbl>
    <w:p/>
    <w:p>
      <w:pPr>
        <w:jc w:val="both"/>
      </w:pPr>
      <w:r>
        <w:t>Lectura de los datos: el movimiento del mes se explica sobre todo por Ejecutivo (+21,21), Prensa (−0,90), Legislativo (+0,51). Los principales cambios de variables figuran en la tabla anterior.</w:t>
      </w:r>
    </w:p>
    <w:p>
      <w:pPr>
        <w:pStyle w:val="Ttulo1"/>
      </w:pPr>
      <w:r>
        <w:rPr>
          <w:color w:val="C1121C"/>
        </w:rPr>
        <w:t>5. La lectura de Libertad y Progreso</w:t>
      </w:r>
    </w:p>
    <w:p>
      <w:r>
        <w:rPr>
          <w:i/>
          <w:color w:val="767676"/>
        </w:rPr>
        <w:t>[Redactar en voz institucional LyP — ver «Documentos/MIA — Prompt lectura institucional.md». Es la única sección que se escribe a mano cada mes; el resto del reporte es automático.]</w:t>
      </w:r>
    </w:p>
    <w:p>
      <w:pPr>
        <w:pStyle w:val="Ttulo1"/>
      </w:pPr>
      <w:r>
        <w:rPr>
          <w:color w:val="C1121C"/>
        </w:rPr>
        <w:t>Nota metodológica</w:t>
      </w:r>
    </w:p>
    <w:p>
      <w:r>
        <w:rPr>
          <w:i/>
          <w:color w:val="767676"/>
          <w:sz w:val="17"/>
        </w:rPr>
        <w:t>El MIA es un índice mensual de 0 a 100, determinístico y auditable, construido con dato duro oficial (sin IA en el valor publicado). Combina 18 variables en cinco ejes con pesos fijos (Ejecutivo 30%, Legislativo 20%, Judicial 20%, Prensa 15%, Banco Central 15%), normalizadas por anclaje al ideal y suavizadas con media móvil de 12 meses. Se publica desde enero de 2024. El mes en curso sale provisional; los meses cerrados quedan congelados en el histórico maestro.</w:t>
      </w:r>
    </w:p>
    <w:sectPr w:rsidR="00A53109">
      <w:headerReference w:type="default" r:id="rId8"/>
      <w:footerReference w:type="default" r:id="rId9"/>
      <w:pgSz w:w="12240" w:h="15840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E54C" w14:textId="77777777" w:rsidR="00F77CBB" w:rsidRDefault="00F77CBB">
      <w:pPr>
        <w:spacing w:after="0" w:line="240" w:lineRule="auto"/>
      </w:pPr>
      <w:r>
        <w:separator/>
      </w:r>
    </w:p>
  </w:endnote>
  <w:endnote w:type="continuationSeparator" w:id="0">
    <w:p w14:paraId="67B6C11F" w14:textId="77777777" w:rsidR="00F77CBB" w:rsidRDefault="00F7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CB4" w14:textId="733605CD" w:rsidR="00EB67EE" w:rsidRPr="00FF3475" w:rsidRDefault="009D36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eastAsia="Montserrat" w:hAnsi="Open Sans" w:cs="Open Sans"/>
        <w:b/>
        <w:color w:val="C00000"/>
      </w:rPr>
      <w:fldChar w:fldCharType="begin"/>
    </w:r>
    <w:r w:rsidRPr="00FF3475">
      <w:rPr>
        <w:rFonts w:ascii="Open Sans" w:eastAsia="Montserrat" w:hAnsi="Open Sans" w:cs="Open Sans"/>
        <w:b/>
        <w:color w:val="C00000"/>
      </w:rPr>
      <w:instrText>PAGE</w:instrText>
    </w:r>
    <w:r w:rsidRPr="00FF3475">
      <w:rPr>
        <w:rFonts w:ascii="Open Sans" w:eastAsia="Montserrat" w:hAnsi="Open Sans" w:cs="Open Sans"/>
        <w:b/>
        <w:color w:val="C00000"/>
      </w:rPr>
      <w:fldChar w:fldCharType="separate"/>
    </w:r>
    <w:r w:rsidR="00396BD4">
      <w:rPr>
        <w:rFonts w:ascii="Open Sans" w:eastAsia="Montserrat" w:hAnsi="Open Sans" w:cs="Open Sans"/>
        <w:b/>
        <w:noProof/>
        <w:color w:val="C00000"/>
      </w:rPr>
      <w:t>7</w:t>
    </w:r>
    <w:r w:rsidRPr="00FF3475">
      <w:rPr>
        <w:rFonts w:ascii="Open Sans" w:eastAsia="Montserrat" w:hAnsi="Open Sans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0E22" w14:textId="77777777" w:rsidR="00F77CBB" w:rsidRDefault="00F77CBB">
      <w:pPr>
        <w:spacing w:after="0" w:line="240" w:lineRule="auto"/>
      </w:pPr>
      <w:r>
        <w:separator/>
      </w:r>
    </w:p>
  </w:footnote>
  <w:footnote w:type="continuationSeparator" w:id="0">
    <w:p w14:paraId="0275C1B3" w14:textId="77777777" w:rsidR="00F77CBB" w:rsidRDefault="00F7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80E3" w14:textId="0C90D586" w:rsidR="00EB67EE" w:rsidRPr="00203170" w:rsidRDefault="00203170" w:rsidP="00203170">
    <w:pPr>
      <w:pBdr>
        <w:bottom w:val="single" w:sz="8" w:space="1" w:color="7F7F7F" w:themeColor="text1" w:themeTint="80"/>
      </w:pBdr>
      <w:jc w:val="both"/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B9CC4" id="Rectángulo 13" o:spid="_x0000_s1026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 fillcolor="#db0032" stroked="f" strokeweight="2pt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  <w:t xml:space="preserve">         </w:t>
    </w:r>
    <w:r w:rsidR="0035502A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Enero 2026</w:t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9D36B3">
      <w:rPr>
        <w:noProof/>
        <w:lang w:val="es-419" w:eastAsia="es-419"/>
      </w:rPr>
    </w:r>
    <w:r w:rsidR="00810E02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627A"/>
    <w:rsid w:val="000F2E96"/>
    <w:rsid w:val="001037BA"/>
    <w:rsid w:val="00103C02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87C91"/>
    <w:rsid w:val="00297862"/>
    <w:rsid w:val="002A69D7"/>
    <w:rsid w:val="002A7DE5"/>
    <w:rsid w:val="002B5899"/>
    <w:rsid w:val="002C38B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D238F6"/>
    <w:rsid w:val="00D24284"/>
    <w:rsid w:val="00D57E00"/>
    <w:rsid w:val="00D71056"/>
    <w:rsid w:val="00D76C53"/>
    <w:rsid w:val="00D806F2"/>
    <w:rsid w:val="00DC1563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customStyle="1" w:styleId="Textonotapie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franco1 marconi</cp:lastModifiedBy>
  <cp:revision>12</cp:revision>
  <cp:lastPrinted>2024-09-12T19:30:00Z</cp:lastPrinted>
  <dcterms:created xsi:type="dcterms:W3CDTF">2024-09-17T17:58:00Z</dcterms:created>
  <dcterms:modified xsi:type="dcterms:W3CDTF">2026-01-27T13:39:00Z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