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4" w:before="60"/>
      </w:pPr>
      <w:r>
        <w:rPr>
          <w:rFonts w:ascii="Open Sans" w:cs="Open Sans" w:eastAsia="Open Sans" w:hAnsi="Open Sans"/>
          <w:b/>
          <w:bCs/>
          <w:color w:val="C1121C"/>
          <w:sz w:val="34"/>
          <w:szCs w:val="34"/>
        </w:rPr>
        <w:t xml:space="preserve">Application Templeton — Monitor Institucional Argentino (MIA)</w:t>
      </w:r>
    </w:p>
    <w:p>
      <w:pPr>
        <w:spacing w:after="6"/>
      </w:pPr>
      <w:r>
        <w:rPr>
          <w:rFonts w:ascii="Open Sans" w:cs="Open Sans" w:eastAsia="Open Sans" w:hAnsi="Open Sans"/>
          <w:color w:val="404040"/>
          <w:sz w:val="18"/>
          <w:szCs w:val="18"/>
        </w:rPr>
        <w:t xml:space="preserve">John Templeton Foundation · Individual Freedom &amp; Free Markets · Online Funding Inquiry (OFI)</w:t>
      </w:r>
    </w:p>
    <w:p>
      <w:pPr>
        <w:spacing w:after="160"/>
      </w:pPr>
      <w:r>
        <w:rPr>
          <w:rFonts w:ascii="Open Sans" w:cs="Open Sans" w:eastAsia="Open Sans" w:hAnsi="Open Sans"/>
          <w:color w:val="767676"/>
          <w:sz w:val="16"/>
          <w:szCs w:val="16"/>
        </w:rPr>
        <w:t xml:space="preserve">Fundación Libertad y Progreso — Departamento de Políticas Públicas · Borrador de trabajo</w:t>
      </w:r>
    </w:p>
    <w:p>
      <w:pPr>
        <w:pBdr>
          <w:left w:val="single" w:color="C1121C" w:sz="18" w:space="6"/>
        </w:pBdr>
        <w:shd w:fill="FCEAEA" w:color="auto" w:val="clear"/>
        <w:spacing w:after="160" w:line="260"/>
      </w:pPr>
      <w:r>
        <w:rPr>
          <w:rFonts w:ascii="Open Sans" w:cs="Open Sans" w:eastAsia="Open Sans" w:hAnsi="Open Sans"/>
          <w:color w:val="404040"/>
          <w:sz w:val="18"/>
          <w:szCs w:val="18"/>
        </w:rPr>
        <w:t xml:space="preserve">Foco en construir el índice para Argentina (sin expansión internacional), con servidor local de IP argentina y el encuadre de nowcast: variaciones de calidad institucional casi en vivo. Respuestas en inglés (el portal es en inglés); el conteo de caracteres está bajo cada respuesta.</w:t>
      </w:r>
    </w:p>
    <w:p>
      <w:pPr>
        <w:pBdr>
          <w:bottom w:val="single" w:color="C1121C" w:sz="6" w:space="2"/>
        </w:pBdr>
        <w:spacing w:after="40" w:before="240"/>
      </w:pPr>
      <w:r>
        <w:rPr>
          <w:rFonts w:ascii="Open Sans" w:cs="Open Sans" w:eastAsia="Open Sans" w:hAnsi="Open Sans"/>
          <w:b/>
          <w:bCs/>
          <w:color w:val="C1121C"/>
          <w:sz w:val="24"/>
          <w:szCs w:val="24"/>
        </w:rPr>
        <w:t xml:space="preserve">1. Project Title</w:t>
      </w:r>
    </w:p>
    <w:p>
      <w:pPr>
        <w:spacing w:after="60" w:line="262"/>
        <w:jc w:val="both"/>
      </w:pPr>
      <w:r>
        <w:rPr>
          <w:rFonts w:ascii="Open Sans" w:cs="Open Sans" w:eastAsia="Open Sans" w:hAnsi="Open Sans"/>
          <w:color w:val="404040"/>
          <w:sz w:val="20"/>
          <w:szCs w:val="20"/>
        </w:rPr>
        <w:t xml:space="preserve">The Argentine Institutional Monitor (MIA): a hard-data nowcast of institutional quality and limits on State power</w:t>
      </w:r>
    </w:p>
    <w:p>
      <w:pPr>
        <w:spacing w:after="120" w:before="20"/>
      </w:pPr>
      <w:r>
        <w:rPr>
          <w:rFonts w:ascii="Open Sans" w:cs="Open Sans" w:eastAsia="Open Sans" w:hAnsi="Open Sans"/>
          <w:i/>
          <w:iCs/>
          <w:color w:val="767676"/>
          <w:sz w:val="16"/>
          <w:szCs w:val="16"/>
        </w:rPr>
        <w:t xml:space="preserve">Caracteres: 113/150</w:t>
      </w:r>
    </w:p>
    <w:p>
      <w:pPr>
        <w:pBdr>
          <w:bottom w:val="single" w:color="C1121C" w:sz="6" w:space="2"/>
        </w:pBdr>
        <w:spacing w:after="40" w:before="240"/>
      </w:pPr>
      <w:r>
        <w:rPr>
          <w:rFonts w:ascii="Open Sans" w:cs="Open Sans" w:eastAsia="Open Sans" w:hAnsi="Open Sans"/>
          <w:b/>
          <w:bCs/>
          <w:color w:val="C1121C"/>
          <w:sz w:val="24"/>
          <w:szCs w:val="24"/>
        </w:rPr>
        <w:t xml:space="preserve">2. Executive Summary</w:t>
      </w:r>
    </w:p>
    <w:p>
      <w:pPr>
        <w:spacing w:after="60" w:line="262"/>
        <w:jc w:val="both"/>
      </w:pPr>
      <w:r>
        <w:rPr>
          <w:rFonts w:ascii="Open Sans" w:cs="Open Sans" w:eastAsia="Open Sans" w:hAnsi="Open Sans"/>
          <w:color w:val="404040"/>
          <w:sz w:val="20"/>
          <w:szCs w:val="20"/>
        </w:rPr>
        <w:t xml:space="preserve">(a) Is the Argentine State respecting the constitutional limits on its power, or eroding them? The Argentine Institutional Monitor (MIA) is designed to answer this as a monthly nowcast, with hard data, showing shifts in institutional quality almost live instead of with a year's delay. (b) We will build a pipeline that compiles 18 variables across five axes—Executive, Legislative, Judicial, Press and Central Bank—from official primary sources, normalizes each against a classical-liberal ideal of limited government, and produces a transparent 0-100 index, fully deterministic and auditable, with no AI in the published value. (c) Today the debate on institutional quality rests on annual, perception-based indices; Argentina has no timely, objective, reproducible reading of whether power is being checked here and now. (d) We will deliver a public monthly nowcast and dashboard (series back to 2024), an open methodology document, monthly reports, and an automated pipeline on a dedicated Argentine-IP server. (e) Citizens, scholars and journalists will gain an early-warning instrument that makes the respect—or violation—of constitutional limits, sound money and press freedom visible in near real time, strengthening accountability.</w:t>
      </w:r>
    </w:p>
    <w:p>
      <w:pPr>
        <w:spacing w:after="120" w:before="20"/>
      </w:pPr>
      <w:r>
        <w:rPr>
          <w:rFonts w:ascii="Open Sans" w:cs="Open Sans" w:eastAsia="Open Sans" w:hAnsi="Open Sans"/>
          <w:i/>
          <w:iCs/>
          <w:color w:val="767676"/>
          <w:sz w:val="16"/>
          <w:szCs w:val="16"/>
        </w:rPr>
        <w:t xml:space="preserve">Caracteres: 1240/1300</w:t>
      </w:r>
    </w:p>
    <w:p>
      <w:pPr>
        <w:pBdr>
          <w:bottom w:val="single" w:color="C1121C" w:sz="6" w:space="2"/>
        </w:pBdr>
        <w:spacing w:after="40" w:before="240"/>
      </w:pPr>
      <w:r>
        <w:rPr>
          <w:rFonts w:ascii="Open Sans" w:cs="Open Sans" w:eastAsia="Open Sans" w:hAnsi="Open Sans"/>
          <w:b/>
          <w:bCs/>
          <w:color w:val="C1121C"/>
          <w:sz w:val="24"/>
          <w:szCs w:val="24"/>
        </w:rPr>
        <w:t xml:space="preserve">3. Project Description</w:t>
      </w:r>
    </w:p>
    <w:p>
      <w:pPr>
        <w:spacing w:after="60" w:line="262"/>
        <w:jc w:val="both"/>
      </w:pPr>
      <w:r>
        <w:rPr>
          <w:rFonts w:ascii="Open Sans" w:cs="Open Sans" w:eastAsia="Open Sans" w:hAnsi="Open Sans"/>
          <w:color w:val="404040"/>
          <w:sz w:val="20"/>
          <w:szCs w:val="20"/>
        </w:rPr>
        <w:t xml:space="preserve">This project will build the Argentine Institutional Monitor (MIA), a monthly nowcast of Argentina's institutional quality. The methodology is already developed and an initial prototype has been tested on Argentine data, which makes the project viable and low-risk; the grant funds turning that design into a robust, sustained public monitor.</w:t>
      </w:r>
    </w:p>
    <w:p>
      <w:pPr>
        <w:spacing w:after="60" w:line="262"/>
        <w:jc w:val="both"/>
      </w:pPr>
      <w:r>
        <w:rPr>
          <w:rFonts w:ascii="Open Sans" w:cs="Open Sans" w:eastAsia="Open Sans" w:hAnsi="Open Sans"/>
          <w:color w:val="404040"/>
          <w:sz w:val="20"/>
          <w:szCs w:val="20"/>
        </w:rPr>
        <w:t xml:space="preserve"/>
      </w:r>
    </w:p>
    <w:p>
      <w:pPr>
        <w:spacing w:after="60" w:line="262"/>
        <w:jc w:val="both"/>
      </w:pPr>
      <w:r>
        <w:rPr>
          <w:rFonts w:ascii="Open Sans" w:cs="Open Sans" w:eastAsia="Open Sans" w:hAnsi="Open Sans"/>
          <w:color w:val="404040"/>
          <w:sz w:val="20"/>
          <w:szCs w:val="20"/>
        </w:rPr>
        <w:t xml:space="preserve">WHAT IT WILL MEASURE. MIA scores republican quality on a 0-100 scale from 18 hard-data variables grouped into five axes with fixed weights: Executive (30%), Legislative (20%), Judicial (20%), Press (15%) and Central Bank (15%). Each variable captures a classical-liberal principle: rules debated in Congress rather than imposed by decree (decree-to-law ratio), budget discretion, active transparency, legislative oversight and law-making quality, judicial independence and coverage, press freedom and access to information, and monetary discipline (no monetary financing of the Treasury, respect for the central-bank charter).</w:t>
      </w:r>
    </w:p>
    <w:p>
      <w:pPr>
        <w:spacing w:after="60" w:line="262"/>
        <w:jc w:val="both"/>
      </w:pPr>
      <w:r>
        <w:rPr>
          <w:rFonts w:ascii="Open Sans" w:cs="Open Sans" w:eastAsia="Open Sans" w:hAnsi="Open Sans"/>
          <w:color w:val="404040"/>
          <w:sz w:val="20"/>
          <w:szCs w:val="20"/>
        </w:rPr>
        <w:t xml:space="preserve"/>
      </w:r>
    </w:p>
    <w:p>
      <w:pPr>
        <w:spacing w:after="60" w:line="262"/>
        <w:jc w:val="both"/>
      </w:pPr>
      <w:r>
        <w:rPr>
          <w:rFonts w:ascii="Open Sans" w:cs="Open Sans" w:eastAsia="Open Sans" w:hAnsi="Open Sans"/>
          <w:color w:val="404040"/>
          <w:sz w:val="20"/>
          <w:szCs w:val="20"/>
        </w:rPr>
        <w:t xml:space="preserve">A NOWCAST IN NEAR REAL TIME. Because it will run monthly on primary administrative acts rather than annual expert surveys, MIA works as a nowcast of institutional quality: it captures variations as they happen—a wave of decrees, a batch of judicial appointments, a shift in monetary financing—within weeks, not with the one-to-two-year lag of international indices.</w:t>
      </w:r>
    </w:p>
    <w:p>
      <w:pPr>
        <w:spacing w:after="60" w:line="262"/>
        <w:jc w:val="both"/>
      </w:pPr>
      <w:r>
        <w:rPr>
          <w:rFonts w:ascii="Open Sans" w:cs="Open Sans" w:eastAsia="Open Sans" w:hAnsi="Open Sans"/>
          <w:color w:val="404040"/>
          <w:sz w:val="20"/>
          <w:szCs w:val="20"/>
        </w:rPr>
        <w:t xml:space="preserve"/>
      </w:r>
    </w:p>
    <w:p>
      <w:pPr>
        <w:spacing w:after="60" w:line="262"/>
        <w:jc w:val="both"/>
      </w:pPr>
      <w:r>
        <w:rPr>
          <w:rFonts w:ascii="Open Sans" w:cs="Open Sans" w:eastAsia="Open Sans" w:hAnsi="Open Sans"/>
          <w:color w:val="404040"/>
          <w:sz w:val="20"/>
          <w:szCs w:val="20"/>
        </w:rPr>
        <w:t xml:space="preserve">METHOD. Every variable is normalized by anchoring to a fixed liberal ideal (0 = worst reference, 100 = ideal), not relative to Argentina's own past, and smoothed with a 12-month moving average. The composite is a deterministic weighted average—reproducible and auditable. No AI touches the published value; anchors and weights are fixed by human decision (human-in-the-loop).</w:t>
      </w:r>
    </w:p>
    <w:p>
      <w:pPr>
        <w:spacing w:after="60" w:line="262"/>
        <w:jc w:val="both"/>
      </w:pPr>
      <w:r>
        <w:rPr>
          <w:rFonts w:ascii="Open Sans" w:cs="Open Sans" w:eastAsia="Open Sans" w:hAnsi="Open Sans"/>
          <w:color w:val="404040"/>
          <w:sz w:val="20"/>
          <w:szCs w:val="20"/>
        </w:rPr>
        <w:t xml:space="preserve"/>
      </w:r>
    </w:p>
    <w:p>
      <w:pPr>
        <w:spacing w:after="60" w:line="262"/>
        <w:jc w:val="both"/>
      </w:pPr>
      <w:r>
        <w:rPr>
          <w:rFonts w:ascii="Open Sans" w:cs="Open Sans" w:eastAsia="Open Sans" w:hAnsi="Open Sans"/>
          <w:color w:val="404040"/>
          <w:sz w:val="20"/>
          <w:szCs w:val="20"/>
        </w:rPr>
        <w:t xml:space="preserve">SOURCES. Official primary data only: the Official Gazette (BORA), budget execution (DGSIAF), the Central Bank (BCRA), judicial data (datos.jus), the access-to-information authority (AAIP), legislation (InfoLeg) and the Supreme Court (CSJN).</w:t>
      </w:r>
    </w:p>
    <w:p>
      <w:pPr>
        <w:spacing w:after="60" w:line="262"/>
        <w:jc w:val="both"/>
      </w:pPr>
      <w:r>
        <w:rPr>
          <w:rFonts w:ascii="Open Sans" w:cs="Open Sans" w:eastAsia="Open Sans" w:hAnsi="Open Sans"/>
          <w:color w:val="404040"/>
          <w:sz w:val="20"/>
          <w:szCs w:val="20"/>
        </w:rPr>
        <w:t xml:space="preserve"/>
      </w:r>
    </w:p>
    <w:p>
      <w:pPr>
        <w:spacing w:after="60" w:line="262"/>
        <w:jc w:val="both"/>
      </w:pPr>
      <w:r>
        <w:rPr>
          <w:rFonts w:ascii="Open Sans" w:cs="Open Sans" w:eastAsia="Open Sans" w:hAnsi="Open Sans"/>
          <w:color w:val="404040"/>
          <w:sz w:val="20"/>
          <w:szCs w:val="20"/>
        </w:rPr>
        <w:t xml:space="preserve">ACTIVITIES. (1) Deploy the pipeline on a dedicated server with an Argentine IP, because key official sources block foreign/datacenter IPs; this enables reliable, automated monthly closes. (2) Build and operate the Official-Gazette radars, an AI-assisted detection layer that reads the gazette daily to flag judicial appointments and removals and central-bank leadership changes, feeding a live judicial-vacancy roster. Here machine intelligence supports the project while the index itself stays fully deterministic. (3) Run monthly quality-assurance checks (data freshness, anomalies) that notify but never overwrite human review. (4) Publish the monthly index, the five sub-indices and a public dashboard, with reports in the institutional voice of Libertad y Progreso. (5) Publish an open methodology document so any third party can audit or replicate the index. (6) Disseminate to press, academia and the general public.</w:t>
      </w:r>
    </w:p>
    <w:p>
      <w:pPr>
        <w:spacing w:after="60" w:line="262"/>
        <w:jc w:val="both"/>
      </w:pPr>
      <w:r>
        <w:rPr>
          <w:rFonts w:ascii="Open Sans" w:cs="Open Sans" w:eastAsia="Open Sans" w:hAnsi="Open Sans"/>
          <w:color w:val="404040"/>
          <w:sz w:val="20"/>
          <w:szCs w:val="20"/>
        </w:rPr>
        <w:t xml:space="preserve"/>
      </w:r>
    </w:p>
    <w:p>
      <w:pPr>
        <w:spacing w:after="60" w:line="262"/>
        <w:jc w:val="both"/>
      </w:pPr>
      <w:r>
        <w:rPr>
          <w:rFonts w:ascii="Open Sans" w:cs="Open Sans" w:eastAsia="Open Sans" w:hAnsi="Open Sans"/>
          <w:color w:val="404040"/>
          <w:sz w:val="20"/>
          <w:szCs w:val="20"/>
        </w:rPr>
        <w:t xml:space="preserve">WHY NOW. Argentina is living an intense debate over the limits of presidential power, judicial vacancies and central-bank independence. A monthly, objective, primary-source nowcast turns that debate from opinion into measurement and makes the erosion or strengthening of institutional limits visible in near real time.</w:t>
      </w:r>
    </w:p>
    <w:p>
      <w:pPr>
        <w:spacing w:after="60" w:line="262"/>
        <w:jc w:val="both"/>
      </w:pPr>
      <w:r>
        <w:rPr>
          <w:rFonts w:ascii="Open Sans" w:cs="Open Sans" w:eastAsia="Open Sans" w:hAnsi="Open Sans"/>
          <w:color w:val="404040"/>
          <w:sz w:val="20"/>
          <w:szCs w:val="20"/>
        </w:rPr>
        <w:t xml:space="preserve"/>
      </w:r>
    </w:p>
    <w:p>
      <w:pPr>
        <w:spacing w:after="60" w:line="262"/>
        <w:jc w:val="both"/>
      </w:pPr>
      <w:r>
        <w:rPr>
          <w:rFonts w:ascii="Open Sans" w:cs="Open Sans" w:eastAsia="Open Sans" w:hAnsi="Open Sans"/>
          <w:color w:val="404040"/>
          <w:sz w:val="20"/>
          <w:szCs w:val="20"/>
        </w:rPr>
        <w:t xml:space="preserve">SCOPE. This project focuses on Argentina and the index as conceived for it today. It funds measurement and research, not advocacy: MIA measures institutions, it does not campaign for or against any policy or official.</w:t>
      </w:r>
    </w:p>
    <w:p>
      <w:pPr>
        <w:spacing w:after="120" w:before="20"/>
      </w:pPr>
      <w:r>
        <w:rPr>
          <w:rFonts w:ascii="Open Sans" w:cs="Open Sans" w:eastAsia="Open Sans" w:hAnsi="Open Sans"/>
          <w:i/>
          <w:iCs/>
          <w:color w:val="767676"/>
          <w:sz w:val="16"/>
          <w:szCs w:val="16"/>
        </w:rPr>
        <w:t xml:space="preserve">Caracteres: 3419/4000</w:t>
      </w:r>
    </w:p>
    <w:p>
      <w:pPr>
        <w:pBdr>
          <w:bottom w:val="single" w:color="C1121C" w:sz="6" w:space="2"/>
        </w:pBdr>
        <w:spacing w:after="40" w:before="240"/>
      </w:pPr>
      <w:r>
        <w:rPr>
          <w:rFonts w:ascii="Open Sans" w:cs="Open Sans" w:eastAsia="Open Sans" w:hAnsi="Open Sans"/>
          <w:b/>
          <w:bCs/>
          <w:color w:val="C1121C"/>
          <w:sz w:val="24"/>
          <w:szCs w:val="24"/>
        </w:rPr>
        <w:t xml:space="preserve">4. Statement of Significance</w:t>
      </w:r>
    </w:p>
    <w:p>
      <w:pPr>
        <w:spacing w:after="60" w:line="262"/>
        <w:jc w:val="both"/>
      </w:pPr>
      <w:r>
        <w:rPr>
          <w:rFonts w:ascii="Open Sans" w:cs="Open Sans" w:eastAsia="Open Sans" w:hAnsi="Open Sans"/>
          <w:color w:val="404040"/>
          <w:sz w:val="20"/>
          <w:szCs w:val="20"/>
        </w:rPr>
        <w:t xml:space="preserve">Institutional quality is mostly measured by valuable but annual, perception-based indices (V-Dem, World Justice Project, Open Budget, RSF). They are slow and subjective, and none tracks Argentina month by month from primary administrative acts. Meanwhile Argentina faces defining disputes over the limits of power: rule by decree versus by Congress, judicial vacancies and coverage, central-bank independence and the financing of the Treasury, and press freedom. Citizens and scholars lack a timely, objective, reproducible gauge of whether the State is respecting or eroding the checks that define a republic. The opportunity: MIA is designed to compute this monthly, as a hard-data nowcast that would show institutional-quality variations almost live, anchored to a classical-liberal ideal of limited government and fully auditable (no AI in the value). Building it on a stable Argentine-IP server and publishing it openly would turn a viable design into a public good—a live early-warning instrument for the health of the institutions that protect liberty.</w:t>
      </w:r>
    </w:p>
    <w:p>
      <w:pPr>
        <w:spacing w:after="120" w:before="20"/>
      </w:pPr>
      <w:r>
        <w:rPr>
          <w:rFonts w:ascii="Open Sans" w:cs="Open Sans" w:eastAsia="Open Sans" w:hAnsi="Open Sans"/>
          <w:i/>
          <w:iCs/>
          <w:color w:val="767676"/>
          <w:sz w:val="16"/>
          <w:szCs w:val="16"/>
        </w:rPr>
        <w:t xml:space="preserve">Caracteres: 1059/1300</w:t>
      </w:r>
    </w:p>
    <w:p>
      <w:pPr>
        <w:pBdr>
          <w:bottom w:val="single" w:color="C1121C" w:sz="6" w:space="2"/>
        </w:pBdr>
        <w:spacing w:after="40" w:before="240"/>
      </w:pPr>
      <w:r>
        <w:rPr>
          <w:rFonts w:ascii="Open Sans" w:cs="Open Sans" w:eastAsia="Open Sans" w:hAnsi="Open Sans"/>
          <w:b/>
          <w:bCs/>
          <w:color w:val="C1121C"/>
          <w:sz w:val="24"/>
          <w:szCs w:val="24"/>
        </w:rPr>
        <w:t xml:space="preserve">5. Outputs</w:t>
      </w:r>
    </w:p>
    <w:p>
      <w:pPr>
        <w:spacing w:after="60" w:line="262"/>
        <w:jc w:val="both"/>
      </w:pPr>
      <w:r>
        <w:rPr>
          <w:rFonts w:ascii="Open Sans" w:cs="Open Sans" w:eastAsia="Open Sans" w:hAnsi="Open Sans"/>
          <w:color w:val="404040"/>
          <w:sz w:val="20"/>
          <w:szCs w:val="20"/>
        </w:rPr>
        <w:t xml:space="preserve">- A public monthly nowcast of institutional quality: a 0-100 index and five sub-indices (Executive, Legislative, Judicial, Press, Central Bank), with the series computed back to January 2024.</w:t>
      </w:r>
    </w:p>
    <w:p>
      <w:pPr>
        <w:spacing w:after="60" w:line="262"/>
        <w:jc w:val="both"/>
      </w:pPr>
      <w:r>
        <w:rPr>
          <w:rFonts w:ascii="Open Sans" w:cs="Open Sans" w:eastAsia="Open Sans" w:hAnsi="Open Sans"/>
          <w:color w:val="404040"/>
          <w:sz w:val="20"/>
          <w:szCs w:val="20"/>
        </w:rPr>
        <w:t xml:space="preserve">- A public online dashboard showing the series and each month's movements.</w:t>
      </w:r>
    </w:p>
    <w:p>
      <w:pPr>
        <w:spacing w:after="60" w:line="262"/>
        <w:jc w:val="both"/>
      </w:pPr>
      <w:r>
        <w:rPr>
          <w:rFonts w:ascii="Open Sans" w:cs="Open Sans" w:eastAsia="Open Sans" w:hAnsi="Open Sans"/>
          <w:color w:val="404040"/>
          <w:sz w:val="20"/>
          <w:szCs w:val="20"/>
        </w:rPr>
        <w:t xml:space="preserve">- An automated data pipeline on a dedicated Argentine-IP server, plus the Official-Gazette radars operating in the cloud.</w:t>
      </w:r>
    </w:p>
    <w:p>
      <w:pPr>
        <w:spacing w:after="60" w:line="262"/>
        <w:jc w:val="both"/>
      </w:pPr>
      <w:r>
        <w:rPr>
          <w:rFonts w:ascii="Open Sans" w:cs="Open Sans" w:eastAsia="Open Sans" w:hAnsi="Open Sans"/>
          <w:color w:val="404040"/>
          <w:sz w:val="20"/>
          <w:szCs w:val="20"/>
        </w:rPr>
        <w:t xml:space="preserve">- An open methodology document enabling third-party audit and replication.</w:t>
      </w:r>
    </w:p>
    <w:p>
      <w:pPr>
        <w:spacing w:after="60" w:line="262"/>
        <w:jc w:val="both"/>
      </w:pPr>
      <w:r>
        <w:rPr>
          <w:rFonts w:ascii="Open Sans" w:cs="Open Sans" w:eastAsia="Open Sans" w:hAnsi="Open Sans"/>
          <w:color w:val="404040"/>
          <w:sz w:val="20"/>
          <w:szCs w:val="20"/>
        </w:rPr>
        <w:t xml:space="preserve">- Monthly institutional reports interpreting the index.</w:t>
      </w:r>
    </w:p>
    <w:p>
      <w:pPr>
        <w:spacing w:after="60" w:line="262"/>
        <w:jc w:val="both"/>
      </w:pPr>
      <w:r>
        <w:rPr>
          <w:rFonts w:ascii="Open Sans" w:cs="Open Sans" w:eastAsia="Open Sans" w:hAnsi="Open Sans"/>
          <w:color w:val="404040"/>
          <w:sz w:val="20"/>
          <w:szCs w:val="20"/>
        </w:rPr>
        <w:t xml:space="preserve">- A quality-assurance system (freshness and anomaly alerts) with human review.</w:t>
      </w:r>
    </w:p>
    <w:p>
      <w:pPr>
        <w:spacing w:after="120" w:before="20"/>
      </w:pPr>
      <w:r>
        <w:rPr>
          <w:rFonts w:ascii="Open Sans" w:cs="Open Sans" w:eastAsia="Open Sans" w:hAnsi="Open Sans"/>
          <w:i/>
          <w:iCs/>
          <w:color w:val="767676"/>
          <w:sz w:val="16"/>
          <w:szCs w:val="16"/>
        </w:rPr>
        <w:t xml:space="preserve">Caracteres: 598/1300</w:t>
      </w:r>
    </w:p>
    <w:p>
      <w:pPr>
        <w:pBdr>
          <w:bottom w:val="single" w:color="C1121C" w:sz="6" w:space="2"/>
        </w:pBdr>
        <w:spacing w:after="40" w:before="240"/>
      </w:pPr>
      <w:r>
        <w:rPr>
          <w:rFonts w:ascii="Open Sans" w:cs="Open Sans" w:eastAsia="Open Sans" w:hAnsi="Open Sans"/>
          <w:b/>
          <w:bCs/>
          <w:color w:val="C1121C"/>
          <w:sz w:val="24"/>
          <w:szCs w:val="24"/>
        </w:rPr>
        <w:t xml:space="preserve">6. Outcomes</w:t>
      </w:r>
    </w:p>
    <w:p>
      <w:pPr>
        <w:spacing w:after="60" w:line="262"/>
        <w:jc w:val="both"/>
      </w:pPr>
      <w:r>
        <w:rPr>
          <w:rFonts w:ascii="Open Sans" w:cs="Open Sans" w:eastAsia="Open Sans" w:hAnsi="Open Sans"/>
          <w:color w:val="404040"/>
          <w:sz w:val="20"/>
          <w:szCs w:val="20"/>
        </w:rPr>
        <w:t xml:space="preserve">- The MIA becomes a recognized reference on institutional quality in Argentina, cited by press, academia and the policy debate.</w:t>
      </w:r>
    </w:p>
    <w:p>
      <w:pPr>
        <w:spacing w:after="60" w:line="262"/>
        <w:jc w:val="both"/>
      </w:pPr>
      <w:r>
        <w:rPr>
          <w:rFonts w:ascii="Open Sans" w:cs="Open Sans" w:eastAsia="Open Sans" w:hAnsi="Open Sans"/>
          <w:color w:val="404040"/>
          <w:sz w:val="20"/>
          <w:szCs w:val="20"/>
        </w:rPr>
        <w:t xml:space="preserve">- Working as a nowcast, it lets backsliding or improvement in limited government, judicial coverage, sound money and press freedom be detected and discussed as it happens, not a year later.</w:t>
      </w:r>
    </w:p>
    <w:p>
      <w:pPr>
        <w:spacing w:after="60" w:line="262"/>
        <w:jc w:val="both"/>
      </w:pPr>
      <w:r>
        <w:rPr>
          <w:rFonts w:ascii="Open Sans" w:cs="Open Sans" w:eastAsia="Open Sans" w:hAnsi="Open Sans"/>
          <w:color w:val="404040"/>
          <w:sz w:val="20"/>
          <w:szCs w:val="20"/>
        </w:rPr>
        <w:t xml:space="preserve">- Public conversation shifts from opinion toward real-time measurement, strengthening accountability and the culture of checks and balances.</w:t>
      </w:r>
    </w:p>
    <w:p>
      <w:pPr>
        <w:spacing w:after="60" w:line="262"/>
        <w:jc w:val="both"/>
      </w:pPr>
      <w:r>
        <w:rPr>
          <w:rFonts w:ascii="Open Sans" w:cs="Open Sans" w:eastAsia="Open Sans" w:hAnsi="Open Sans"/>
          <w:color w:val="404040"/>
          <w:sz w:val="20"/>
          <w:szCs w:val="20"/>
        </w:rPr>
        <w:t xml:space="preserve">- The open methodology invites scrutiny and trust and equips other researchers to audit or build on it.</w:t>
      </w:r>
    </w:p>
    <w:p>
      <w:pPr>
        <w:spacing w:after="60" w:line="262"/>
        <w:jc w:val="both"/>
      </w:pPr>
      <w:r>
        <w:rPr>
          <w:rFonts w:ascii="Open Sans" w:cs="Open Sans" w:eastAsia="Open Sans" w:hAnsi="Open Sans"/>
          <w:color w:val="404040"/>
          <w:sz w:val="20"/>
          <w:szCs w:val="20"/>
        </w:rPr>
        <w:t xml:space="preserve">- A technically sustainable, automated operation that outlives the grant.</w:t>
      </w:r>
    </w:p>
    <w:p>
      <w:pPr>
        <w:spacing w:after="120" w:before="20"/>
      </w:pPr>
      <w:r>
        <w:rPr>
          <w:rFonts w:ascii="Open Sans" w:cs="Open Sans" w:eastAsia="Open Sans" w:hAnsi="Open Sans"/>
          <w:i/>
          <w:iCs/>
          <w:color w:val="767676"/>
          <w:sz w:val="16"/>
          <w:szCs w:val="16"/>
        </w:rPr>
        <w:t xml:space="preserve">Caracteres: 636/1300</w:t>
      </w:r>
    </w:p>
    <w:p>
      <w:pPr>
        <w:pBdr>
          <w:bottom w:val="single" w:color="C1121C" w:sz="6" w:space="2"/>
        </w:pBdr>
        <w:spacing w:after="40" w:before="240"/>
      </w:pPr>
      <w:r>
        <w:rPr>
          <w:rFonts w:ascii="Open Sans" w:cs="Open Sans" w:eastAsia="Open Sans" w:hAnsi="Open Sans"/>
          <w:b/>
          <w:bCs/>
          <w:color w:val="C1121C"/>
          <w:sz w:val="24"/>
          <w:szCs w:val="24"/>
        </w:rPr>
        <w:t xml:space="preserve">7. Capacity for Success</w:t>
      </w:r>
    </w:p>
    <w:p>
      <w:pPr>
        <w:spacing w:after="60" w:line="262"/>
        <w:jc w:val="both"/>
      </w:pPr>
      <w:r>
        <w:rPr>
          <w:rFonts w:ascii="Open Sans" w:cs="Open Sans" w:eastAsia="Open Sans" w:hAnsi="Open Sans"/>
          <w:color w:val="404040"/>
          <w:sz w:val="20"/>
          <w:szCs w:val="20"/>
        </w:rPr>
        <w:t xml:space="preserve">Libertad y Progreso is an established Argentine classical-liberal think tank, with recognized directors (Agustin Etchebarne, Aldo Abram, Manuel Solanet, Martin Krause, Ivan Cachanosky) and a track record of publication and media presence. The project is viable and low-risk: the methodology is already developed and an initial prototype has been tested on Argentine data, so the grant funds building it into a robust, sustained public monitor rather than a leap into the unknown. The team combines policy economists fluent in the classical-liberal tradition with data engineering able to operate the scrapers, normalization and automation. The main technical requirement—a dedicated Argentine-IP server, since official sources block foreign IPs—is well understood and directly addressed by this project.</w:t>
      </w:r>
    </w:p>
    <w:p>
      <w:pPr>
        <w:spacing w:after="120" w:before="20"/>
      </w:pPr>
      <w:r>
        <w:rPr>
          <w:rFonts w:ascii="Open Sans" w:cs="Open Sans" w:eastAsia="Open Sans" w:hAnsi="Open Sans"/>
          <w:i/>
          <w:iCs/>
          <w:color w:val="767676"/>
          <w:sz w:val="16"/>
          <w:szCs w:val="16"/>
        </w:rPr>
        <w:t xml:space="preserve">Caracteres: 803/1300</w:t>
      </w:r>
    </w:p>
    <w:p>
      <w:pPr>
        <w:pBdr>
          <w:bottom w:val="single" w:color="C1121C" w:sz="6" w:space="2"/>
        </w:pBdr>
        <w:spacing w:after="40" w:before="240"/>
      </w:pPr>
      <w:r>
        <w:rPr>
          <w:rFonts w:ascii="Open Sans" w:cs="Open Sans" w:eastAsia="Open Sans" w:hAnsi="Open Sans"/>
          <w:b/>
          <w:bCs/>
          <w:color w:val="C1121C"/>
          <w:sz w:val="24"/>
          <w:szCs w:val="24"/>
        </w:rPr>
        <w:t xml:space="preserve">8. Relation to Sir John Templeton's Donor Intent</w:t>
      </w:r>
    </w:p>
    <w:p>
      <w:pPr>
        <w:spacing w:after="60" w:line="262"/>
        <w:jc w:val="both"/>
      </w:pPr>
      <w:r>
        <w:rPr>
          <w:rFonts w:ascii="Open Sans" w:cs="Open Sans" w:eastAsia="Open Sans" w:hAnsi="Open Sans"/>
          <w:color w:val="404040"/>
          <w:sz w:val="20"/>
          <w:szCs w:val="20"/>
        </w:rPr>
        <w:t xml:space="preserve">The project sits squarely in the Foundation's Individual Freedom &amp; Free Markets area. MIA will measure, with hard data and in near real time, the institutions that classical liberal political economy holds essential to a free society: limited and decentralized government, checks and balances, the rule of law, private property and sound money, and a free press. By turning the respect—or erosion—of these liberty-protecting institutions into a monthly nowcast that is public and auditable, it advances individual freedom and free markets and the open, evidence-based inquiry Sir John Templeton championed. It is measurement and research, not lobbying: it informs citizens rather than campaigning, helping a free society hold power to account.</w:t>
      </w:r>
    </w:p>
    <w:p>
      <w:pPr>
        <w:spacing w:after="120" w:before="20"/>
      </w:pPr>
      <w:r>
        <w:rPr>
          <w:rFonts w:ascii="Open Sans" w:cs="Open Sans" w:eastAsia="Open Sans" w:hAnsi="Open Sans"/>
          <w:i/>
          <w:iCs/>
          <w:color w:val="767676"/>
          <w:sz w:val="16"/>
          <w:szCs w:val="16"/>
        </w:rPr>
        <w:t xml:space="preserve">Caracteres: 743/1000</w:t>
      </w:r>
    </w:p>
    <w:p>
      <w:pPr>
        <w:pBdr>
          <w:bottom w:val="single" w:color="C1121C" w:sz="6" w:space="2"/>
        </w:pBdr>
        <w:spacing w:after="40" w:before="240"/>
      </w:pPr>
      <w:r>
        <w:rPr>
          <w:rFonts w:ascii="Open Sans" w:cs="Open Sans" w:eastAsia="Open Sans" w:hAnsi="Open Sans"/>
          <w:b/>
          <w:bCs/>
          <w:color w:val="C1121C"/>
          <w:sz w:val="24"/>
          <w:szCs w:val="24"/>
        </w:rPr>
        <w:t xml:space="preserve">9. Project Relationship to Previous Grants</w:t>
      </w:r>
    </w:p>
    <w:p>
      <w:pPr>
        <w:spacing w:after="110" w:line="258"/>
      </w:pPr>
      <w:r>
        <w:rPr>
          <w:rFonts w:ascii="Open Sans" w:cs="Open Sans" w:eastAsia="Open Sans" w:hAnsi="Open Sans"/>
          <w:color w:val="404040"/>
          <w:sz w:val="20"/>
          <w:szCs w:val="20"/>
        </w:rPr>
        <w:t xml:space="preserve">No. Libertad y Progreso no ha recibido subsidios de la John Templeton Foundation, el Templeton World Charity Foundation ni el Templeton Religion Trust.</w:t>
      </w:r>
    </w:p>
    <w:p>
      <w:pPr>
        <w:pBdr>
          <w:bottom w:val="single" w:color="C1121C" w:sz="6" w:space="2"/>
        </w:pBdr>
        <w:spacing w:after="40" w:before="240"/>
      </w:pPr>
      <w:r>
        <w:rPr>
          <w:rFonts w:ascii="Open Sans" w:cs="Open Sans" w:eastAsia="Open Sans" w:hAnsi="Open Sans"/>
          <w:b/>
          <w:bCs/>
          <w:color w:val="C1121C"/>
          <w:sz w:val="24"/>
          <w:szCs w:val="24"/>
        </w:rPr>
        <w:t xml:space="preserve">10. Proposed Project Start Date</w:t>
      </w:r>
    </w:p>
    <w:p>
      <w:pPr>
        <w:spacing w:after="110" w:line="258"/>
      </w:pPr>
      <w:r>
        <w:rPr>
          <w:rFonts w:ascii="Open Sans" w:cs="Open Sans" w:eastAsia="Open Sans" w:hAnsi="Open Sans"/>
          <w:color w:val="404040"/>
          <w:sz w:val="20"/>
          <w:szCs w:val="20"/>
        </w:rPr>
        <w:t xml:space="preserve">September 1, 2027.</w:t>
      </w:r>
    </w:p>
    <w:p>
      <w:pPr>
        <w:pBdr>
          <w:bottom w:val="single" w:color="C1121C" w:sz="6" w:space="2"/>
        </w:pBdr>
        <w:spacing w:after="40" w:before="240"/>
      </w:pPr>
      <w:r>
        <w:rPr>
          <w:rFonts w:ascii="Open Sans" w:cs="Open Sans" w:eastAsia="Open Sans" w:hAnsi="Open Sans"/>
          <w:b/>
          <w:bCs/>
          <w:color w:val="C1121C"/>
          <w:sz w:val="24"/>
          <w:szCs w:val="24"/>
        </w:rPr>
        <w:t xml:space="preserve">11. Proposed Project End Date</w:t>
      </w:r>
    </w:p>
    <w:p>
      <w:pPr>
        <w:spacing w:after="110" w:line="258"/>
      </w:pPr>
      <w:r>
        <w:rPr>
          <w:rFonts w:ascii="Open Sans" w:cs="Open Sans" w:eastAsia="Open Sans" w:hAnsi="Open Sans"/>
          <w:color w:val="404040"/>
          <w:sz w:val="20"/>
          <w:szCs w:val="20"/>
        </w:rPr>
        <w:t xml:space="preserve">August 31, 2030 (36 months).</w:t>
      </w:r>
    </w:p>
    <w:sectPr w:rsidR="00A53109">
      <w:headerReference w:type="default" r:id="rId8"/>
      <w:footerReference w:type="default" r:id="rId9"/>
      <w:pgSz w:w="12240" w:h="15840"/>
      <w:pgMar w:top="1440" w:right="1440" w:bottom="1440" w:left="2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4E54C" w14:textId="77777777" w:rsidR="00F77CBB" w:rsidRDefault="00F77CBB">
      <w:pPr>
        <w:spacing w:after="0" w:line="240" w:lineRule="auto"/>
      </w:pPr>
      <w:r>
        <w:separator/>
      </w:r>
    </w:p>
  </w:endnote>
  <w:endnote w:type="continuationSeparator" w:id="0">
    <w:p w14:paraId="67B6C11F" w14:textId="77777777" w:rsidR="00F77CBB" w:rsidRDefault="00F77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Montserrat">
    <w:altName w:val="Times New Roman"/>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9CB4" w14:textId="733605CD" w:rsidR="00EB67EE" w:rsidRPr="00FF3475" w:rsidRDefault="009D36B3">
    <w:pPr>
      <w:pBdr>
        <w:top w:val="nil"/>
        <w:left w:val="nil"/>
        <w:bottom w:val="nil"/>
        <w:right w:val="nil"/>
        <w:between w:val="nil"/>
      </w:pBdr>
      <w:tabs>
        <w:tab w:val="center" w:pos="4252"/>
        <w:tab w:val="right" w:pos="8504"/>
      </w:tabs>
      <w:spacing w:after="0" w:line="240" w:lineRule="auto"/>
      <w:rPr>
        <w:rFonts w:ascii="Open Sans" w:hAnsi="Open Sans" w:cs="Open Sans"/>
        <w:b/>
        <w:color w:val="C00000"/>
      </w:rPr>
    </w:pPr>
    <w:r>
      <w:rPr>
        <w:color w:val="000000"/>
      </w:rPr>
      <w:t xml:space="preserve"> </w:t>
    </w:r>
    <w:r>
      <w:rPr>
        <w:b/>
        <w:color w:val="C00000"/>
      </w:rPr>
      <w:tab/>
    </w:r>
    <w:r>
      <w:rPr>
        <w:b/>
        <w:color w:val="C00000"/>
      </w:rPr>
      <w:tab/>
    </w:r>
    <w:r>
      <w:rPr>
        <w:b/>
        <w:color w:val="C00000"/>
      </w:rPr>
      <w:tab/>
    </w:r>
    <w:r w:rsidRPr="00FF3475">
      <w:rPr>
        <w:rFonts w:ascii="Open Sans" w:eastAsia="Montserrat" w:hAnsi="Open Sans" w:cs="Open Sans"/>
        <w:b/>
        <w:color w:val="C00000"/>
      </w:rPr>
      <w:fldChar w:fldCharType="begin"/>
    </w:r>
    <w:r w:rsidRPr="00FF3475">
      <w:rPr>
        <w:rFonts w:ascii="Open Sans" w:eastAsia="Montserrat" w:hAnsi="Open Sans" w:cs="Open Sans"/>
        <w:b/>
        <w:color w:val="C00000"/>
      </w:rPr>
      <w:instrText>PAGE</w:instrText>
    </w:r>
    <w:r w:rsidRPr="00FF3475">
      <w:rPr>
        <w:rFonts w:ascii="Open Sans" w:eastAsia="Montserrat" w:hAnsi="Open Sans" w:cs="Open Sans"/>
        <w:b/>
        <w:color w:val="C00000"/>
      </w:rPr>
      <w:fldChar w:fldCharType="separate"/>
    </w:r>
    <w:r w:rsidR="00396BD4">
      <w:rPr>
        <w:rFonts w:ascii="Open Sans" w:eastAsia="Montserrat" w:hAnsi="Open Sans" w:cs="Open Sans"/>
        <w:b/>
        <w:noProof/>
        <w:color w:val="C00000"/>
      </w:rPr>
      <w:t>7</w:t>
    </w:r>
    <w:r w:rsidRPr="00FF3475">
      <w:rPr>
        <w:rFonts w:ascii="Open Sans" w:eastAsia="Montserrat" w:hAnsi="Open Sans" w:cs="Open Sans"/>
        <w:b/>
        <w:color w:val="C00000"/>
      </w:rPr>
      <w:fldChar w:fldCharType="end"/>
    </w:r>
    <w:r w:rsidRPr="00FF3475">
      <w:rPr>
        <w:rFonts w:ascii="Open Sans" w:hAnsi="Open Sans" w:cs="Open Sans"/>
        <w:noProof/>
        <w:lang w:val="es-419" w:eastAsia="es-419"/>
      </w:rPr>
      <mc:AlternateContent>
        <mc:Choice Requires="wps">
          <w:drawing>
            <wp:anchor distT="0" distB="0" distL="0" distR="0" simplePos="0" relativeHeight="251661312" behindDoc="1" locked="0" layoutInCell="1" hidden="0" allowOverlap="1" wp14:anchorId="0BB5FBC9" wp14:editId="5F88F8F4">
              <wp:simplePos x="0" y="0"/>
              <wp:positionH relativeFrom="column">
                <wp:posOffset>-1876424</wp:posOffset>
              </wp:positionH>
              <wp:positionV relativeFrom="paragraph">
                <wp:posOffset>160020</wp:posOffset>
              </wp:positionV>
              <wp:extent cx="6600825" cy="704850"/>
              <wp:effectExtent l="0" t="0" r="9525" b="0"/>
              <wp:wrapNone/>
              <wp:docPr id="2" name="Rectángulo 2"/>
              <wp:cNvGraphicFramePr/>
              <a:graphic xmlns:a="http://schemas.openxmlformats.org/drawingml/2006/main">
                <a:graphicData uri="http://schemas.microsoft.com/office/word/2010/wordprocessingShape">
                  <wps:wsp>
                    <wps:cNvSpPr/>
                    <wps:spPr>
                      <a:xfrm>
                        <a:off x="0" y="0"/>
                        <a:ext cx="6600825" cy="704850"/>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-1876424</wp:posOffset>
              </wp:positionH>
              <wp:positionV relativeFrom="paragraph">
                <wp:posOffset>160020</wp:posOffset>
              </wp:positionV>
              <wp:extent cx="6610350" cy="70485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610350" cy="704850"/>
                      </a:xfrm>
                      <a:prstGeom prst="rect"/>
                      <a:ln/>
                    </pic:spPr>
                  </pic:pic>
                </a:graphicData>
              </a:graphic>
            </wp:anchor>
          </w:drawing>
        </mc:Fallback>
      </mc:AlternateContent>
    </w:r>
    <w:r w:rsidRPr="00FF3475">
      <w:rPr>
        <w:rFonts w:ascii="Open Sans" w:hAnsi="Open Sans" w:cs="Open Sans"/>
        <w:noProof/>
        <w:lang w:val="es-419" w:eastAsia="es-419"/>
      </w:rPr>
      <w:drawing>
        <wp:anchor distT="0" distB="0" distL="0" distR="0" simplePos="0" relativeHeight="251662336" behindDoc="1" locked="0" layoutInCell="1" hidden="0" allowOverlap="1" wp14:anchorId="24C3858E" wp14:editId="7BE7550D">
          <wp:simplePos x="0" y="0"/>
          <wp:positionH relativeFrom="column">
            <wp:posOffset>57150</wp:posOffset>
          </wp:positionH>
          <wp:positionV relativeFrom="paragraph">
            <wp:posOffset>360045</wp:posOffset>
          </wp:positionV>
          <wp:extent cx="4381500" cy="259644"/>
          <wp:effectExtent l="0" t="0" r="0" b="0"/>
          <wp:wrapNone/>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4381500" cy="259644"/>
                  </a:xfrm>
                  <a:prstGeom prst="rect">
                    <a:avLst/>
                  </a:prstGeom>
                  <a:ln/>
                </pic:spPr>
              </pic:pic>
            </a:graphicData>
          </a:graphic>
        </wp:anchor>
      </w:drawing>
    </w:r>
    <w:r w:rsidRPr="00FF3475">
      <w:rPr>
        <w:rFonts w:ascii="Open Sans" w:hAnsi="Open Sans" w:cs="Open Sans"/>
        <w:noProof/>
        <w:lang w:val="es-419" w:eastAsia="es-419"/>
      </w:rPr>
      <w:drawing>
        <wp:anchor distT="0" distB="0" distL="0" distR="0" simplePos="0" relativeHeight="251663360" behindDoc="1" locked="0" layoutInCell="1" hidden="0" allowOverlap="1" wp14:anchorId="74B6C3F6" wp14:editId="2288B878">
          <wp:simplePos x="0" y="0"/>
          <wp:positionH relativeFrom="column">
            <wp:posOffset>-3009899</wp:posOffset>
          </wp:positionH>
          <wp:positionV relativeFrom="paragraph">
            <wp:posOffset>-953769</wp:posOffset>
          </wp:positionV>
          <wp:extent cx="3238500" cy="2857077"/>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3238500" cy="285707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90E22" w14:textId="77777777" w:rsidR="00F77CBB" w:rsidRDefault="00F77CBB">
      <w:pPr>
        <w:spacing w:after="0" w:line="240" w:lineRule="auto"/>
      </w:pPr>
      <w:r>
        <w:separator/>
      </w:r>
    </w:p>
  </w:footnote>
  <w:footnote w:type="continuationSeparator" w:id="0">
    <w:p w14:paraId="0275C1B3" w14:textId="77777777" w:rsidR="00F77CBB" w:rsidRDefault="00F77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80E3" w14:textId="0C90D586" w:rsidR="00EB67EE" w:rsidRPr="00203170" w:rsidRDefault="00203170" w:rsidP="00203170">
    <w:pPr>
      <w:pBdr>
        <w:bottom w:val="single" w:sz="8" w:space="1" w:color="7F7F7F" w:themeColor="text1" w:themeTint="80"/>
      </w:pBdr>
      <w:jc w:val="both"/>
      <w:rPr>
        <w:rFonts w:ascii="Open Sans" w:eastAsia="Open Sans" w:hAnsi="Open Sans" w:cs="Open Sans"/>
        <w:b/>
        <w:color w:val="808080" w:themeColor="background1" w:themeShade="80"/>
        <w:sz w:val="20"/>
        <w:szCs w:val="20"/>
      </w:rPr>
    </w:pPr>
    <w:r w:rsidRPr="001F08F5">
      <w:rPr>
        <w:rFonts w:ascii="Open Sans" w:eastAsia="Open Sans" w:hAnsi="Open Sans" w:cs="Open Sans"/>
        <w:b/>
        <w:color w:val="808080" w:themeColor="background1" w:themeShade="80"/>
        <w:sz w:val="20"/>
        <w:szCs w:val="20"/>
      </w:rPr>
      <w:t>INFORME DE POLÍTICAS PÚBLICAS</w:t>
    </w:r>
    <w:r w:rsidRPr="001F08F5">
      <w:rPr>
        <w:noProof/>
        <w:sz w:val="20"/>
        <w:szCs w:val="20"/>
        <w:lang w:val="es-419" w:eastAsia="es-419"/>
      </w:rPr>
      <mc:AlternateContent>
        <mc:Choice Requires="wps">
          <w:drawing>
            <wp:anchor distT="0" distB="0" distL="114300" distR="114300" simplePos="0" relativeHeight="251665408" behindDoc="0" locked="0" layoutInCell="1" hidden="0" allowOverlap="1" wp14:anchorId="274EEB37" wp14:editId="19A256E7">
              <wp:simplePos x="0" y="0"/>
              <wp:positionH relativeFrom="column">
                <wp:posOffset>-1390649</wp:posOffset>
              </wp:positionH>
              <wp:positionV relativeFrom="paragraph">
                <wp:posOffset>-457199</wp:posOffset>
              </wp:positionV>
              <wp:extent cx="826135" cy="915035"/>
              <wp:effectExtent l="0" t="0" r="0" b="0"/>
              <wp:wrapNone/>
              <wp:docPr id="13" name="Rectángulo 13"/>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EB9CC4" id="Rectángulo 13" o:spid="_x0000_s1026" style="position:absolute;margin-left:-109.5pt;margin-top:-36pt;width:65.05pt;height:72.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" fillcolor="#db0032" stroked="f" strokeweight="2pt"/>
          </w:pict>
        </mc:Fallback>
      </mc:AlternateContent>
    </w:r>
    <w:r w:rsidRPr="001F08F5">
      <w:rPr>
        <w:noProof/>
        <w:sz w:val="20"/>
        <w:szCs w:val="20"/>
        <w:lang w:val="es-419" w:eastAsia="es-419"/>
      </w:rPr>
      <w:drawing>
        <wp:anchor distT="0" distB="0" distL="114300" distR="114300" simplePos="0" relativeHeight="251666432" behindDoc="0" locked="0" layoutInCell="1" hidden="0" allowOverlap="1" wp14:anchorId="03EC9F0F" wp14:editId="279EAC56">
          <wp:simplePos x="0" y="0"/>
          <wp:positionH relativeFrom="column">
            <wp:posOffset>-1390650</wp:posOffset>
          </wp:positionH>
          <wp:positionV relativeFrom="paragraph">
            <wp:posOffset>-304799</wp:posOffset>
          </wp:positionV>
          <wp:extent cx="827593" cy="729712"/>
          <wp:effectExtent l="0" t="0" r="0" b="0"/>
          <wp:wrapNone/>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Pr="001F08F5">
      <w:rPr>
        <w:noProof/>
        <w:sz w:val="20"/>
        <w:szCs w:val="20"/>
        <w:lang w:val="es-419" w:eastAsia="es-419"/>
      </w:rPr>
      <w:drawing>
        <wp:anchor distT="0" distB="0" distL="114300" distR="114300" simplePos="0" relativeHeight="251667456" behindDoc="0" locked="0" layoutInCell="1" hidden="0" allowOverlap="1" wp14:anchorId="0D462754" wp14:editId="575F6AF3">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15"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Pr="001F08F5">
      <w:rPr>
        <w:rFonts w:ascii="Open Sans" w:eastAsia="Open Sans" w:hAnsi="Open Sans" w:cs="Open Sans"/>
        <w:b/>
        <w:color w:val="808080" w:themeColor="background1" w:themeShade="80"/>
        <w:sz w:val="20"/>
        <w:szCs w:val="20"/>
      </w:rPr>
      <w:tab/>
    </w:r>
    <w:r w:rsidRPr="001F08F5">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t xml:space="preserve">         </w:t>
    </w:r>
    <w:r w:rsidR="0035502A">
      <w:rPr>
        <w:rFonts w:ascii="Open Sans" w:eastAsia="Open Sans" w:hAnsi="Open Sans" w:cs="Open Sans"/>
        <w:b/>
        <w:color w:val="808080" w:themeColor="background1" w:themeShade="80"/>
        <w:sz w:val="20"/>
        <w:szCs w:val="20"/>
      </w:rPr>
    </w:r>
    <w:r w:rsidRPr="001F08F5">
      <w:rPr>
        <w:rFonts w:ascii="Open Sans" w:eastAsia="Open Sans" w:hAnsi="Open Sans" w:cs="Open Sans"/>
        <w:b/>
        <w:color w:val="808080" w:themeColor="background1" w:themeShade="80"/>
        <w:sz w:val="20"/>
        <w:szCs w:val="20"/>
      </w:rPr>
    </w:r>
    <w:r w:rsidR="009D36B3">
      <w:rPr>
        <w:noProof/>
        <w:lang w:val="es-419" w:eastAsia="es-419"/>
      </w:rPr>
    </w:r>
    <w:r w:rsidR="009D36B3">
      <w:rPr>
        <w:noProof/>
        <w:lang w:val="es-419" w:eastAsia="es-419"/>
      </w:rPr>
    </w:r>
    <w:r w:rsidR="009D36B3">
      <w:rPr>
        <w:noProof/>
        <w:lang w:val="es-419" w:eastAsia="es-419"/>
      </w:rPr>
    </w:r>
    <w:r w:rsidR="00810E02">
      <w:rPr>
        <w:rFonts w:ascii="Open Sans" w:eastAsia="Open Sans" w:hAnsi="Open Sans" w:cs="Open Sans"/>
        <w:b/>
        <w:color w:val="808080" w:themeColor="background1" w:themeShade="80"/>
        <w:sz w:val="20"/>
        <w:szCs w:val="20"/>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7AEA"/>
    <w:multiLevelType w:val="hybridMultilevel"/>
    <w:tmpl w:val="8A1848D6"/>
    <w:lvl w:ilvl="0" w:tplc="580A0001">
      <w:start w:val="1"/>
      <w:numFmt w:val="bullet"/>
      <w:lvlText w:val=""/>
      <w:lvlJc w:val="left"/>
      <w:pPr>
        <w:ind w:left="2421" w:hanging="360"/>
      </w:pPr>
      <w:rPr>
        <w:rFonts w:ascii="Symbol" w:hAnsi="Symbol" w:hint="default"/>
      </w:rPr>
    </w:lvl>
    <w:lvl w:ilvl="1" w:tplc="580A0003" w:tentative="1">
      <w:start w:val="1"/>
      <w:numFmt w:val="bullet"/>
      <w:lvlText w:val="o"/>
      <w:lvlJc w:val="left"/>
      <w:pPr>
        <w:ind w:left="3141" w:hanging="360"/>
      </w:pPr>
      <w:rPr>
        <w:rFonts w:ascii="Courier New" w:hAnsi="Courier New" w:cs="Courier New" w:hint="default"/>
      </w:rPr>
    </w:lvl>
    <w:lvl w:ilvl="2" w:tplc="580A0005" w:tentative="1">
      <w:start w:val="1"/>
      <w:numFmt w:val="bullet"/>
      <w:lvlText w:val=""/>
      <w:lvlJc w:val="left"/>
      <w:pPr>
        <w:ind w:left="3861" w:hanging="360"/>
      </w:pPr>
      <w:rPr>
        <w:rFonts w:ascii="Wingdings" w:hAnsi="Wingdings" w:hint="default"/>
      </w:rPr>
    </w:lvl>
    <w:lvl w:ilvl="3" w:tplc="580A0001" w:tentative="1">
      <w:start w:val="1"/>
      <w:numFmt w:val="bullet"/>
      <w:lvlText w:val=""/>
      <w:lvlJc w:val="left"/>
      <w:pPr>
        <w:ind w:left="4581" w:hanging="360"/>
      </w:pPr>
      <w:rPr>
        <w:rFonts w:ascii="Symbol" w:hAnsi="Symbol" w:hint="default"/>
      </w:rPr>
    </w:lvl>
    <w:lvl w:ilvl="4" w:tplc="580A0003" w:tentative="1">
      <w:start w:val="1"/>
      <w:numFmt w:val="bullet"/>
      <w:lvlText w:val="o"/>
      <w:lvlJc w:val="left"/>
      <w:pPr>
        <w:ind w:left="5301" w:hanging="360"/>
      </w:pPr>
      <w:rPr>
        <w:rFonts w:ascii="Courier New" w:hAnsi="Courier New" w:cs="Courier New" w:hint="default"/>
      </w:rPr>
    </w:lvl>
    <w:lvl w:ilvl="5" w:tplc="580A0005" w:tentative="1">
      <w:start w:val="1"/>
      <w:numFmt w:val="bullet"/>
      <w:lvlText w:val=""/>
      <w:lvlJc w:val="left"/>
      <w:pPr>
        <w:ind w:left="6021" w:hanging="360"/>
      </w:pPr>
      <w:rPr>
        <w:rFonts w:ascii="Wingdings" w:hAnsi="Wingdings" w:hint="default"/>
      </w:rPr>
    </w:lvl>
    <w:lvl w:ilvl="6" w:tplc="580A0001" w:tentative="1">
      <w:start w:val="1"/>
      <w:numFmt w:val="bullet"/>
      <w:lvlText w:val=""/>
      <w:lvlJc w:val="left"/>
      <w:pPr>
        <w:ind w:left="6741" w:hanging="360"/>
      </w:pPr>
      <w:rPr>
        <w:rFonts w:ascii="Symbol" w:hAnsi="Symbol" w:hint="default"/>
      </w:rPr>
    </w:lvl>
    <w:lvl w:ilvl="7" w:tplc="580A0003" w:tentative="1">
      <w:start w:val="1"/>
      <w:numFmt w:val="bullet"/>
      <w:lvlText w:val="o"/>
      <w:lvlJc w:val="left"/>
      <w:pPr>
        <w:ind w:left="7461" w:hanging="360"/>
      </w:pPr>
      <w:rPr>
        <w:rFonts w:ascii="Courier New" w:hAnsi="Courier New" w:cs="Courier New" w:hint="default"/>
      </w:rPr>
    </w:lvl>
    <w:lvl w:ilvl="8" w:tplc="580A0005" w:tentative="1">
      <w:start w:val="1"/>
      <w:numFmt w:val="bullet"/>
      <w:lvlText w:val=""/>
      <w:lvlJc w:val="left"/>
      <w:pPr>
        <w:ind w:left="8181" w:hanging="360"/>
      </w:pPr>
      <w:rPr>
        <w:rFonts w:ascii="Wingdings" w:hAnsi="Wingdings" w:hint="default"/>
      </w:rPr>
    </w:lvl>
  </w:abstractNum>
  <w:abstractNum w:abstractNumId="1" w15:restartNumberingAfterBreak="0">
    <w:nsid w:val="14484313"/>
    <w:multiLevelType w:val="hybridMultilevel"/>
    <w:tmpl w:val="052E17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933315621">
    <w:abstractNumId w:val="0"/>
  </w:num>
  <w:num w:numId="2" w16cid:durableId="35202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EE"/>
    <w:rsid w:val="0000752D"/>
    <w:rsid w:val="0004018B"/>
    <w:rsid w:val="00055F43"/>
    <w:rsid w:val="000A20E3"/>
    <w:rsid w:val="000B7F2B"/>
    <w:rsid w:val="000C1ED9"/>
    <w:rsid w:val="000D51FA"/>
    <w:rsid w:val="000E12DE"/>
    <w:rsid w:val="000E627A"/>
    <w:rsid w:val="000F2E96"/>
    <w:rsid w:val="001037BA"/>
    <w:rsid w:val="00103C02"/>
    <w:rsid w:val="00135212"/>
    <w:rsid w:val="001472AF"/>
    <w:rsid w:val="00163E83"/>
    <w:rsid w:val="00187188"/>
    <w:rsid w:val="00191068"/>
    <w:rsid w:val="001B1201"/>
    <w:rsid w:val="001B5BBD"/>
    <w:rsid w:val="001B7C74"/>
    <w:rsid w:val="001D5AE1"/>
    <w:rsid w:val="001F510D"/>
    <w:rsid w:val="001F55AF"/>
    <w:rsid w:val="001F60CF"/>
    <w:rsid w:val="001F6740"/>
    <w:rsid w:val="00203170"/>
    <w:rsid w:val="00203E17"/>
    <w:rsid w:val="00210474"/>
    <w:rsid w:val="00226B46"/>
    <w:rsid w:val="00227578"/>
    <w:rsid w:val="00234E37"/>
    <w:rsid w:val="002378BC"/>
    <w:rsid w:val="00244C6B"/>
    <w:rsid w:val="002502A3"/>
    <w:rsid w:val="00254EE9"/>
    <w:rsid w:val="002643B5"/>
    <w:rsid w:val="00287C91"/>
    <w:rsid w:val="00297862"/>
    <w:rsid w:val="002A69D7"/>
    <w:rsid w:val="002A7DE5"/>
    <w:rsid w:val="002B5899"/>
    <w:rsid w:val="002C38B0"/>
    <w:rsid w:val="00301B78"/>
    <w:rsid w:val="00301F5B"/>
    <w:rsid w:val="0030498B"/>
    <w:rsid w:val="00310654"/>
    <w:rsid w:val="0031336F"/>
    <w:rsid w:val="00313C81"/>
    <w:rsid w:val="00316C68"/>
    <w:rsid w:val="00342D98"/>
    <w:rsid w:val="00347338"/>
    <w:rsid w:val="0035502A"/>
    <w:rsid w:val="00355147"/>
    <w:rsid w:val="00360C33"/>
    <w:rsid w:val="00377F02"/>
    <w:rsid w:val="00387088"/>
    <w:rsid w:val="00394D56"/>
    <w:rsid w:val="00396BD4"/>
    <w:rsid w:val="003A09DC"/>
    <w:rsid w:val="003A3D4B"/>
    <w:rsid w:val="003B13D1"/>
    <w:rsid w:val="003E5A50"/>
    <w:rsid w:val="003F0501"/>
    <w:rsid w:val="004058FE"/>
    <w:rsid w:val="004262D8"/>
    <w:rsid w:val="0042750F"/>
    <w:rsid w:val="00447B8B"/>
    <w:rsid w:val="00451CBE"/>
    <w:rsid w:val="0046174B"/>
    <w:rsid w:val="00463066"/>
    <w:rsid w:val="0046622E"/>
    <w:rsid w:val="00487304"/>
    <w:rsid w:val="004B753A"/>
    <w:rsid w:val="004C139B"/>
    <w:rsid w:val="004C74B5"/>
    <w:rsid w:val="004D190E"/>
    <w:rsid w:val="004D6B65"/>
    <w:rsid w:val="004D7806"/>
    <w:rsid w:val="00542027"/>
    <w:rsid w:val="005565BE"/>
    <w:rsid w:val="00560604"/>
    <w:rsid w:val="00565DFF"/>
    <w:rsid w:val="005705EB"/>
    <w:rsid w:val="0058153D"/>
    <w:rsid w:val="00581E79"/>
    <w:rsid w:val="0058325B"/>
    <w:rsid w:val="005B59F3"/>
    <w:rsid w:val="005F02A6"/>
    <w:rsid w:val="005F39F2"/>
    <w:rsid w:val="00614375"/>
    <w:rsid w:val="0065066B"/>
    <w:rsid w:val="00653E60"/>
    <w:rsid w:val="0066060A"/>
    <w:rsid w:val="006A7DBD"/>
    <w:rsid w:val="006B2BA8"/>
    <w:rsid w:val="006B6313"/>
    <w:rsid w:val="006B6F30"/>
    <w:rsid w:val="006C0527"/>
    <w:rsid w:val="006D67CE"/>
    <w:rsid w:val="00712256"/>
    <w:rsid w:val="007200EB"/>
    <w:rsid w:val="00781588"/>
    <w:rsid w:val="00784400"/>
    <w:rsid w:val="0079022C"/>
    <w:rsid w:val="00790A7E"/>
    <w:rsid w:val="007974F0"/>
    <w:rsid w:val="007B1D59"/>
    <w:rsid w:val="007E720C"/>
    <w:rsid w:val="007F0FF9"/>
    <w:rsid w:val="00807A60"/>
    <w:rsid w:val="00810E02"/>
    <w:rsid w:val="00826252"/>
    <w:rsid w:val="008351B2"/>
    <w:rsid w:val="008421F1"/>
    <w:rsid w:val="00842C6C"/>
    <w:rsid w:val="0085000F"/>
    <w:rsid w:val="00851002"/>
    <w:rsid w:val="00866B2B"/>
    <w:rsid w:val="00873D76"/>
    <w:rsid w:val="00885224"/>
    <w:rsid w:val="008908CA"/>
    <w:rsid w:val="00891D64"/>
    <w:rsid w:val="008A3E6D"/>
    <w:rsid w:val="008B3574"/>
    <w:rsid w:val="008B5D75"/>
    <w:rsid w:val="008B763B"/>
    <w:rsid w:val="008F36C3"/>
    <w:rsid w:val="009043D6"/>
    <w:rsid w:val="009078BD"/>
    <w:rsid w:val="0092318B"/>
    <w:rsid w:val="00930944"/>
    <w:rsid w:val="0095138C"/>
    <w:rsid w:val="00962CF7"/>
    <w:rsid w:val="009658BB"/>
    <w:rsid w:val="00971E54"/>
    <w:rsid w:val="009B3EA8"/>
    <w:rsid w:val="009B51E2"/>
    <w:rsid w:val="009C432F"/>
    <w:rsid w:val="009D36B3"/>
    <w:rsid w:val="00A05D49"/>
    <w:rsid w:val="00A53109"/>
    <w:rsid w:val="00A57867"/>
    <w:rsid w:val="00AC6393"/>
    <w:rsid w:val="00AD0207"/>
    <w:rsid w:val="00AD1554"/>
    <w:rsid w:val="00AE5070"/>
    <w:rsid w:val="00AE5CEE"/>
    <w:rsid w:val="00B117F0"/>
    <w:rsid w:val="00B16FC3"/>
    <w:rsid w:val="00B37EA2"/>
    <w:rsid w:val="00B63C10"/>
    <w:rsid w:val="00B66016"/>
    <w:rsid w:val="00B81215"/>
    <w:rsid w:val="00BA462B"/>
    <w:rsid w:val="00BA57FA"/>
    <w:rsid w:val="00BC36C7"/>
    <w:rsid w:val="00BD1CAE"/>
    <w:rsid w:val="00BD1DB3"/>
    <w:rsid w:val="00BE242E"/>
    <w:rsid w:val="00C17C59"/>
    <w:rsid w:val="00C208BB"/>
    <w:rsid w:val="00C460E7"/>
    <w:rsid w:val="00C50EE6"/>
    <w:rsid w:val="00C6032B"/>
    <w:rsid w:val="00C60FED"/>
    <w:rsid w:val="00C6380B"/>
    <w:rsid w:val="00C8070D"/>
    <w:rsid w:val="00CA48FD"/>
    <w:rsid w:val="00CA720F"/>
    <w:rsid w:val="00CB3634"/>
    <w:rsid w:val="00CD496B"/>
    <w:rsid w:val="00CD6E0F"/>
    <w:rsid w:val="00CE0881"/>
    <w:rsid w:val="00CE0EFF"/>
    <w:rsid w:val="00CE145E"/>
    <w:rsid w:val="00D238F6"/>
    <w:rsid w:val="00D24284"/>
    <w:rsid w:val="00D57E00"/>
    <w:rsid w:val="00D71056"/>
    <w:rsid w:val="00D76C53"/>
    <w:rsid w:val="00D806F2"/>
    <w:rsid w:val="00DC1563"/>
    <w:rsid w:val="00DE312D"/>
    <w:rsid w:val="00DF7D0B"/>
    <w:rsid w:val="00E064BC"/>
    <w:rsid w:val="00E07379"/>
    <w:rsid w:val="00E40092"/>
    <w:rsid w:val="00E41014"/>
    <w:rsid w:val="00E42106"/>
    <w:rsid w:val="00E53818"/>
    <w:rsid w:val="00E57957"/>
    <w:rsid w:val="00E92EDB"/>
    <w:rsid w:val="00EA029D"/>
    <w:rsid w:val="00EB67EE"/>
    <w:rsid w:val="00EC7D20"/>
    <w:rsid w:val="00EF1FEC"/>
    <w:rsid w:val="00F008B8"/>
    <w:rsid w:val="00F043EA"/>
    <w:rsid w:val="00F337FC"/>
    <w:rsid w:val="00F73F9F"/>
    <w:rsid w:val="00F77CBB"/>
    <w:rsid w:val="00F85134"/>
    <w:rsid w:val="00F91BB3"/>
    <w:rsid w:val="00FA3EC0"/>
    <w:rsid w:val="00FA3F93"/>
    <w:rsid w:val="00FA5AD4"/>
    <w:rsid w:val="00FB44D1"/>
    <w:rsid w:val="00FD319E"/>
    <w:rsid w:val="00FD39DB"/>
    <w:rsid w:val="00FE154F"/>
    <w:rsid w:val="00FE2A00"/>
    <w:rsid w:val="00FF3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59A47"/>
  <w15:docId w15:val="{0593A561-8F4C-4F94-9096-DF6689879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FF34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3475"/>
  </w:style>
  <w:style w:type="paragraph" w:styleId="Piedepgina">
    <w:name w:val="footer"/>
    <w:basedOn w:val="Normal"/>
    <w:link w:val="PiedepginaCar"/>
    <w:uiPriority w:val="99"/>
    <w:unhideWhenUsed/>
    <w:rsid w:val="00FF34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3475"/>
  </w:style>
  <w:style w:type="paragraph" w:styleId="Prrafodelista">
    <w:name w:val="List Paragraph"/>
    <w:basedOn w:val="Normal"/>
    <w:uiPriority w:val="34"/>
    <w:qFormat/>
    <w:rsid w:val="002A69D7"/>
    <w:pPr>
      <w:ind w:left="720"/>
      <w:contextualSpacing/>
    </w:pPr>
    <w:rPr>
      <w:rFonts w:asciiTheme="minorHAnsi" w:eastAsiaTheme="minorHAnsi" w:hAnsiTheme="minorHAnsi" w:cstheme="minorBidi"/>
      <w:lang w:val="es-ES"/>
    </w:rPr>
  </w:style>
  <w:style w:type="paragraph" w:styleId="NormalWeb">
    <w:name w:val="Normal (Web)"/>
    <w:basedOn w:val="Normal"/>
    <w:uiPriority w:val="99"/>
    <w:unhideWhenUsed/>
    <w:rsid w:val="00360C3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Refdecomentario">
    <w:name w:val="annotation reference"/>
    <w:basedOn w:val="Fuentedeprrafopredeter"/>
    <w:uiPriority w:val="99"/>
    <w:semiHidden/>
    <w:unhideWhenUsed/>
    <w:rsid w:val="00CE145E"/>
    <w:rPr>
      <w:sz w:val="16"/>
      <w:szCs w:val="16"/>
    </w:rPr>
  </w:style>
  <w:style w:type="paragraph" w:styleId="Textocomentario">
    <w:name w:val="annotation text"/>
    <w:basedOn w:val="Normal"/>
    <w:link w:val="TextocomentarioCar"/>
    <w:uiPriority w:val="99"/>
    <w:unhideWhenUsed/>
    <w:rsid w:val="00CE145E"/>
    <w:pPr>
      <w:spacing w:line="240" w:lineRule="auto"/>
    </w:pPr>
    <w:rPr>
      <w:sz w:val="20"/>
      <w:szCs w:val="20"/>
    </w:rPr>
  </w:style>
  <w:style w:type="character" w:customStyle="1" w:styleId="TextocomentarioCar">
    <w:name w:val="Texto comentario Car"/>
    <w:basedOn w:val="Fuentedeprrafopredeter"/>
    <w:link w:val="Textocomentario"/>
    <w:uiPriority w:val="99"/>
    <w:rsid w:val="00CE145E"/>
    <w:rPr>
      <w:sz w:val="20"/>
      <w:szCs w:val="20"/>
    </w:rPr>
  </w:style>
  <w:style w:type="paragraph" w:styleId="Asuntodelcomentario">
    <w:name w:val="annotation subject"/>
    <w:basedOn w:val="Textocomentario"/>
    <w:next w:val="Textocomentario"/>
    <w:link w:val="AsuntodelcomentarioCar"/>
    <w:uiPriority w:val="99"/>
    <w:semiHidden/>
    <w:unhideWhenUsed/>
    <w:rsid w:val="00CE145E"/>
    <w:rPr>
      <w:b/>
      <w:bCs/>
    </w:rPr>
  </w:style>
  <w:style w:type="character" w:customStyle="1" w:styleId="AsuntodelcomentarioCar">
    <w:name w:val="Asunto del comentario Car"/>
    <w:basedOn w:val="TextocomentarioCar"/>
    <w:link w:val="Asuntodelcomentario"/>
    <w:uiPriority w:val="99"/>
    <w:semiHidden/>
    <w:rsid w:val="00CE145E"/>
    <w:rPr>
      <w:b/>
      <w:bCs/>
      <w:sz w:val="20"/>
      <w:szCs w:val="20"/>
    </w:rPr>
  </w:style>
  <w:style w:type="paragraph" w:styleId="Revisin">
    <w:name w:val="Revision"/>
    <w:hidden/>
    <w:uiPriority w:val="99"/>
    <w:semiHidden/>
    <w:rsid w:val="004C139B"/>
    <w:pPr>
      <w:spacing w:after="0" w:line="240" w:lineRule="auto"/>
    </w:pPr>
  </w:style>
  <w:style w:type="paragraph" w:customStyle="1" w:styleId="Textonotapie1">
    <w:name w:val="Texto nota pie1"/>
    <w:basedOn w:val="Normal"/>
    <w:next w:val="Textonotapie"/>
    <w:link w:val="TextonotapieCar"/>
    <w:uiPriority w:val="99"/>
    <w:semiHidden/>
    <w:unhideWhenUsed/>
    <w:rsid w:val="00A53109"/>
    <w:pPr>
      <w:spacing w:after="0" w:line="240" w:lineRule="auto"/>
    </w:pPr>
    <w:rPr>
      <w:sz w:val="20"/>
      <w:szCs w:val="20"/>
    </w:rPr>
  </w:style>
  <w:style w:type="character" w:customStyle="1" w:styleId="TextonotapieCar">
    <w:name w:val="Texto nota pie Car"/>
    <w:basedOn w:val="Fuentedeprrafopredeter"/>
    <w:link w:val="Textonotapie1"/>
    <w:uiPriority w:val="99"/>
    <w:semiHidden/>
    <w:rsid w:val="00A53109"/>
    <w:rPr>
      <w:sz w:val="20"/>
      <w:szCs w:val="20"/>
    </w:rPr>
  </w:style>
  <w:style w:type="character" w:styleId="Refdenotaalpie">
    <w:name w:val="footnote reference"/>
    <w:basedOn w:val="Fuentedeprrafopredeter"/>
    <w:uiPriority w:val="99"/>
    <w:semiHidden/>
    <w:unhideWhenUsed/>
    <w:rsid w:val="00A53109"/>
    <w:rPr>
      <w:vertAlign w:val="superscript"/>
    </w:rPr>
  </w:style>
  <w:style w:type="character" w:customStyle="1" w:styleId="Hipervnculo1">
    <w:name w:val="Hipervínculo1"/>
    <w:basedOn w:val="Fuentedeprrafopredeter"/>
    <w:uiPriority w:val="99"/>
    <w:unhideWhenUsed/>
    <w:rsid w:val="00A53109"/>
    <w:rPr>
      <w:color w:val="0563C1"/>
      <w:u w:val="single"/>
    </w:rPr>
  </w:style>
  <w:style w:type="table" w:customStyle="1" w:styleId="Tablaconcuadrcula1">
    <w:name w:val="Tabla con cuadrícula1"/>
    <w:basedOn w:val="Tablanormal"/>
    <w:next w:val="Tablaconcuadrcula"/>
    <w:uiPriority w:val="39"/>
    <w:rsid w:val="00A53109"/>
    <w:pPr>
      <w:spacing w:after="0" w:line="240" w:lineRule="auto"/>
    </w:pPr>
    <w:rPr>
      <w:rFonts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1"/>
    <w:uiPriority w:val="99"/>
    <w:semiHidden/>
    <w:unhideWhenUsed/>
    <w:rsid w:val="00A53109"/>
    <w:pPr>
      <w:spacing w:after="0" w:line="240" w:lineRule="auto"/>
    </w:pPr>
    <w:rPr>
      <w:sz w:val="20"/>
      <w:szCs w:val="20"/>
    </w:rPr>
  </w:style>
  <w:style w:type="character" w:customStyle="1" w:styleId="TextonotapieCar1">
    <w:name w:val="Texto nota pie Car1"/>
    <w:basedOn w:val="Fuentedeprrafopredeter"/>
    <w:link w:val="Textonotapie"/>
    <w:uiPriority w:val="99"/>
    <w:semiHidden/>
    <w:rsid w:val="00A53109"/>
    <w:rPr>
      <w:sz w:val="20"/>
      <w:szCs w:val="20"/>
    </w:rPr>
  </w:style>
  <w:style w:type="table" w:styleId="Tablaconcuadrcula">
    <w:name w:val="Table Grid"/>
    <w:basedOn w:val="Tablanormal"/>
    <w:uiPriority w:val="39"/>
    <w:rsid w:val="00A53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94D56"/>
    <w:rPr>
      <w:color w:val="0000FF" w:themeColor="hyperlink"/>
      <w:u w:val="single"/>
    </w:rPr>
  </w:style>
  <w:style w:type="character" w:styleId="Mencinsinresolver">
    <w:name w:val="Unresolved Mention"/>
    <w:basedOn w:val="Fuentedeprrafopredeter"/>
    <w:uiPriority w:val="99"/>
    <w:semiHidden/>
    <w:unhideWhenUsed/>
    <w:rsid w:val="00394D56"/>
    <w:rPr>
      <w:color w:val="605E5C"/>
      <w:shd w:val="clear" w:color="auto" w:fill="E1DFDD"/>
    </w:rPr>
  </w:style>
  <w:style w:type="character" w:styleId="Hipervnculovisitado">
    <w:name w:val="FollowedHyperlink"/>
    <w:basedOn w:val="Fuentedeprrafopredeter"/>
    <w:uiPriority w:val="99"/>
    <w:semiHidden/>
    <w:unhideWhenUsed/>
    <w:rsid w:val="003F05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5922">
      <w:bodyDiv w:val="1"/>
      <w:marLeft w:val="0"/>
      <w:marRight w:val="0"/>
      <w:marTop w:val="0"/>
      <w:marBottom w:val="0"/>
      <w:divBdr>
        <w:top w:val="none" w:sz="0" w:space="0" w:color="auto"/>
        <w:left w:val="none" w:sz="0" w:space="0" w:color="auto"/>
        <w:bottom w:val="none" w:sz="0" w:space="0" w:color="auto"/>
        <w:right w:val="none" w:sz="0" w:space="0" w:color="auto"/>
      </w:divBdr>
    </w:div>
    <w:div w:id="1243760587">
      <w:bodyDiv w:val="1"/>
      <w:marLeft w:val="0"/>
      <w:marRight w:val="0"/>
      <w:marTop w:val="0"/>
      <w:marBottom w:val="0"/>
      <w:divBdr>
        <w:top w:val="none" w:sz="0" w:space="0" w:color="auto"/>
        <w:left w:val="none" w:sz="0" w:space="0" w:color="auto"/>
        <w:bottom w:val="none" w:sz="0" w:space="0" w:color="auto"/>
        <w:right w:val="none" w:sz="0" w:space="0" w:color="auto"/>
      </w:divBdr>
    </w:div>
    <w:div w:id="1670017959">
      <w:bodyDiv w:val="1"/>
      <w:marLeft w:val="0"/>
      <w:marRight w:val="0"/>
      <w:marTop w:val="0"/>
      <w:marBottom w:val="0"/>
      <w:divBdr>
        <w:top w:val="none" w:sz="0" w:space="0" w:color="auto"/>
        <w:left w:val="none" w:sz="0" w:space="0" w:color="auto"/>
        <w:bottom w:val="none" w:sz="0" w:space="0" w:color="auto"/>
        <w:right w:val="none" w:sz="0" w:space="0" w:color="auto"/>
      </w:divBdr>
    </w:div>
    <w:div w:id="2062777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02e89fd48973ec0c2be3a1f231084c52230d83df.png"/></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F3D50-7D1A-4865-BFE5-2AE2530FC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2</Words>
  <Characters>16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franco1 marconi</cp:lastModifiedBy>
  <cp:revision>12</cp:revision>
  <cp:lastPrinted>2024-09-12T19:30:00Z</cp:lastPrinted>
  <dcterms:created xsi:type="dcterms:W3CDTF">2024-09-17T17:58:00Z</dcterms:created>
  <dcterms:modified xsi:type="dcterms:W3CDTF">2026-01-27T13:39:00Z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ffc068bd2e02df4eeb8795c9e65fe78f41b55f45276d1d0e36ffc4546ebb0bd9</vt:lpwstr>
  </property>
</Properties>
</file>