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428750" cy="552450"/>
            <wp:effectExtent t="0" r="0" b="0" l="0"/>
            <wp:docPr id="1" name="logo" descr="Logo" title="Libertad y Pro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Open Sans" w:cs="Open Sans" w:eastAsia="Open Sans" w:hAnsi="Open Sans"/>
          <w:b/>
          <w:bCs/>
          <w:color w:val="C1121C"/>
          <w:sz w:val="36"/>
          <w:szCs w:val="36"/>
        </w:rPr>
        <w:t xml:space="preserve">ITR — Expansión internacional y estrategia de financiamiento</w:t>
      </w:r>
    </w:p>
    <w:p>
      <w:pPr>
        <w:spacing w:after="8"/>
      </w:pPr>
      <w:r>
        <w:rPr>
          <w:rFonts w:ascii="Open Sans" w:cs="Open Sans" w:eastAsia="Open Sans" w:hAnsi="Open Sans"/>
          <w:color w:val="404040"/>
          <w:sz w:val="20"/>
          <w:szCs w:val="20"/>
        </w:rPr>
        <w:t xml:space="preserve">Encaje con la John Templeton Foundation (Individual Freedom &amp; Free Markets) y plan de trabajo para llevar el Índice de Transparencia Republicana a otros países</w:t>
      </w:r>
    </w:p>
    <w:p>
      <w:pPr>
        <w:spacing w:after="60"/>
      </w:pPr>
      <w:r>
        <w:rPr>
          <w:rFonts w:ascii="Open Sans" w:cs="Open Sans" w:eastAsia="Open Sans" w:hAnsi="Open Sans"/>
          <w:color w:val="767676"/>
          <w:sz w:val="16"/>
          <w:szCs w:val="16"/>
        </w:rPr>
        <w:t xml:space="preserve">Departamento de Políticas Públicas — Fundación Libertad y Progreso · Documento de trabajo · Julio 2026</w:t>
      </w:r>
    </w:p>
    <w:p>
      <w:pPr>
        <w:pBdr>
          <w:left w:val="single" w:color="C1121C" w:sz="18" w:space="6"/>
        </w:pBdr>
        <w:shd w:fill="FCEAEA" w:color="auto" w:val="clear"/>
        <w:spacing w:after="140" w:before="60" w:line="262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Alerta de plazo.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ciclo 2026 de Templeton cierra la inscripción inicial (OFI) el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15 de julio de 2026, 23:59 EDT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a pocos días de la fecha de este documento. Si queremos entrar en el ciclo 2026 hay que presentar el OFI (un formulario breve) esta semana; de lo contrario, el objetivo natural es el ciclo 2027. El OFI es corto y no compromete: conviene presentarlo aunque el proyecto no esté 100% cerrado.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Resumen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Este documento reúne dos tareas que se refuerzan entre sí. Primero, dónde y cómo puede Libertad y Progreso aplicar al financiamiento de la John Templeton Foundation (JTF) en su área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Individual Freedom &amp; Free Markets (IFFM)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Segundo, un plan de trabajo para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expandir el ITR a otros países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señalando los huecos de datos y las decisiones de diseño que el equipo debe resolver. La conexión es directa: la expansión internacional del ITR es, en sí misma, el proyecto financiable que mejor encaja con la convocatoria de Templeton.</w:t>
      </w: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Parte A · Estrategia de financiamiento (John Templeton Foundation)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1. Qué financia IFFM en 2026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área Individual Freedom &amp; Free Markets financia educación, investigación y difusión que promuevan la libertad individual, los mercados libres y el emprendimiento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desde la tradición del liberalismo clásico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Para 2026 busca proyectos 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tres años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en al menos una de tres categorías: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Educational Innovations for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enseñar las ideas del liberalismo clásico a una nueva generación, con métodos actualizados y adaptados a audiencias no occidentales.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Research at the Vanguard of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investigación que ponga a la tradición liberal clásica en el centro de los debates académicos y de política pública, en diálogo con sus críticos.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Freedom Catalysts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proyectos de la sociedad civil que apliquen los principios liberales de formas nuevas y de alto impacto.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Además, la Fundación atraviesa toda su cartera en 2026 con el tema transversal de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inteligencia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(su nueva Intelligence Venture, con más de US$60 millones). Exige que los conceptos liberales clásicos —mercados y comercio libres, libertades fundamentales, propiedad privada, conocimiento disperso,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gobierno limitado (descentralización, límites constitucionales al poder)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asociaciones voluntarias, tolerancia y paz— sean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centrales, no incidentales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y valora un plan explícito de difusión a audiencias amplias y escépticas.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2. Dónde encaja el ITR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ITR mide, con dato duro y alta frecuencia, exactamente los pilares que Templeton pone en el centro: gobierno limitado, frenos y contrapesos, reglas debatidas en el Congreso y no impuestas por decreto, independencia y celeridad judicial, disciplina monetaria y libertad de prensa. Es un instrumento del liberalismo clásico aplicado a la calidad institucional. El encaje por categoría: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4200"/>
        <w:gridCol w:w="4160"/>
        <w:gridCol w:w="1000"/>
      </w:tblGrid>
      <w:tr>
        <w:trPr>
          <w:tblHeader/>
        </w:trP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Categoría Templeton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Encaje del ITR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Research at the Vanguard of Freedom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Alto: el ITR es investigación aplicada sobre backsliding democrático, post-constitucionalismo y gobierno por decreto — temas explícitos de la convocatoria.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Primaria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Freedom Catalysts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Alto: un índice público, transparente y multipaís que rinde cuentas a los gobiernos frente a estándares liberales es una “ventura” de sociedad civil.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Secundaria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Educational Innovations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Medio: el índice y su tablero sirven para enseñar análisis institucional liberal a nueva generación y audiencias de la región.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Complementaria</w:t>
            </w:r>
          </w:p>
        </w:tc>
      </w:tr>
    </w:tbl>
    <w:p>
      <w:pPr>
        <w:spacing w:after="80"/>
      </w:pPr>
    </w:p>
    <w:p>
      <w:pPr>
        <w:spacing w:after="130" w:line="262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Recomendación: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presentar bajo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Research at the Vanguard of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tópico “Institutional reform and individual responsibility” (declive democrático, populismo iliberal, post-constitucionalismo), usando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expansión internacional del ITR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como vehículo. Se declara componente de difusión (Freedom Catalyst) y educativo, pero el rasgo dominante es la investigación.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Ángulo “Inteligencia” (suma competitividad):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ITR mantiene su valor publicado 100% determinístico y auditable —sin IA—, pero se apoya en una capa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detección asistida por IA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(los radares del Boletín Oficial que identifican nombramientos, bajas y eventos institucionales, y reparación/QA de scrapers). Ese diseño —IA para detectar señales institucionales a escala, con un valor final auditable— dialoga directamente con la Intelligence Venture y con el tópico “power centralized and decentralized”.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3. Requisitos, plazos y montos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Aspecto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Qué dice Templeton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Implicancia para LyP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Elegibilidad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Financia organizaciones de caridad, dentro y fuera de EE.UU. No financia individuos ni empresas.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LyP (fundación) es elegible.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Proceso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Dos etapas: OFI breve → Full Proposal por invitación.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Primero el OFI; la propuesta completa solo si nos invitan.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Plazo 2026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OFI: 15-jul-2026. Decisión de OFI: sept–9-oct-2026. Full Proposal: 4-dic-2026. Aviso final: jul-2027.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Ventana 2026 casi cerrada (ver alerta).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Duración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Hasta 3 años (excepcionalmente 5).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Calza con un plan de expansión a 3 años.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Overhead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Máximo 15% de los costos directos.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Presupuestar indirectos ≤15%.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Co-financiamiento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No exigido a nuevos aplicantes, pero prioriza proyectos con fondos de otras fuentes.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Sumar aportes propios / de la red conviene.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Lobbying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No financia lobbying directo ni de bases, ni fuera de EE.UU.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El ITR es medición/investigación: cumple. Cuidar el encuadre (medir, no militar reformas).</w:t>
            </w:r>
          </w:p>
        </w:tc>
      </w:tr>
    </w:tbl>
    <w:p>
      <w:pPr>
        <w:spacing w:after="80"/>
      </w:pP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Sobre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montos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: Templeton no publica un rango fijo para IFFM; el umbral que usa para renovaciones (US$260.000 para grants iniciados después de 2022) sugiere que los proyectos plurianuales suelen ubicarse en el rango de seis cifras. Un proyecto regional a tres años, con equipo, infraestructura por país y subgrants a socios locales, podría plantearse en el orden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US$300.000–600.000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cifra a definir internamente antes del OFI (el formulario pide el monto solicitado). Es un valor orientativo, no una recomendación cerrada.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restricción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lobbying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es el punto fino: el ITR debe presentarse como lo que es —un instrumento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medición e investigación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que informa el debate público—, evitando lenguaje que sugiera militar o promover reformas legislativas concretas.</w:t>
      </w:r>
    </w:p>
    <w:p>
      <w:pPr>
        <w:pageBreakBefore/>
        <w:spacing w:after="0"/>
      </w:pP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Parte B · Plan de trabajo: expansión internacional del ITR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4. Por qué expandir, y contra qué nos medimos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ITR aporta algo que hoy no existe en la región: un índice de calidad republicana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mensual y construido con dato duro de fuentes primarias nacionales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Los índices internacionales de referencia —V-Dem, el Rule of Law Index del World Justice Project, el Open Budget Index del IBP, la libertad de prensa de RSF, la libertad económica de Fraser/Heritage— son valiosos pero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anuales y en buena medida basados en encuestas de percepción o paneles de expertos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La ventaja competitiva del ITR es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frecuencia mensual y la trazabilidad al acto administrativo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(un decreto, una ejecución presupuestaria, un nombramiento). Estos índices internacionales, además, nos sirven de doble apoyo: como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ancla/comparador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y como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fuente de respaldo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donde el dato primario nacional falte.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5. El desafío central: qué es universal y qué es argentino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ITR está hoy cableado a fuentes argentinas (BORA, DGSIAF, BCRA, datos.jus, InfoLeg, CSJN, AAIP). Expandir no es traducir: es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abstraer cada variable a una definición país-agnóstica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y construir un “adaptador de fuente” por país. La siguiente tabla clasifica las 18 variables por su portabilidad: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Variable (eje)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Portabilidad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Comentario / hueco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DNU vs Leyes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Todo presidencialismo tiene decretos de urgencia (medidas provisórias en Brasil, etc.); definir el equivalente.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Discrecionalidad presup.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Requiere datos de ejecución presupuestaria; granularidad dispar por país.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Transparencia / AIP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7"/>
                <w:szCs w:val="17"/>
              </w:rPr>
              <w:t xml:space="preserve">Universal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Casi todos tienen ley de acceso; medir respuestas en término.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ATN / federalismo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AR-específica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Transferencias discrecionales a provincias. Solo aplica a países federales (Brasil, México); en unitarios hay que reemplazar o excluir.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Eficacia de Control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Pedidos de informe y su respuesta; disponibilidad variable.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Calidad Normativa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Peso de normativa sustantiva vs. cosmética.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Costo del Legislativo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Datos de gasto parlamentario; a veces opacos.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Desempeño de la Corte (Jud.)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Resolución de conflictos de competencia; datos judiciales débiles casi en todos lados.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Cobertura Judicial (Jud.)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Difícil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Vacantes y subrogancias: el mayor hueco. Datos de cargos rara vez están estandarizados.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Prensa (5 variables)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Escrutinio, pauta oficial, causas a periodistas, medios estatales, acceso. La pauta oficial es un hueco frecuente; apoyarse en RSF y ONG locales.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BCRA (4 variables)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Financiamiento monetario al Tesoro, independencia y carta orgánica. Aplica donde hay banco central con datos (la mayoría).</w:t>
            </w:r>
          </w:p>
        </w:tc>
      </w:tr>
    </w:tbl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6. Países candidatos (por calidad de datos)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selección debe equilibrar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interés temático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(dónde la calidad republicana está en juego) con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factibilidad de datos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(dónde las fuentes primarias existen y son fiables). Propuesta de tres niveles, a confirmar por el equipo: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500"/>
        <w:gridCol w:w="2600"/>
        <w:gridCol w:w="15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Países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Calidad de datos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Piloto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Chile, Uruguay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7"/>
                <w:szCs w:val="17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Gaceta oficial digital, alta transparencia presupuestaria, banco central independiente y transparente, instituciones estables. Menos huecos: ideales para validar la metodología.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Escalado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Brasil, Colombia, Perú, México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Buenos datos pero más complejos: federalismo (Brasil, México), volumen normativo, calidad dispar. Alto valor regional.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Difícil / alto interés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Venezuela, Bolivia, Nicaragua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Baja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Máximo interés temático (deterioro institucional) pero fuentes escasas o manipuladas. Medibles solo con proxies internacionales, con salvedades.</w:t>
            </w:r>
          </w:p>
        </w:tc>
      </w:tr>
    </w:tbl>
    <w:p>
      <w:pPr>
        <w:spacing w:after="80"/>
      </w:pPr>
    </w:p>
    <w:p>
      <w:pPr>
        <w:spacing w:after="8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Nota: los diagnósticos de “calidad de datos” son una evaluación preliminar basada en el panorama regional; deben verificarse país por país en la Fase 1 (auditoría de fuentes), contrastando con el Open Budget Index, V-Dem y el WJP. Gacetas oficiales de referencia: Diario Oficial (Chile), IMPO (Uruguay), Diário Oficial da União (Brasil), Diario Oficial (Colombia), El Peruano (Perú), DOF (México).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7. Huecos y decisiones abiertas (para que las determinemos)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Estos son los puntos donde el diseño no se puede cerrar sin una definición del equipo. Los dejamos explícitos para decidirlos antes de arrancar: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Comparabilidad vs. fidelidad local.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¿Ancla universal (mismo “ideal” para todos los países, permite un ranking regional comparable) o ancla país-relativa (mide la trayectoria propia de cada país, más justa pero no comparable entre sí)? Es la decisión metodológica más importante.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Pesos.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¿Mantener 30/20/20/15/15 en todos los países o ajustarlos a cada arquitectura institucional?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Variables argentinas.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Qué hacer con ATN/coparticipación en países unitarios: reemplazar por un proxy de descentralización fiscal o excluir y renormalizar el eje.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Frecuencia.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sello del ITR es mensual; en variables donde un país solo publica dato anual, ¿bajamos la frecuencia de esa variable o usamos un proxy de alta frecuencia?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Dato primario vs. índices internacionales.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¿Construir todo con fuente nacional (caro, máxima fidelidad) o combinar con V-Dem/WJP/OBI donde no haya (comparable pero anual y de percepción)? Probablemente un esquema mixto con la fuente marcada por variable.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Gobernanza.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¿Equipo central de LyP que opera todo, o una red de socios locales (think tanks liberales de la región: red Atlas Network / RELIAL) que curan y validan sus fuentes? Lo segundo escala mejor y suma difusión, pero exige coordinación y control de calidad.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Geobloqueo de IP.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Como en Argentina, muchas fuentes oficiales bloquean IP del exterior; cada país puede requerir un servidor con IP local o un socio que corra el pipeline.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Principio no-IA en el valor.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Se mantiene: la IA solo se usa para adaptadores de fuente, detección de eventos y QA, nunca para el número publicado. Es también un argumento de venta ante Templeton (auditable) y ante la crítica académica.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8. Fases y cronograma (36 meses, alineado al grant)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900"/>
        <w:gridCol w:w="900"/>
        <w:gridCol w:w="41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Fase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Meses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Trabajo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0 · Generalización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1–3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Abstraer variables a definiciones país-agnósticas; arquitectura de adaptadores de fuente; política de anclas y comparabilidad.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Metodología v2 internacional + libro de códigos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1 · Piloto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3–9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Un país (Chile o Uruguay): auditoría de fuentes, mapeo, construcción, validación, socio local.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ITR-país piloto publicado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2 · Escalado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9–18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Tier 1–2 (3–4 países): adaptadores, tablero comparativo regional.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Índice regional multipaís + dashboard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3 · Consolidación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18–30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Automatización por país/socio, control de calidad, reconciliación con snapshots oficiales.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Operación estable y auditada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4 · Difusión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30–36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Publicación regional, outreach académico y de prensa, paper metodológico.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Paper + campaña de difusión (requisito Templeton)</w:t>
            </w:r>
          </w:p>
        </w:tc>
      </w:tr>
    </w:tbl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9. Riesgos principales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Datos faltantes o no comparables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el riesgo central; se mitiga con la auditoría de Fase 1 y el esquema mixto con índices internacionales de respaldo.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Dependencia de socios locales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calidad dispar; se mitiga con libro de códigos común, validación central y capacitación.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Sostenibilidad post-grant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un índice mensual exige operación continua; buscar co-financiamiento y automatización desde el día uno.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Encuadre de lobbying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mantener el ITR como medición/investigación, sin militar reformas concretas.</w:t>
      </w:r>
    </w:p>
    <w:p>
      <w:pPr>
        <w:pageBreakBefore/>
        <w:spacing w:after="0"/>
      </w:pP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Anexo · Borrador de OFI (Online Funding Inquiry)</w:t>
      </w:r>
    </w:p>
    <w:p>
      <w:pPr>
        <w:spacing w:after="8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Insumo para cargar en el portal de Templeton si decidimos entrar al ciclo 2026. Ajustar el monto y los nombres antes de enviar.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Project title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The Republican Transparency Index: a high-frequency, hard-data monitor of institutional quality across Latin America.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Category / statement of significance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Research at the Vanguard of Freedom — “Institutional reform and individual responsibility”. El proyecto lleva la medición objetiva de las instituciones del liberalismo clásico —gobierno limitado, frenos y contrapesos, imperio de la ley, moneda sana y prensa libre— al debate sobre el declive democrático y el post-constitucionalismo en América Latina.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Why is it important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debate sobre calidad institucional en la región se apoya hoy en índices anuales de percepción. El ITR ofrece una medición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mensual, determinística y auditable, trazable al acto administrativo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que permite a ciudadanos, académicos y prensa observar en tiempo casi real si un gobierno respeta o erosiona los límites al poder. Es el liberalismo clásico convertido en instrumento de rendición de cuentas.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Brief description of activities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(1) Generalizar la metodología del ITR argentino a un marco país-agnóstico; (2) construir adaptadores de fuente y publicar un índice mensual para un conjunto inicial de países latinoamericanos; (3) desarrollar un tablero público comparativo; (4) articular una red de think tanks liberales locales; (5) difundir mediante informes, prensa y un paper metodológico. Una capa de detección asistida por IA identifica eventos institucionales en los boletines oficiales, manteniendo el valor publicado 100% determinístico y auditable (vínculo con la Intelligence Venture).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People and organizations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Fundación Libertad y Progreso (Departamento de Políticas Públicas) como líder, con su equipo de datos y sus directores; socios locales de la red regional de centros de pensamiento liberales (Atlas Network / RELIAL) por país; revisores externos académicos a proponer en la Full Proposal.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Request amount / dates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A definir (orden de magnitud sugerido: US$300.000–600.000 a tres años, con overhead ≤15% y un plan de co-financiamiento propio y de la red). Duración: 36 meses.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4"/>
        <w:szCs w:val="14"/>
      </w:rPr>
      <w:t xml:space="preserve">Fundación Libertad y Progreso  ·  </w:t>
    </w:r>
    <w:r>
      <w:rPr>
        <w:rFonts w:ascii="Open Sans" w:cs="Open Sans" w:eastAsia="Open Sans" w:hAnsi="Open Sans"/>
        <w:color w:val="7676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tabs>
        <w:tab w:val="right" w:pos="9360"/>
      </w:tabs>
    </w:pPr>
    <w:r>
      <w:rPr>
        <w:rFonts w:ascii="Open Sans" w:cs="Open Sans" w:eastAsia="Open Sans" w:hAnsi="Open Sans"/>
        <w:b/>
        <w:bCs/>
        <w:color w:val="C1121C"/>
        <w:sz w:val="15"/>
        <w:szCs w:val="15"/>
      </w:rPr>
      <w:t xml:space="preserve">INFORME DE POLÍTICAS PÚBLICAS</w:t>
    </w:r>
    <w:r>
      <w:rPr>
        <w:rFonts w:ascii="Open Sans" w:cs="Open Sans" w:eastAsia="Open Sans" w:hAnsi="Open Sans"/>
        <w:color w:val="767676"/>
        <w:sz w:val="15"/>
        <w:szCs w:val="15"/>
      </w:rPr>
      <w:t xml:space="preserve">	ITR · Expansión internacional y financiamiento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e89fd48973ec0c2be3a1f231084c52230d83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2026-07-06T15:23:55.928Z</dcterms:created>
  <dcterms:modified xsi:type="dcterms:W3CDTF">2026-07-06T15:23:55.928Z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