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428750" cy="552450"/>
            <wp:effectExtent t="0" r="0" b="0" l="0"/>
            <wp:docPr id="1" name="logo" descr="Logo" title="Libertad y Pro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80"/>
      </w:pPr>
      <w:r>
        <w:rPr>
          <w:rFonts w:ascii="Open Sans" w:cs="Open Sans" w:eastAsia="Open Sans" w:hAnsi="Open Sans"/>
          <w:b/>
          <w:bCs/>
          <w:color w:val="C1121C"/>
          <w:sz w:val="40"/>
          <w:szCs w:val="40"/>
        </w:rPr>
        <w:t xml:space="preserve">Índice de Transparencia Republicana (ITR)</w:t>
      </w:r>
    </w:p>
    <w:p>
      <w:pPr>
        <w:spacing w:after="10"/>
      </w:pPr>
      <w:r>
        <w:rPr>
          <w:rFonts w:ascii="Open Sans" w:cs="Open Sans" w:eastAsia="Open Sans" w:hAnsi="Open Sans"/>
          <w:b/>
          <w:bCs/>
          <w:color w:val="404040"/>
          <w:sz w:val="24"/>
          <w:szCs w:val="24"/>
        </w:rPr>
        <w:t xml:space="preserve">Reporte mensual · Edición Junio 2026 (cierre definitivo)</w:t>
      </w:r>
    </w:p>
    <w:p>
      <w:pPr>
        <w:spacing w:after="160"/>
      </w:pPr>
      <w:r>
        <w:rPr>
          <w:rFonts w:ascii="Open Sans" w:cs="Open Sans" w:eastAsia="Open Sans" w:hAnsi="Open Sans"/>
          <w:color w:val="767676"/>
          <w:sz w:val="18"/>
          <w:szCs w:val="18"/>
        </w:rPr>
        <w:t xml:space="preserve">Departamento de Políticas Públicas — Fundación Libertad y Progreso · Julio 2026</w:t>
      </w:r>
    </w:p>
    <w:p>
      <w:pPr>
        <w:pBdr>
          <w:bottom w:val="single" w:color="C1121C" w:sz="6" w:space="2"/>
        </w:pBdr>
        <w:spacing w:after="120" w:before="260"/>
      </w:pPr>
      <w:r>
        <w:rPr>
          <w:rFonts w:ascii="Open Sans" w:cs="Open Sans" w:eastAsia="Open Sans" w:hAnsi="Open Sans"/>
          <w:b/>
          <w:bCs/>
          <w:color w:val="C1121C"/>
          <w:sz w:val="26"/>
          <w:szCs w:val="26"/>
        </w:rPr>
        <w:t xml:space="preserve">Resumen ejecutivo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Índice de Transparencia Republicana cerró junio de 2026 en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55,97 puntos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sobre 100, con una mejora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+2,2 puntos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respecto de mayo (53,75) y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+4,8 puntos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en la comparación interanual (junio de 2025: 51,21). El índice recupera así el terreno perdido en el bache de abril-mayo, aunque todavía se ubica por debajo del pico de comienzos de año (56,6 en enero).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mejora del mes se explica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casi enteramente por el eje Judicial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—por la cobertura de cargos— y, en menor medida, por Prensa. En sentido contrario, el eje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Legislativo retrocedió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mientras que Ejecutivo y Banco Central se mantuvieron estables en sus niveles previos.</w:t>
      </w:r>
    </w:p>
    <w:p>
      <w:pPr>
        <w:pBdr>
          <w:bottom w:val="single" w:color="C1121C" w:sz="6" w:space="2"/>
        </w:pBdr>
        <w:spacing w:after="120" w:before="260"/>
      </w:pPr>
      <w:r>
        <w:rPr>
          <w:rFonts w:ascii="Open Sans" w:cs="Open Sans" w:eastAsia="Open Sans" w:hAnsi="Open Sans"/>
          <w:b/>
          <w:bCs/>
          <w:color w:val="C1121C"/>
          <w:sz w:val="26"/>
          <w:szCs w:val="26"/>
        </w:rPr>
        <w:t xml:space="preserve">1. ITR consolidado</w:t>
      </w:r>
    </w:p>
    <w:p>
      <w:pPr>
        <w:spacing w:after="40" w:before="60"/>
        <w:jc w:val="center"/>
      </w:pPr>
      <w:r>
        <w:drawing>
          <wp:inline distT="0" distB="0" distL="0" distR="0">
            <wp:extent cx="5905500" cy="2724150"/>
            <wp:effectExtent t="0" r="0" b="0" l="0"/>
            <wp:docPr id="1" name="itr_consolidado.png" descr="ITR mensual (consolidado de las 18 variables), gestión Milei. Cierre a junio de 2026." title="ITR mensual (consolidado de las 18 variables), gestión Milei. Cierre a junio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Open Sans" w:cs="Open Sans" w:eastAsia="Open Sans" w:hAnsi="Open Sans"/>
          <w:i/>
          <w:iCs/>
          <w:color w:val="767676"/>
          <w:sz w:val="15"/>
          <w:szCs w:val="15"/>
        </w:rPr>
        <w:t xml:space="preserve">ITR mensual (consolidado de las 18 variables), gestión Milei. Cierre a junio de 2026.</w:t>
      </w:r>
    </w:p>
    <w:p>
      <w:pPr>
        <w:pBdr>
          <w:bottom w:val="single" w:color="C1121C" w:sz="6" w:space="2"/>
        </w:pBdr>
        <w:spacing w:after="120" w:before="260"/>
      </w:pPr>
      <w:r>
        <w:rPr>
          <w:rFonts w:ascii="Open Sans" w:cs="Open Sans" w:eastAsia="Open Sans" w:hAnsi="Open Sans"/>
          <w:b/>
          <w:bCs/>
          <w:color w:val="C1121C"/>
          <w:sz w:val="26"/>
          <w:szCs w:val="26"/>
        </w:rPr>
        <w:t xml:space="preserve">2. Sub-índices por eje</w:t>
      </w:r>
    </w:p>
    <w:p>
      <w:pPr>
        <w:spacing w:after="40" w:before="60"/>
        <w:jc w:val="center"/>
      </w:pPr>
      <w:r>
        <w:drawing>
          <wp:inline distT="0" distB="0" distL="0" distR="0">
            <wp:extent cx="5905500" cy="2962275"/>
            <wp:effectExtent t="0" r="0" b="0" l="0"/>
            <wp:docPr id="1" name="itr_5ejes.png" descr="Los cinco sub-índices que componen el ITR, en frecuencia mensual." title="Los cinco sub-índices que componen el ITR, en frecuencia mens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Open Sans" w:cs="Open Sans" w:eastAsia="Open Sans" w:hAnsi="Open Sans"/>
          <w:i/>
          <w:iCs/>
          <w:color w:val="767676"/>
          <w:sz w:val="15"/>
          <w:szCs w:val="15"/>
        </w:rPr>
        <w:t xml:space="preserve">Los cinco sub-índices que componen el ITR, en frecuencia mensual.</w:t>
      </w:r>
    </w:p>
    <w:p>
      <w:pPr>
        <w:pBdr>
          <w:bottom w:val="single" w:color="C1121C" w:sz="6" w:space="2"/>
        </w:pBdr>
        <w:spacing w:after="120" w:before="260"/>
      </w:pPr>
      <w:r>
        <w:rPr>
          <w:rFonts w:ascii="Open Sans" w:cs="Open Sans" w:eastAsia="Open Sans" w:hAnsi="Open Sans"/>
          <w:b/>
          <w:bCs/>
          <w:color w:val="C1121C"/>
          <w:sz w:val="26"/>
          <w:szCs w:val="26"/>
        </w:rPr>
        <w:t xml:space="preserve">3. Lectura mes a mes: mayo → junio 2026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tabla resume el ITR y sus cinco sub-índices, con su peso en el índice y la variación del mes: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060"/>
        <w:gridCol w:w="1200"/>
        <w:gridCol w:w="1700"/>
        <w:gridCol w:w="1700"/>
        <w:gridCol w:w="1700"/>
      </w:tblGrid>
      <w:tr>
        <w:trPr>
          <w:tblHeader/>
        </w:trPr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Eje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Peso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May-26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Jun-26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ITR (total)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53,75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55,97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+2,23</w:t>
            </w:r>
          </w:p>
        </w:tc>
      </w:tr>
      <w:tr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Ejecutivo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30%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54,25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54,57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+0,32</w:t>
            </w:r>
          </w:p>
        </w:tc>
      </w:tr>
      <w:tr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Legislativo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20%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53,23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50,75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8"/>
                <w:szCs w:val="18"/>
              </w:rPr>
              <w:t xml:space="preserve">−2,48</w:t>
            </w:r>
          </w:p>
        </w:tc>
      </w:tr>
      <w:tr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Judicial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20%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33,94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45,50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+11,55</w:t>
            </w:r>
          </w:p>
        </w:tc>
      </w:tr>
      <w:tr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Prensa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15%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66,79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69,02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+2,23</w:t>
            </w:r>
          </w:p>
        </w:tc>
      </w:tr>
      <w:tr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Banco Central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15%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66,78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66,67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8"/>
                <w:szCs w:val="18"/>
              </w:rPr>
              <w:t xml:space="preserve">−0,11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A nivel de variables, los movimientos que explican el mes son: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360"/>
        <w:gridCol w:w="1900"/>
        <w:gridCol w:w="1300"/>
        <w:gridCol w:w="13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Eje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May-26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Jun-26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Cobertura Judicial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Judicial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39,9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68,8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+28,9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Acceso de la prensa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Prensa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35,3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50,2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+14,9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Calidad Normativa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Legislativo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72,2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68,6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8"/>
                <w:szCs w:val="18"/>
              </w:rPr>
              <w:t xml:space="preserve">−3,6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Eficacia de Control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Legislativo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29,5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27,4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8"/>
                <w:szCs w:val="18"/>
              </w:rPr>
              <w:t xml:space="preserve">−2,1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Causas contra periodistas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Prensa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2,1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0,0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8"/>
                <w:szCs w:val="18"/>
              </w:rPr>
              <w:t xml:space="preserve">−2,1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Discrecionalidad presup.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Ejecutivo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76,2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77,6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+1,4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ATN (federalismo)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Ejecutivo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87,8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89,2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8"/>
                <w:szCs w:val="18"/>
              </w:rPr>
              <w:t xml:space="preserve">+1,4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8"/>
                <w:szCs w:val="18"/>
              </w:rPr>
              <w:t xml:space="preserve">DNU vs Leyes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Ejecutivo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5,9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8"/>
                <w:szCs w:val="18"/>
              </w:rPr>
              <w:t xml:space="preserve">4,7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8"/>
                <w:szCs w:val="18"/>
              </w:rPr>
              <w:t xml:space="preserve">−1,2</w:t>
            </w:r>
          </w:p>
        </w:tc>
      </w:tr>
    </w:tbl>
    <w:p>
      <w:pPr>
        <w:spacing w:after="120"/>
      </w:pPr>
    </w:p>
    <w:p>
      <w:pPr>
        <w:spacing w:after="140" w:line="264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Judicial (+11,6).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Es el motor del mes, y proviene íntegramente de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Cobertura Judicial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(de 39,9 a 68,8). En junio se incorporaron al padrón judicial las designaciones de jueces titulares publicadas en el Boletín Oficial —con acuerdo del Senado—, que redujeron la proporción de cargos vacantes y de subrogancias. Es un dato duro, un hecho real de nombramientos, no un cambio metodológico; se reconciliará con el próximo relevamiento oficial. El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Desempeño de la Corte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en cambio, permanece clavado en 30: sube la cobertura, no la eficacia de fondo.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Prensa (+2,2).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Mejora impulsada por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Acceso de la prensa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(de 35,3 a 50,2), variable de arrastre que registra hechos de acceso y restricción. El escrutinio abierto y la baja pauta se mantienen en niveles óptimos. Como señal de alerta,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Causas contra periodistas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retrocedió a 0.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Legislativo (−2,5).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Es la nota negativa del mes: caen tanto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Calidad Normativa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(de 72,2 a 68,6) como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Eficacia de Control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(de 29,5 a 27,4). El Congreso produjo menos normativa sustantiva y ejerció menos control sobre el Ejecutivo.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Ejecutivo (+0,3) y Banco Central (−0,1): estables.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En el Ejecutivo, las mejoras en discrecionalidad presupuestaria y en el reparto de ATN (federalismo) compensaron un leve deterioro del ratio DNU/leyes, que sigue siendo estructuralmente bajo. El Banco Central sostiene niveles altos, con el respeto a la Carta Orgánica en el máximo y el financiamiento monetario al Tesoro contenido.</w:t>
      </w:r>
    </w:p>
    <w:p>
      <w:pPr>
        <w:pBdr>
          <w:bottom w:val="single" w:color="C1121C" w:sz="6" w:space="2"/>
        </w:pBdr>
        <w:spacing w:after="120" w:before="260"/>
      </w:pPr>
      <w:r>
        <w:rPr>
          <w:rFonts w:ascii="Open Sans" w:cs="Open Sans" w:eastAsia="Open Sans" w:hAnsi="Open Sans"/>
          <w:b/>
          <w:bCs/>
          <w:color w:val="C1121C"/>
          <w:sz w:val="26"/>
          <w:szCs w:val="26"/>
        </w:rPr>
        <w:t xml:space="preserve">4. La lectura de Libertad y Progreso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calidad republicana se sostiene sobre poder limitado, frenos y contrapesos, reglas estables debatidas en el Congreso, transparencia y una justicia independiente y ágil. Desde ese criterio leemos el mes.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Celebramos el avance en la cobertura judicial. Cubrir los cargos por el mecanismo constitucional —concurso y acuerdo del Senado— fortalece la independencia y la celeridad de la Justicia: un tribunal con vacantes es más lento y más dependiente de subrogantes removibles, más expuesto a la presión del poder de turno. Ahora bien, la cobertura es condición necesaria, no suficiente: mientras el desempeño de la Corte no mejore, el eje seguirá arrastrando una debilidad de fondo.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señal preocupante del mes está en el Legislativo. Un Congreso que produce menos norma sustantiva y controla menos al Ejecutivo debilita los contrapesos que definen a una república. Insistimos en un principio que atraviesa todo el índice: las reglas deben debatirse y sancionarse en el Congreso, no imponerse por decreto. El bajo puntaje persistente del ratio DNU/leyes es el reflejo de ese déficit institucional que ninguna coyuntura fiscal alcanza a compensar.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En el frente monetario, el respeto a la Carta Orgánica del Banco Central y la contención del financiamiento al Tesoro son condiciones de la estabilidad. La inflación es siempre y en todo lugar un fenómeno monetario: sostener estos frenos es sostener el proceso de desinflación, y su deterioro sería una de las primeras alarmas a encender.</w:t>
      </w:r>
    </w:p>
    <w:p>
      <w:pPr>
        <w:spacing w:after="140" w:line="264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En síntesis, el ITR mejora, pero su avance se concentra en un solo eje y esconde un retroceso legislativo. Consolidar la calidad republicana exige que el orden fiscal y monetario se complemente con reglas debatidas institucionalmente y con contrapesos efectivos. Ese es el camino que, en Libertad y Progreso, seguiremos midiendo mes a mes.</w:t>
      </w:r>
    </w:p>
    <w:p>
      <w:pPr>
        <w:pBdr>
          <w:bottom w:val="single" w:color="C1121C" w:sz="6" w:space="2"/>
        </w:pBdr>
        <w:spacing w:after="120" w:before="260"/>
      </w:pPr>
      <w:r>
        <w:rPr>
          <w:rFonts w:ascii="Open Sans" w:cs="Open Sans" w:eastAsia="Open Sans" w:hAnsi="Open Sans"/>
          <w:b/>
          <w:bCs/>
          <w:color w:val="C1121C"/>
          <w:sz w:val="26"/>
          <w:szCs w:val="26"/>
        </w:rPr>
        <w:t xml:space="preserve">Nota metodológica</w:t>
      </w:r>
    </w:p>
    <w:p>
      <w:pPr>
        <w:spacing w:after="90" w:line="240"/>
      </w:pPr>
      <w:r>
        <w:rPr>
          <w:rFonts w:ascii="Open Sans" w:cs="Open Sans" w:eastAsia="Open Sans" w:hAnsi="Open Sans"/>
          <w:i/>
          <w:iCs/>
          <w:color w:val="767676"/>
          <w:sz w:val="16"/>
          <w:szCs w:val="16"/>
        </w:rPr>
        <w:t xml:space="preserve">El ITR es un índice mensual de 0 a 100, determinístico y auditable, construido con dato duro oficial. No interviene la inteligencia artificial en el valor publicado. Combina 18 variables en cinco ejes con pesos fijos: Ejecutivo 30%, Legislativo 20%, Judicial 20%, Prensa 15% y Banco Central 15%. Cada variable se normaliza por anclaje al ideal (0 = peor desempeño de referencia; 100 = ideal republicano) y la serie se suaviza con una media móvil de 12 meses.</w:t>
      </w:r>
    </w:p>
    <w:p>
      <w:pPr>
        <w:spacing w:after="90" w:line="240"/>
      </w:pPr>
      <w:r>
        <w:rPr>
          <w:rFonts w:ascii="Open Sans" w:cs="Open Sans" w:eastAsia="Open Sans" w:hAnsi="Open Sans"/>
          <w:i/>
          <w:iCs/>
          <w:color w:val="767676"/>
          <w:sz w:val="16"/>
          <w:szCs w:val="16"/>
        </w:rPr>
        <w:t xml:space="preserve">El índice se publica desde enero de 2024, ya suavizado, calculado con un colchón previo desde 2023. Fuentes: Boletín Oficial (BORA), DGSIAF, BCRA, datos.jus, AAIP, InfoLeg y CSJN, entre otras. Los radares del BORA (nombramientos y bajas de jueces; Presidencia del BCRA) alimentan el padrón judicial vivo. Junio de 2026 corresponde al cierre definitivo del mes; el mes en curso se publica siempre como provisional.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4"/>
        <w:szCs w:val="14"/>
      </w:rPr>
      <w:t xml:space="preserve">Fundación Libertad y Progreso  ·  </w:t>
    </w:r>
    <w:r>
      <w:rPr>
        <w:rFonts w:ascii="Open Sans" w:cs="Open Sans" w:eastAsia="Open Sans" w:hAnsi="Open Sans"/>
        <w:color w:val="76767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tabs>
        <w:tab w:val="right" w:pos="9360"/>
      </w:tabs>
    </w:pPr>
    <w:r>
      <w:rPr>
        <w:rFonts w:ascii="Open Sans" w:cs="Open Sans" w:eastAsia="Open Sans" w:hAnsi="Open Sans"/>
        <w:b/>
        <w:bCs/>
        <w:color w:val="C1121C"/>
        <w:sz w:val="15"/>
        <w:szCs w:val="15"/>
      </w:rPr>
      <w:t xml:space="preserve">INFORME DE POLÍTICAS PÚBLICAS</w:t>
    </w:r>
    <w:r>
      <w:rPr>
        <w:rFonts w:ascii="Open Sans" w:cs="Open Sans" w:eastAsia="Open Sans" w:hAnsi="Open Sans"/>
        <w:color w:val="767676"/>
        <w:sz w:val="15"/>
        <w:szCs w:val="15"/>
      </w:rPr>
      <w:t xml:space="preserve">	ITR · Edición Julio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e89fd48973ec0c2be3a1f231084c52230d83df.png"/><Relationship Id="rId10" Type="http://schemas.openxmlformats.org/officeDocument/2006/relationships/image" Target="media/eaef724c18d9eb65f93a32f5491370d7b4503f33.png"/><Relationship Id="rId11" Type="http://schemas.openxmlformats.org/officeDocument/2006/relationships/image" Target="media/3378c1ef66f1e19273519354bc304b222cc3fcc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2026-07-06T15:05:06.060Z</dcterms:created>
  <dcterms:modified xsi:type="dcterms:W3CDTF">2026-07-06T15:05:06.061Z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