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4CF1B" w14:textId="77777777" w:rsidR="00191F4C" w:rsidRDefault="00191F4C">
      <w:pPr>
        <w:pStyle w:val="BodyText"/>
        <w:rPr>
          <w:sz w:val="28"/>
        </w:rPr>
      </w:pPr>
      <w:bookmarkStart w:id="0" w:name="_GoBack"/>
      <w:bookmarkEnd w:id="0"/>
    </w:p>
    <w:p w14:paraId="1749F2E3" w14:textId="77777777" w:rsidR="00191F4C" w:rsidRDefault="00191F4C">
      <w:pPr>
        <w:pStyle w:val="BodyText"/>
        <w:rPr>
          <w:sz w:val="28"/>
        </w:rPr>
      </w:pPr>
      <w:r>
        <w:rPr>
          <w:sz w:val="28"/>
        </w:rPr>
        <w:t xml:space="preserve">EL ORIGEN DE LA REVISIÓN JUDICIAL DE LOS ESTADOS UNIDOS DE AMERICA: </w:t>
      </w:r>
    </w:p>
    <w:p w14:paraId="0AF7AB29" w14:textId="77777777" w:rsidR="00191F4C" w:rsidRDefault="00191F4C">
      <w:pPr>
        <w:pStyle w:val="BodyText"/>
        <w:rPr>
          <w:sz w:val="28"/>
        </w:rPr>
      </w:pPr>
      <w:r>
        <w:rPr>
          <w:sz w:val="28"/>
        </w:rPr>
        <w:t>El Juego entre Jefferson y Marshall en el caso Marbury vs Madison</w:t>
      </w:r>
      <w:r>
        <w:rPr>
          <w:rStyle w:val="FootnoteReference"/>
          <w:sz w:val="28"/>
        </w:rPr>
        <w:footnoteReference w:id="1"/>
      </w:r>
    </w:p>
    <w:p w14:paraId="5A6DFC50" w14:textId="77777777" w:rsidR="00191F4C" w:rsidRDefault="00191F4C">
      <w:pPr>
        <w:pStyle w:val="BodyText2"/>
      </w:pPr>
    </w:p>
    <w:p w14:paraId="487580A6" w14:textId="77777777" w:rsidR="00191F4C" w:rsidRDefault="00191F4C">
      <w:pPr>
        <w:pStyle w:val="BodyText2"/>
        <w:rPr>
          <w:sz w:val="20"/>
        </w:rPr>
      </w:pPr>
      <w:r>
        <w:rPr>
          <w:sz w:val="20"/>
        </w:rPr>
        <w:t xml:space="preserve">Marbury vs. Madison, el primer precedente para la aplicación de la revisión judicial de las leyes nacionales </w:t>
      </w:r>
      <w:r w:rsidR="00B7041E">
        <w:rPr>
          <w:sz w:val="20"/>
        </w:rPr>
        <w:t xml:space="preserve">dadas en el Congreso </w:t>
      </w:r>
      <w:r>
        <w:rPr>
          <w:sz w:val="20"/>
        </w:rPr>
        <w:t>por la Corte Suprema de los EUA</w:t>
      </w:r>
      <w:r w:rsidR="00B7041E">
        <w:rPr>
          <w:sz w:val="20"/>
        </w:rPr>
        <w:t xml:space="preserve">, </w:t>
      </w:r>
      <w:r>
        <w:rPr>
          <w:sz w:val="20"/>
        </w:rPr>
        <w:t xml:space="preserve">ha sido vista por mucho tiempo por diversos investigadores como un tipo de “juego” – una contienda entre dos titanes de la historia constitucional de los EUA: el Presidente Thomas Jefferson y el Presidente de la Corte Suprema John Marshall. Más aún, este caso ha sido visto generalmente como un conflicto en el que Marshall </w:t>
      </w:r>
      <w:r w:rsidR="00B7041E">
        <w:rPr>
          <w:sz w:val="20"/>
        </w:rPr>
        <w:t xml:space="preserve">fue más astuto que </w:t>
      </w:r>
      <w:r>
        <w:rPr>
          <w:sz w:val="20"/>
        </w:rPr>
        <w:t xml:space="preserve">Jefferson al establecer un precedente para que la Corte revise los actos legislativos. En este artículo se propone que dicha perspectiva </w:t>
      </w:r>
      <w:r w:rsidR="00B7041E">
        <w:rPr>
          <w:sz w:val="20"/>
        </w:rPr>
        <w:t>alternativa</w:t>
      </w:r>
      <w:r>
        <w:rPr>
          <w:sz w:val="20"/>
        </w:rPr>
        <w:t xml:space="preserve">. Utilizando la teoría de juegos se propone que el comportamiento tanto de Marshall como de Jefferson fue consistente </w:t>
      </w:r>
      <w:r w:rsidR="00F10776">
        <w:rPr>
          <w:sz w:val="20"/>
        </w:rPr>
        <w:t xml:space="preserve">en el sentido </w:t>
      </w:r>
      <w:r>
        <w:rPr>
          <w:sz w:val="20"/>
        </w:rPr>
        <w:t xml:space="preserve">que </w:t>
      </w:r>
      <w:r w:rsidR="00F10776">
        <w:rPr>
          <w:sz w:val="20"/>
        </w:rPr>
        <w:t xml:space="preserve">ambos actuaron como </w:t>
      </w:r>
      <w:r>
        <w:rPr>
          <w:sz w:val="20"/>
        </w:rPr>
        <w:t xml:space="preserve"> actores racionales maximizando sus utilidades en cada etapa de la controversia.</w:t>
      </w:r>
    </w:p>
    <w:p w14:paraId="5ED5363F" w14:textId="77777777" w:rsidR="00191F4C" w:rsidRDefault="00191F4C">
      <w:pPr>
        <w:jc w:val="both"/>
        <w:rPr>
          <w:rFonts w:ascii="Arial" w:hAnsi="Arial" w:cs="Arial"/>
          <w:lang w:val="es-ES"/>
        </w:rPr>
      </w:pPr>
    </w:p>
    <w:p w14:paraId="348EF5D7" w14:textId="77777777" w:rsidR="00191F4C" w:rsidRDefault="00191F4C">
      <w:pPr>
        <w:jc w:val="both"/>
        <w:rPr>
          <w:rFonts w:ascii="Arial" w:hAnsi="Arial" w:cs="Arial"/>
          <w:lang w:val="es-ES"/>
        </w:rPr>
      </w:pPr>
    </w:p>
    <w:p w14:paraId="6B7A029C" w14:textId="77777777" w:rsidR="00191F4C" w:rsidRDefault="00191F4C">
      <w:pPr>
        <w:jc w:val="both"/>
        <w:rPr>
          <w:rFonts w:ascii="Arial" w:hAnsi="Arial" w:cs="Arial"/>
          <w:b/>
          <w:lang w:val="es-ES"/>
        </w:rPr>
      </w:pPr>
      <w:r>
        <w:rPr>
          <w:rFonts w:ascii="Arial" w:hAnsi="Arial" w:cs="Arial"/>
          <w:b/>
          <w:lang w:val="es-ES"/>
        </w:rPr>
        <w:t>INTRODUCCIÓN</w:t>
      </w:r>
    </w:p>
    <w:p w14:paraId="42C2FBC7" w14:textId="77777777" w:rsidR="00191F4C" w:rsidRDefault="00191F4C">
      <w:pPr>
        <w:jc w:val="both"/>
        <w:rPr>
          <w:rFonts w:ascii="Arial" w:hAnsi="Arial" w:cs="Arial"/>
          <w:lang w:val="es-ES"/>
        </w:rPr>
      </w:pPr>
    </w:p>
    <w:p w14:paraId="4D41EAB7" w14:textId="77777777" w:rsidR="00191F4C" w:rsidRDefault="00191F4C">
      <w:pPr>
        <w:jc w:val="both"/>
        <w:rPr>
          <w:rFonts w:ascii="Arial" w:hAnsi="Arial" w:cs="Arial"/>
          <w:lang w:val="es-ES"/>
        </w:rPr>
      </w:pPr>
      <w:r>
        <w:rPr>
          <w:rFonts w:ascii="Arial" w:hAnsi="Arial" w:cs="Arial"/>
          <w:lang w:val="es-ES"/>
        </w:rPr>
        <w:t xml:space="preserve">La decisión de la Corte Suprema de los Estados en el caso Marbury vs. Madison (1803) ha sido considerado una obra maestra de la política. Los federalistas de </w:t>
      </w:r>
      <w:r w:rsidR="00B7041E">
        <w:rPr>
          <w:rFonts w:ascii="Arial" w:hAnsi="Arial" w:cs="Arial"/>
          <w:lang w:val="es-ES"/>
        </w:rPr>
        <w:t>la C</w:t>
      </w:r>
      <w:r>
        <w:rPr>
          <w:rFonts w:ascii="Arial" w:hAnsi="Arial" w:cs="Arial"/>
          <w:lang w:val="es-ES"/>
        </w:rPr>
        <w:t>orte, dirigidos por John Marshall, estaban en una posición incomoda</w:t>
      </w:r>
      <w:r w:rsidR="00B7041E">
        <w:rPr>
          <w:rFonts w:ascii="Arial" w:hAnsi="Arial" w:cs="Arial"/>
          <w:lang w:val="es-ES"/>
        </w:rPr>
        <w:t xml:space="preserve"> dado que u</w:t>
      </w:r>
      <w:r>
        <w:rPr>
          <w:rFonts w:ascii="Arial" w:hAnsi="Arial" w:cs="Arial"/>
          <w:lang w:val="es-ES"/>
        </w:rPr>
        <w:t xml:space="preserve">no de </w:t>
      </w:r>
      <w:r w:rsidR="00B7041E">
        <w:rPr>
          <w:rFonts w:ascii="Arial" w:hAnsi="Arial" w:cs="Arial"/>
          <w:lang w:val="es-ES"/>
        </w:rPr>
        <w:t>ellos</w:t>
      </w:r>
      <w:r>
        <w:rPr>
          <w:rFonts w:ascii="Arial" w:hAnsi="Arial" w:cs="Arial"/>
          <w:lang w:val="es-ES"/>
        </w:rPr>
        <w:t xml:space="preserve">, William Marbury,  había </w:t>
      </w:r>
      <w:r w:rsidR="00B7041E">
        <w:rPr>
          <w:rFonts w:ascii="Arial" w:hAnsi="Arial" w:cs="Arial"/>
          <w:lang w:val="es-ES"/>
        </w:rPr>
        <w:t xml:space="preserve">reclamado </w:t>
      </w:r>
      <w:r>
        <w:rPr>
          <w:rFonts w:ascii="Arial" w:hAnsi="Arial" w:cs="Arial"/>
          <w:lang w:val="es-ES"/>
        </w:rPr>
        <w:t>su nombramiento como juez</w:t>
      </w:r>
      <w:r w:rsidR="00B7041E">
        <w:rPr>
          <w:rFonts w:ascii="Arial" w:hAnsi="Arial" w:cs="Arial"/>
          <w:lang w:val="es-ES"/>
        </w:rPr>
        <w:t xml:space="preserve"> al ser nombrado </w:t>
      </w:r>
      <w:r>
        <w:rPr>
          <w:rFonts w:ascii="Arial" w:hAnsi="Arial" w:cs="Arial"/>
          <w:lang w:val="es-ES"/>
        </w:rPr>
        <w:t>por el Presidente saliente John Adams (un federalista). En caso de que ello no procediera se generaría un gran descontento entre Marshall y sus seguidores</w:t>
      </w:r>
      <w:r w:rsidR="00B7041E">
        <w:rPr>
          <w:rFonts w:ascii="Arial" w:hAnsi="Arial" w:cs="Arial"/>
          <w:lang w:val="es-ES"/>
        </w:rPr>
        <w:t xml:space="preserve"> (federalistas)</w:t>
      </w:r>
      <w:r>
        <w:rPr>
          <w:rFonts w:ascii="Arial" w:hAnsi="Arial" w:cs="Arial"/>
          <w:lang w:val="es-ES"/>
        </w:rPr>
        <w:t>. Por otro lado, de hacerse lo que Marbury solicitaba provocaría sin duda malestar en los Republicanos</w:t>
      </w:r>
      <w:r w:rsidR="00B7041E">
        <w:rPr>
          <w:rFonts w:ascii="Arial" w:hAnsi="Arial" w:cs="Arial"/>
          <w:lang w:val="es-ES"/>
        </w:rPr>
        <w:t>,</w:t>
      </w:r>
      <w:r>
        <w:rPr>
          <w:rFonts w:ascii="Arial" w:hAnsi="Arial" w:cs="Arial"/>
          <w:lang w:val="es-ES"/>
        </w:rPr>
        <w:t xml:space="preserve"> ahora dominantes, los mismos que era liderados por el </w:t>
      </w:r>
      <w:r w:rsidR="00B7041E">
        <w:rPr>
          <w:rFonts w:ascii="Arial" w:hAnsi="Arial" w:cs="Arial"/>
          <w:lang w:val="es-ES"/>
        </w:rPr>
        <w:t xml:space="preserve">recién </w:t>
      </w:r>
      <w:r>
        <w:rPr>
          <w:rFonts w:ascii="Arial" w:hAnsi="Arial" w:cs="Arial"/>
          <w:lang w:val="es-ES"/>
        </w:rPr>
        <w:t xml:space="preserve">Presidente </w:t>
      </w:r>
      <w:r w:rsidR="00B7041E">
        <w:rPr>
          <w:rFonts w:ascii="Arial" w:hAnsi="Arial" w:cs="Arial"/>
          <w:lang w:val="es-ES"/>
        </w:rPr>
        <w:t xml:space="preserve">entrante </w:t>
      </w:r>
      <w:r>
        <w:rPr>
          <w:rFonts w:ascii="Arial" w:hAnsi="Arial" w:cs="Arial"/>
          <w:lang w:val="es-ES"/>
        </w:rPr>
        <w:t>Thomas Jefferson y el Secretario de Estado James Madison, con quienes la Corte tendría que vivir por algún tiempo.</w:t>
      </w:r>
    </w:p>
    <w:p w14:paraId="74D65E1F" w14:textId="77777777" w:rsidR="00191F4C" w:rsidRDefault="00191F4C">
      <w:pPr>
        <w:jc w:val="both"/>
        <w:rPr>
          <w:rFonts w:ascii="Arial" w:hAnsi="Arial" w:cs="Arial"/>
          <w:lang w:val="es-ES"/>
        </w:rPr>
      </w:pPr>
    </w:p>
    <w:p w14:paraId="5EE5BDD3" w14:textId="77777777" w:rsidR="00493A7D" w:rsidRDefault="00191F4C">
      <w:pPr>
        <w:jc w:val="both"/>
        <w:rPr>
          <w:rFonts w:ascii="Arial" w:hAnsi="Arial" w:cs="Arial"/>
          <w:lang w:val="es-ES"/>
        </w:rPr>
      </w:pPr>
      <w:r>
        <w:rPr>
          <w:rFonts w:ascii="Arial" w:hAnsi="Arial" w:cs="Arial"/>
          <w:lang w:val="es-ES"/>
        </w:rPr>
        <w:t xml:space="preserve">La salida de Marshall ante este dilema </w:t>
      </w:r>
      <w:r w:rsidR="00493A7D">
        <w:rPr>
          <w:rFonts w:ascii="Arial" w:hAnsi="Arial" w:cs="Arial"/>
          <w:lang w:val="es-ES"/>
        </w:rPr>
        <w:t xml:space="preserve">pasaba por </w:t>
      </w:r>
      <w:r>
        <w:rPr>
          <w:rFonts w:ascii="Arial" w:hAnsi="Arial" w:cs="Arial"/>
          <w:lang w:val="es-ES"/>
        </w:rPr>
        <w:t xml:space="preserve">emitir un </w:t>
      </w:r>
      <w:r>
        <w:rPr>
          <w:rFonts w:ascii="Arial" w:hAnsi="Arial" w:cs="Arial"/>
          <w:i/>
          <w:iCs/>
          <w:lang w:val="es-ES"/>
        </w:rPr>
        <w:t>writ of mandamus</w:t>
      </w:r>
      <w:r>
        <w:rPr>
          <w:rFonts w:ascii="Arial" w:hAnsi="Arial" w:cs="Arial"/>
          <w:lang w:val="es-ES"/>
        </w:rPr>
        <w:t xml:space="preserve"> (</w:t>
      </w:r>
      <w:r>
        <w:rPr>
          <w:rFonts w:ascii="Arial" w:hAnsi="Arial" w:cs="Arial"/>
          <w:i/>
          <w:iCs/>
          <w:lang w:val="es-ES"/>
        </w:rPr>
        <w:t>wom</w:t>
      </w:r>
      <w:r>
        <w:rPr>
          <w:rFonts w:ascii="Arial" w:hAnsi="Arial" w:cs="Arial"/>
          <w:lang w:val="es-ES"/>
        </w:rPr>
        <w:t>)</w:t>
      </w:r>
      <w:r>
        <w:rPr>
          <w:rStyle w:val="FootnoteReference"/>
          <w:rFonts w:ascii="Arial" w:hAnsi="Arial" w:cs="Arial"/>
          <w:lang w:val="es-ES"/>
        </w:rPr>
        <w:footnoteReference w:id="2"/>
      </w:r>
      <w:r>
        <w:rPr>
          <w:rFonts w:ascii="Arial" w:hAnsi="Arial" w:cs="Arial"/>
          <w:lang w:val="es-ES"/>
        </w:rPr>
        <w:t xml:space="preserve"> (presumiblemente deseado por la Corte) solicitado por Marbury, lo que  significaría: (1) </w:t>
      </w:r>
      <w:r w:rsidR="00493A7D">
        <w:rPr>
          <w:rFonts w:ascii="Arial" w:hAnsi="Arial" w:cs="Arial"/>
          <w:lang w:val="es-ES"/>
        </w:rPr>
        <w:t>r</w:t>
      </w:r>
      <w:r>
        <w:rPr>
          <w:rFonts w:ascii="Arial" w:hAnsi="Arial" w:cs="Arial"/>
          <w:lang w:val="es-ES"/>
        </w:rPr>
        <w:t xml:space="preserve">eprender públicamente a Jefferson y a Madison y evidenciar que su conducta era impropia e ilegal; (2) permitir que se vaya considerando la idea que un </w:t>
      </w:r>
      <w:r>
        <w:rPr>
          <w:rFonts w:ascii="Arial" w:hAnsi="Arial" w:cs="Arial"/>
          <w:i/>
          <w:iCs/>
          <w:lang w:val="es-ES"/>
        </w:rPr>
        <w:t>wom</w:t>
      </w:r>
      <w:r>
        <w:rPr>
          <w:rFonts w:ascii="Arial" w:hAnsi="Arial" w:cs="Arial"/>
          <w:lang w:val="es-ES"/>
        </w:rPr>
        <w:t xml:space="preserve"> era un remedio legal apropiado para estas situaciones, con la correspondiente implicación que los funcionarios de alto nivel (poder ejecutivo) estaban sujetos a los procesos de las cortes federales; (3) establecer la autoridad de la Corte para dejar sin efecto los actos del Congreso; la preocupación de Marshall era cómo manejar un conflicto abierto con el poder ejecutivo, dado que la dación de un </w:t>
      </w:r>
      <w:r>
        <w:rPr>
          <w:rFonts w:ascii="Arial" w:hAnsi="Arial" w:cs="Arial"/>
          <w:i/>
          <w:iCs/>
          <w:lang w:val="es-ES"/>
        </w:rPr>
        <w:t>wom</w:t>
      </w:r>
      <w:r>
        <w:rPr>
          <w:rFonts w:ascii="Arial" w:hAnsi="Arial" w:cs="Arial"/>
          <w:lang w:val="es-ES"/>
        </w:rPr>
        <w:t xml:space="preserve"> en este caso probablemente no contaría con la aceptación del </w:t>
      </w:r>
      <w:r>
        <w:rPr>
          <w:rFonts w:ascii="Arial" w:hAnsi="Arial" w:cs="Arial"/>
          <w:lang w:val="es-ES"/>
        </w:rPr>
        <w:lastRenderedPageBreak/>
        <w:t>ejecutivo, lo que en última instancia pondría en peligro la autoridad de las cortes federales</w:t>
      </w:r>
      <w:r w:rsidR="00160529">
        <w:rPr>
          <w:rFonts w:ascii="Arial" w:hAnsi="Arial" w:cs="Arial"/>
          <w:lang w:val="es-ES"/>
        </w:rPr>
        <w:t xml:space="preserve"> si Jefferson no les hiciera caso.</w:t>
      </w:r>
    </w:p>
    <w:p w14:paraId="2EB03D84" w14:textId="77777777" w:rsidR="00493A7D" w:rsidRDefault="00493A7D">
      <w:pPr>
        <w:jc w:val="both"/>
        <w:rPr>
          <w:rFonts w:ascii="Arial" w:hAnsi="Arial" w:cs="Arial"/>
          <w:lang w:val="es-ES"/>
        </w:rPr>
      </w:pPr>
    </w:p>
    <w:p w14:paraId="3A34C014" w14:textId="77777777" w:rsidR="00191F4C" w:rsidRDefault="00191F4C">
      <w:pPr>
        <w:jc w:val="both"/>
        <w:rPr>
          <w:rFonts w:ascii="Arial" w:hAnsi="Arial" w:cs="Arial"/>
          <w:lang w:val="es-ES"/>
        </w:rPr>
      </w:pPr>
      <w:r>
        <w:rPr>
          <w:rFonts w:ascii="Arial" w:hAnsi="Arial" w:cs="Arial"/>
          <w:lang w:val="es-ES"/>
        </w:rPr>
        <w:t>El hecho que el poder de la corte para observar leyes fuera establecido en circunstancias en las que la administración no podía responder</w:t>
      </w:r>
      <w:r w:rsidR="00493A7D">
        <w:rPr>
          <w:rFonts w:ascii="Arial" w:hAnsi="Arial" w:cs="Arial"/>
          <w:lang w:val="es-ES"/>
        </w:rPr>
        <w:t>,</w:t>
      </w:r>
      <w:r>
        <w:rPr>
          <w:rFonts w:ascii="Arial" w:hAnsi="Arial" w:cs="Arial"/>
          <w:lang w:val="es-ES"/>
        </w:rPr>
        <w:t xml:space="preserve"> ha conducido al entendimiento convencional del caso de Marbury como un caso en el que la revisión judicial se estableció en virtud que Marshall fue más audaz que Jefferson. Esta perspectiva se refleja en virtualmente todos los textos que dan cuenta del caso. Robert G. McCloskey (1960, 40) dice que la estrategia de Marshall fue “una obra maestra de distracción política, un ejemplo brillante de la habilidad de Marshall para hacer a un lado el peligro cuando en apariencia lo provocaba, en avanzar en una dirección mientras que sus oponentes miraban en la dirección contraria.” Warren Burger, quien llegó a ser Presidente de la Corte Suprema dijo que Marshall ganó “la gran guerra para obtener la supremacía de la Corte Suprema en decisiones constitucionales” y que Jefferson había sido “sorprendido por las maniobras de la Corte” (en Cannon y O´Brien 1985, 14). Herman Pritchett (1977, 126) dijo que, en el caso de Marbury, la Corte “dominada por Marshall había exitosamente dejado en claro su autoridad para invalidar los actos del Congreso en uno de los más inteligentes episodios de la Historia Americana.” Y en que quizás sea el más famoso tratado sobre este caso, el biógrafo más influyente de Marshall concluye que “e</w:t>
      </w:r>
      <w:r w:rsidR="00493A7D">
        <w:rPr>
          <w:rFonts w:ascii="Arial" w:hAnsi="Arial" w:cs="Arial"/>
          <w:lang w:val="es-ES"/>
        </w:rPr>
        <w:t>s</w:t>
      </w:r>
      <w:r>
        <w:rPr>
          <w:rFonts w:ascii="Arial" w:hAnsi="Arial" w:cs="Arial"/>
          <w:lang w:val="es-ES"/>
        </w:rPr>
        <w:t xml:space="preserve"> una estrategia tan perfecta en diseño como en atrevimiento en su ejecución tal como la que dio origen a la Constitución, John Marshall dejó sentada una marca en la historia política y jurídica Americana, y esta es de tal altura que las futuras generaciones seguirán beneficiándose de ella, y es de tal fuerza que sobrevivirá a cuanto problema enfrente nuestra nación” (Beveridge 1916, 3:142).</w:t>
      </w:r>
    </w:p>
    <w:p w14:paraId="14B991EA" w14:textId="77777777" w:rsidR="00191F4C" w:rsidRDefault="00191F4C">
      <w:pPr>
        <w:jc w:val="both"/>
        <w:rPr>
          <w:rFonts w:ascii="Arial" w:hAnsi="Arial" w:cs="Arial"/>
          <w:lang w:val="es-ES"/>
        </w:rPr>
      </w:pPr>
    </w:p>
    <w:p w14:paraId="2E1F7EE6" w14:textId="77777777" w:rsidR="00191F4C" w:rsidRDefault="00191F4C">
      <w:pPr>
        <w:jc w:val="both"/>
        <w:rPr>
          <w:rFonts w:ascii="Arial" w:hAnsi="Arial" w:cs="Arial"/>
          <w:lang w:val="es-ES"/>
        </w:rPr>
      </w:pPr>
      <w:r>
        <w:rPr>
          <w:rFonts w:ascii="Arial" w:hAnsi="Arial" w:cs="Arial"/>
          <w:lang w:val="es-ES"/>
        </w:rPr>
        <w:t xml:space="preserve">A pesar de los mucho o poco de verdad que pueda contener cada una de estas opiniones, el análisis que sigue las pone en cuestión. </w:t>
      </w:r>
    </w:p>
    <w:p w14:paraId="0953FC93" w14:textId="77777777" w:rsidR="00191F4C" w:rsidRDefault="00191F4C">
      <w:pPr>
        <w:jc w:val="both"/>
        <w:rPr>
          <w:rFonts w:ascii="Arial" w:hAnsi="Arial" w:cs="Arial"/>
          <w:lang w:val="es-ES"/>
        </w:rPr>
      </w:pPr>
    </w:p>
    <w:p w14:paraId="760D3DA9" w14:textId="77777777" w:rsidR="00191F4C" w:rsidRDefault="00191F4C">
      <w:pPr>
        <w:jc w:val="both"/>
        <w:rPr>
          <w:rFonts w:ascii="Arial" w:hAnsi="Arial" w:cs="Arial"/>
          <w:lang w:val="es-ES"/>
        </w:rPr>
      </w:pPr>
    </w:p>
    <w:p w14:paraId="75036750" w14:textId="77777777" w:rsidR="00191F4C" w:rsidRDefault="00191F4C">
      <w:pPr>
        <w:jc w:val="both"/>
        <w:rPr>
          <w:rFonts w:ascii="Arial" w:hAnsi="Arial" w:cs="Arial"/>
          <w:lang w:val="es-ES"/>
        </w:rPr>
      </w:pPr>
    </w:p>
    <w:p w14:paraId="1E9F700F" w14:textId="77777777" w:rsidR="00191F4C" w:rsidRDefault="00160529">
      <w:pPr>
        <w:jc w:val="both"/>
        <w:rPr>
          <w:rFonts w:ascii="Arial" w:hAnsi="Arial" w:cs="Arial"/>
          <w:b/>
          <w:lang w:val="es-ES"/>
        </w:rPr>
      </w:pPr>
      <w:r>
        <w:rPr>
          <w:rFonts w:ascii="Arial" w:hAnsi="Arial" w:cs="Arial"/>
          <w:b/>
          <w:lang w:val="es-ES"/>
        </w:rPr>
        <w:t>SITUACION</w:t>
      </w:r>
    </w:p>
    <w:p w14:paraId="659ABCFF" w14:textId="77777777" w:rsidR="00191F4C" w:rsidRDefault="00191F4C">
      <w:pPr>
        <w:jc w:val="both"/>
        <w:rPr>
          <w:rFonts w:ascii="Arial" w:hAnsi="Arial" w:cs="Arial"/>
          <w:lang w:val="es-ES"/>
        </w:rPr>
      </w:pPr>
    </w:p>
    <w:p w14:paraId="7C5182C3" w14:textId="77777777" w:rsidR="00493A7D" w:rsidRDefault="00191F4C">
      <w:pPr>
        <w:jc w:val="both"/>
        <w:rPr>
          <w:rFonts w:ascii="Arial" w:hAnsi="Arial" w:cs="Arial"/>
          <w:lang w:val="es-ES"/>
        </w:rPr>
      </w:pPr>
      <w:r>
        <w:rPr>
          <w:rFonts w:ascii="Arial" w:hAnsi="Arial" w:cs="Arial"/>
          <w:lang w:val="es-ES"/>
        </w:rPr>
        <w:t>Thomas Jefferson venció al Presidente John Adams en las elecciones de 1800 y asumi</w:t>
      </w:r>
      <w:r w:rsidR="00493A7D">
        <w:rPr>
          <w:rFonts w:ascii="Arial" w:hAnsi="Arial" w:cs="Arial"/>
          <w:lang w:val="es-ES"/>
        </w:rPr>
        <w:t>ó</w:t>
      </w:r>
      <w:r>
        <w:rPr>
          <w:rFonts w:ascii="Arial" w:hAnsi="Arial" w:cs="Arial"/>
          <w:lang w:val="es-ES"/>
        </w:rPr>
        <w:t xml:space="preserve"> el cargo el 4 de marzo de 1801. En febrero, el Congreso aprobó </w:t>
      </w:r>
      <w:r w:rsidR="00493A7D">
        <w:rPr>
          <w:rFonts w:ascii="Arial" w:hAnsi="Arial" w:cs="Arial"/>
          <w:lang w:val="es-ES"/>
        </w:rPr>
        <w:t>el</w:t>
      </w:r>
      <w:r>
        <w:rPr>
          <w:rFonts w:ascii="Arial" w:hAnsi="Arial" w:cs="Arial"/>
          <w:lang w:val="es-ES"/>
        </w:rPr>
        <w:t xml:space="preserve"> </w:t>
      </w:r>
      <w:r>
        <w:rPr>
          <w:rFonts w:ascii="Arial" w:hAnsi="Arial" w:cs="Arial"/>
          <w:i/>
          <w:iCs/>
          <w:lang w:val="es-ES"/>
        </w:rPr>
        <w:t>Circuit Court Act</w:t>
      </w:r>
      <w:r>
        <w:rPr>
          <w:rFonts w:ascii="Arial" w:hAnsi="Arial" w:cs="Arial"/>
          <w:lang w:val="es-ES"/>
        </w:rPr>
        <w:t>, l</w:t>
      </w:r>
      <w:r w:rsidR="00493A7D">
        <w:rPr>
          <w:rFonts w:ascii="Arial" w:hAnsi="Arial" w:cs="Arial"/>
          <w:lang w:val="es-ES"/>
        </w:rPr>
        <w:t>o</w:t>
      </w:r>
      <w:r>
        <w:rPr>
          <w:rFonts w:ascii="Arial" w:hAnsi="Arial" w:cs="Arial"/>
          <w:lang w:val="es-ES"/>
        </w:rPr>
        <w:t xml:space="preserve"> cual doblaría el número de jueces federales, así como </w:t>
      </w:r>
      <w:r w:rsidR="00493A7D">
        <w:rPr>
          <w:rFonts w:ascii="Arial" w:hAnsi="Arial" w:cs="Arial"/>
          <w:lang w:val="es-ES"/>
        </w:rPr>
        <w:t xml:space="preserve">el </w:t>
      </w:r>
      <w:r>
        <w:rPr>
          <w:rFonts w:ascii="Arial" w:hAnsi="Arial" w:cs="Arial"/>
          <w:i/>
          <w:iCs/>
          <w:lang w:val="es-ES"/>
        </w:rPr>
        <w:t>Organic Act</w:t>
      </w:r>
      <w:r>
        <w:rPr>
          <w:rFonts w:ascii="Arial" w:hAnsi="Arial" w:cs="Arial"/>
          <w:lang w:val="es-ES"/>
        </w:rPr>
        <w:t>, l</w:t>
      </w:r>
      <w:r w:rsidR="00493A7D">
        <w:rPr>
          <w:rFonts w:ascii="Arial" w:hAnsi="Arial" w:cs="Arial"/>
          <w:lang w:val="es-ES"/>
        </w:rPr>
        <w:t>o</w:t>
      </w:r>
      <w:r>
        <w:rPr>
          <w:rFonts w:ascii="Arial" w:hAnsi="Arial" w:cs="Arial"/>
          <w:lang w:val="es-ES"/>
        </w:rPr>
        <w:t xml:space="preserve"> cual autorizaba la designación de 42 jueces de paz en el Distrito de Columbia. Los designados por el Presidente Adams para estas posiciones fueron conocidos como “los designados de media noche” y todos eran virtualmente Federalistas. Sus resoluciones fueron aparentemente firmadas por Adams y por el entonces Secretario de Estado John Marshall, pero debido a las limitaciones de tiempo, varias resoluciones, entre las que estaba la de William Marbury, no pud</w:t>
      </w:r>
      <w:r w:rsidR="00493A7D">
        <w:rPr>
          <w:rFonts w:ascii="Arial" w:hAnsi="Arial" w:cs="Arial"/>
          <w:lang w:val="es-ES"/>
        </w:rPr>
        <w:t>ier</w:t>
      </w:r>
      <w:r>
        <w:rPr>
          <w:rFonts w:ascii="Arial" w:hAnsi="Arial" w:cs="Arial"/>
          <w:lang w:val="es-ES"/>
        </w:rPr>
        <w:t>o</w:t>
      </w:r>
      <w:r w:rsidR="00493A7D">
        <w:rPr>
          <w:rFonts w:ascii="Arial" w:hAnsi="Arial" w:cs="Arial"/>
          <w:lang w:val="es-ES"/>
        </w:rPr>
        <w:t>n</w:t>
      </w:r>
      <w:r>
        <w:rPr>
          <w:rFonts w:ascii="Arial" w:hAnsi="Arial" w:cs="Arial"/>
          <w:lang w:val="es-ES"/>
        </w:rPr>
        <w:t xml:space="preserve"> emitirse antes de las 0:00 del 4 de marzo, el último día de Adams en el cargo. </w:t>
      </w:r>
    </w:p>
    <w:p w14:paraId="5E1263E8" w14:textId="77777777" w:rsidR="00191F4C" w:rsidRDefault="00191F4C">
      <w:pPr>
        <w:jc w:val="both"/>
        <w:rPr>
          <w:rFonts w:ascii="Arial" w:hAnsi="Arial" w:cs="Arial"/>
          <w:lang w:val="es-ES"/>
        </w:rPr>
      </w:pPr>
      <w:r>
        <w:rPr>
          <w:rFonts w:ascii="Arial" w:hAnsi="Arial" w:cs="Arial"/>
          <w:lang w:val="es-ES"/>
        </w:rPr>
        <w:lastRenderedPageBreak/>
        <w:t>Jefferson, quien al igual que otros Republicanos estaba enojado por estos nombramientos que considera</w:t>
      </w:r>
      <w:r w:rsidR="00493A7D">
        <w:rPr>
          <w:rFonts w:ascii="Arial" w:hAnsi="Arial" w:cs="Arial"/>
          <w:lang w:val="es-ES"/>
        </w:rPr>
        <w:t>ba</w:t>
      </w:r>
      <w:r>
        <w:rPr>
          <w:rFonts w:ascii="Arial" w:hAnsi="Arial" w:cs="Arial"/>
          <w:lang w:val="es-ES"/>
        </w:rPr>
        <w:t>n ilegítimos, aparentemente ordenó al Secretario de Estado encargado (</w:t>
      </w:r>
      <w:r w:rsidR="00493A7D">
        <w:rPr>
          <w:rFonts w:ascii="Arial" w:hAnsi="Arial" w:cs="Arial"/>
          <w:lang w:val="es-ES"/>
        </w:rPr>
        <w:t>cargo que luego ocuparía</w:t>
      </w:r>
      <w:r>
        <w:rPr>
          <w:rFonts w:ascii="Arial" w:hAnsi="Arial" w:cs="Arial"/>
          <w:lang w:val="es-ES"/>
        </w:rPr>
        <w:t xml:space="preserve"> de James Madison) no emitir las resoluciones faltantes (Ellis 1974, 53-68; Dewey 1970, 75-134; Clinton 1989, 61-101).</w:t>
      </w:r>
    </w:p>
    <w:p w14:paraId="028F98DF" w14:textId="77777777" w:rsidR="00191F4C" w:rsidRDefault="00191F4C">
      <w:pPr>
        <w:jc w:val="both"/>
        <w:rPr>
          <w:rFonts w:ascii="Arial" w:hAnsi="Arial" w:cs="Arial"/>
          <w:lang w:val="es-ES"/>
        </w:rPr>
      </w:pPr>
    </w:p>
    <w:p w14:paraId="59E85177" w14:textId="77777777" w:rsidR="00191F4C" w:rsidRDefault="00191F4C">
      <w:pPr>
        <w:jc w:val="both"/>
        <w:rPr>
          <w:rFonts w:ascii="Arial" w:hAnsi="Arial" w:cs="Arial"/>
          <w:lang w:val="es-ES"/>
        </w:rPr>
      </w:pPr>
      <w:r>
        <w:rPr>
          <w:rFonts w:ascii="Arial" w:hAnsi="Arial" w:cs="Arial"/>
          <w:lang w:val="es-ES"/>
        </w:rPr>
        <w:t>Luego</w:t>
      </w:r>
      <w:r w:rsidR="00163768">
        <w:rPr>
          <w:rFonts w:ascii="Arial" w:hAnsi="Arial" w:cs="Arial"/>
          <w:lang w:val="es-ES"/>
        </w:rPr>
        <w:t>,</w:t>
      </w:r>
      <w:r>
        <w:rPr>
          <w:rFonts w:ascii="Arial" w:hAnsi="Arial" w:cs="Arial"/>
          <w:lang w:val="es-ES"/>
        </w:rPr>
        <w:t xml:space="preserve"> ese mismo año (1801), Marbury y otros buscaron un </w:t>
      </w:r>
      <w:r>
        <w:rPr>
          <w:rFonts w:ascii="Arial" w:hAnsi="Arial" w:cs="Arial"/>
          <w:i/>
          <w:iCs/>
          <w:lang w:val="es-ES"/>
        </w:rPr>
        <w:t>wom</w:t>
      </w:r>
      <w:r>
        <w:rPr>
          <w:rFonts w:ascii="Arial" w:hAnsi="Arial" w:cs="Arial"/>
          <w:lang w:val="es-ES"/>
        </w:rPr>
        <w:t xml:space="preserve"> de parte de la Corte Suprema para que les entreguen sus Resoluciones (Ellis 1974, 43)</w:t>
      </w:r>
      <w:r>
        <w:rPr>
          <w:rStyle w:val="FootnoteReference"/>
          <w:rFonts w:ascii="Arial" w:hAnsi="Arial" w:cs="Arial"/>
          <w:lang w:val="es-ES"/>
        </w:rPr>
        <w:footnoteReference w:id="3"/>
      </w:r>
      <w:r>
        <w:rPr>
          <w:rFonts w:ascii="Arial" w:hAnsi="Arial" w:cs="Arial"/>
          <w:lang w:val="es-ES"/>
        </w:rPr>
        <w:t xml:space="preserve">. La Corte, bajo la presidencia de John Marshall (designado por Adams en enero de 1801), pidió a la nueva Administración que “muestre la causa por la que no se debería  emitir un </w:t>
      </w:r>
      <w:r>
        <w:rPr>
          <w:rFonts w:ascii="Arial" w:hAnsi="Arial" w:cs="Arial"/>
          <w:i/>
          <w:iCs/>
          <w:lang w:val="es-ES"/>
        </w:rPr>
        <w:t>wom</w:t>
      </w:r>
      <w:r>
        <w:rPr>
          <w:rFonts w:ascii="Arial" w:hAnsi="Arial" w:cs="Arial"/>
          <w:lang w:val="es-ES"/>
        </w:rPr>
        <w:t>”, y el caso se dejó para ser tratado en la agenda de 1802. Mientras que el caso estaba pendiente, el ahora Congreso republicano decidió eliminar el año judicial de 1802 para la Corte Suprema, posponiendo la decisión en el caso de Marbury para el 24 de febrero de 1803 (Haskins y Jhonson 1981, 184).</w:t>
      </w:r>
    </w:p>
    <w:p w14:paraId="408A33C0" w14:textId="77777777" w:rsidR="00191F4C" w:rsidRDefault="00191F4C">
      <w:pPr>
        <w:jc w:val="both"/>
        <w:rPr>
          <w:rFonts w:ascii="Arial" w:hAnsi="Arial" w:cs="Arial"/>
          <w:lang w:val="es-ES"/>
        </w:rPr>
      </w:pPr>
    </w:p>
    <w:p w14:paraId="10F01E5A" w14:textId="77777777" w:rsidR="00191F4C" w:rsidRDefault="00191F4C">
      <w:pPr>
        <w:jc w:val="both"/>
        <w:rPr>
          <w:rFonts w:ascii="Arial" w:hAnsi="Arial" w:cs="Arial"/>
          <w:lang w:val="es-ES"/>
        </w:rPr>
      </w:pPr>
      <w:r>
        <w:rPr>
          <w:rFonts w:ascii="Arial" w:hAnsi="Arial" w:cs="Arial"/>
          <w:lang w:val="es-ES"/>
        </w:rPr>
        <w:t xml:space="preserve">Ese mismo día, Marshall entregó la opinión de la Corte en el caso de Marbury Vs. Madison, sosteniendo: (1) que Marbury tenía derecho legal a su Resolución, poniendo en cuestión si Jefferson no había faltado a su responsabilidad de “velar que las leyes sean plenamente ejecutadas”; (2) que Marbury tenía derecho a solicitar una solución en concordancia con las leyes del País; pero (3) que el remedio apropiado no era un </w:t>
      </w:r>
      <w:r>
        <w:rPr>
          <w:rFonts w:ascii="Arial" w:hAnsi="Arial" w:cs="Arial"/>
          <w:i/>
          <w:iCs/>
          <w:lang w:val="es-ES"/>
        </w:rPr>
        <w:t>wom</w:t>
      </w:r>
      <w:r>
        <w:rPr>
          <w:rFonts w:ascii="Arial" w:hAnsi="Arial" w:cs="Arial"/>
          <w:lang w:val="es-ES"/>
        </w:rPr>
        <w:t xml:space="preserve"> desde la Corte Suprema. Para el tercer punto, Marshall se apoyaba en que la Corte Suprema no tenía poder para emitir un </w:t>
      </w:r>
      <w:r>
        <w:rPr>
          <w:rFonts w:ascii="Arial" w:hAnsi="Arial" w:cs="Arial"/>
          <w:i/>
          <w:iCs/>
          <w:lang w:val="es-ES"/>
        </w:rPr>
        <w:t>wom</w:t>
      </w:r>
      <w:r>
        <w:rPr>
          <w:rFonts w:ascii="Arial" w:hAnsi="Arial" w:cs="Arial"/>
          <w:lang w:val="es-ES"/>
        </w:rPr>
        <w:t xml:space="preserve"> al Secretario de Estado pues esto habría sido un ejercicio de jurisdicción original no garantizado por la Constitución, la cual especifica en su Articulo III, sección 2,  que la Corte Suprema tiene jurisdicción original en “todos los casos concernientes a Embajadores, Secretarios y Cónsules, y en aquellos en los que un Estado sea Parte,” y jurisdicción apelativa en los demás casos.</w:t>
      </w:r>
    </w:p>
    <w:p w14:paraId="66C90EC0" w14:textId="77777777" w:rsidR="00191F4C" w:rsidRDefault="00191F4C">
      <w:pPr>
        <w:jc w:val="both"/>
        <w:rPr>
          <w:rFonts w:ascii="Arial" w:hAnsi="Arial" w:cs="Arial"/>
          <w:lang w:val="es-ES"/>
        </w:rPr>
      </w:pPr>
    </w:p>
    <w:p w14:paraId="4A47D476" w14:textId="77777777" w:rsidR="00191F4C" w:rsidRDefault="00191F4C">
      <w:pPr>
        <w:jc w:val="both"/>
        <w:rPr>
          <w:rFonts w:ascii="Arial" w:hAnsi="Arial" w:cs="Arial"/>
          <w:lang w:val="es-ES"/>
        </w:rPr>
      </w:pPr>
      <w:r>
        <w:rPr>
          <w:rFonts w:ascii="Arial" w:hAnsi="Arial" w:cs="Arial"/>
          <w:lang w:val="es-ES"/>
        </w:rPr>
        <w:t xml:space="preserve">Marbury había hecho su demanda bajo el Acta Judicial de 1789 emitida por el Congreso, la cual indicaba en la Sección 13 que la Corte Suprema “tendrá el poder de emitir </w:t>
      </w:r>
      <w:r>
        <w:rPr>
          <w:rFonts w:ascii="Arial" w:hAnsi="Arial" w:cs="Arial"/>
          <w:i/>
          <w:iCs/>
          <w:lang w:val="es-ES"/>
        </w:rPr>
        <w:t xml:space="preserve">prohibiciones </w:t>
      </w:r>
      <w:r>
        <w:rPr>
          <w:rFonts w:ascii="Arial" w:hAnsi="Arial" w:cs="Arial"/>
          <w:lang w:val="es-ES"/>
        </w:rPr>
        <w:t xml:space="preserve"> a las cortes distritales, cuando hayan  procedido como cortes de jurisdicción marítima, y </w:t>
      </w:r>
      <w:r>
        <w:rPr>
          <w:rFonts w:ascii="Arial" w:hAnsi="Arial" w:cs="Arial"/>
          <w:i/>
          <w:iCs/>
          <w:lang w:val="es-ES"/>
        </w:rPr>
        <w:t>woms,</w:t>
      </w:r>
      <w:r>
        <w:rPr>
          <w:rFonts w:ascii="Arial" w:hAnsi="Arial" w:cs="Arial"/>
          <w:lang w:val="es-ES"/>
        </w:rPr>
        <w:t xml:space="preserve"> en casos garantizados por los principios y usos de la ley, a cualquier corte, o persona en cargo público.”  Marshall consideraba a esta cláusula como una  extensión de la jurisdicción original de la Corte, y dado que la Constitución ya había detallado la jurisdicción original de la Corte, el la consideró inconstitucional. De acuerdo a Marshall: “La fraseología de la Constitución confirma y fortalece el principio... que una ley opuesta a la Constitución es inválida, y que las cortes, así como otros departamentos, están sujetas a ese instrumento”.  Así, Lo más importante de este caso, deriva de ser la primera ocasión en la que la Corte Suprema declaró inconstitucional una decisión (Acta) del Congreso. </w:t>
      </w:r>
    </w:p>
    <w:p w14:paraId="40AE7E3F" w14:textId="77777777" w:rsidR="00191F4C" w:rsidRDefault="00191F4C">
      <w:pPr>
        <w:jc w:val="both"/>
        <w:rPr>
          <w:rFonts w:ascii="Arial" w:hAnsi="Arial" w:cs="Arial"/>
          <w:lang w:val="es-ES"/>
        </w:rPr>
      </w:pPr>
    </w:p>
    <w:p w14:paraId="012E0664" w14:textId="77777777" w:rsidR="00F004EB" w:rsidRDefault="00F004EB">
      <w:pPr>
        <w:jc w:val="both"/>
        <w:rPr>
          <w:rFonts w:ascii="Arial" w:hAnsi="Arial" w:cs="Arial"/>
          <w:b/>
          <w:lang w:val="es-ES"/>
        </w:rPr>
      </w:pPr>
    </w:p>
    <w:p w14:paraId="5DB7D316" w14:textId="77777777" w:rsidR="00191F4C" w:rsidRDefault="00191F4C">
      <w:pPr>
        <w:jc w:val="both"/>
        <w:rPr>
          <w:rFonts w:ascii="Arial" w:hAnsi="Arial" w:cs="Arial"/>
          <w:b/>
          <w:lang w:val="es-ES"/>
        </w:rPr>
      </w:pPr>
      <w:r>
        <w:rPr>
          <w:rFonts w:ascii="Arial" w:hAnsi="Arial" w:cs="Arial"/>
          <w:b/>
          <w:lang w:val="es-ES"/>
        </w:rPr>
        <w:t>DETALLES DEL JUEGO</w:t>
      </w:r>
    </w:p>
    <w:p w14:paraId="7029EC00" w14:textId="77777777" w:rsidR="00191F4C" w:rsidRDefault="00191F4C">
      <w:pPr>
        <w:jc w:val="both"/>
        <w:rPr>
          <w:rFonts w:ascii="Arial" w:hAnsi="Arial" w:cs="Arial"/>
          <w:lang w:val="es-ES"/>
        </w:rPr>
      </w:pPr>
    </w:p>
    <w:p w14:paraId="134FAEB8" w14:textId="77777777" w:rsidR="00F004EB" w:rsidRDefault="00F004EB">
      <w:pPr>
        <w:jc w:val="both"/>
        <w:rPr>
          <w:rFonts w:ascii="Arial" w:hAnsi="Arial" w:cs="Arial"/>
          <w:lang w:val="es-ES"/>
        </w:rPr>
      </w:pPr>
    </w:p>
    <w:p w14:paraId="72EE7FEA" w14:textId="77777777" w:rsidR="00F004EB" w:rsidRDefault="00F004EB">
      <w:pPr>
        <w:jc w:val="both"/>
        <w:rPr>
          <w:rFonts w:ascii="Arial" w:hAnsi="Arial" w:cs="Arial"/>
          <w:lang w:val="es-ES"/>
        </w:rPr>
      </w:pPr>
    </w:p>
    <w:p w14:paraId="42AE2141" w14:textId="77777777" w:rsidR="00191F4C" w:rsidRDefault="00191F4C">
      <w:pPr>
        <w:jc w:val="both"/>
        <w:rPr>
          <w:rFonts w:ascii="Arial" w:hAnsi="Arial" w:cs="Arial"/>
          <w:lang w:val="es-ES"/>
        </w:rPr>
      </w:pPr>
      <w:r>
        <w:rPr>
          <w:rFonts w:ascii="Arial" w:hAnsi="Arial" w:cs="Arial"/>
          <w:lang w:val="es-ES"/>
        </w:rPr>
        <w:t xml:space="preserve">Este caso siempre se ha visto como un “juego” por diversos académicos. Lo que es más, en el contexto de las litigaciones que se practica en los sistemas judiciales fuertemente influenciados por el Common Law inglés, sería razonable ver a toda demanda de esta manera. Por ello, es sorprendente que los científicos políticos que trabajan en el campo del derecho público hayan hecho tan poco uso de técnicas de modelamiento para este tipo de análisis. Schubert (1959, 1962) fue uno de los primeros en aplicar la teoría de juegos al estudio de la votación en bloque en la Corte Suprema, Rohde (1972a, 1972b) combinó enfoques estadísticos y de teoría de juegos en sus estudios de formación de coaliciones en las Cortes, mientras que probaba el </w:t>
      </w:r>
      <w:r>
        <w:rPr>
          <w:rFonts w:ascii="Arial" w:hAnsi="Arial" w:cs="Arial"/>
          <w:i/>
          <w:iCs/>
          <w:lang w:val="es-ES"/>
        </w:rPr>
        <w:t>principio del tamaño</w:t>
      </w:r>
      <w:r>
        <w:rPr>
          <w:rFonts w:ascii="Arial" w:hAnsi="Arial" w:cs="Arial"/>
          <w:lang w:val="es-ES"/>
        </w:rPr>
        <w:t xml:space="preserve"> Riker (1962) en el contexto de la conducta judicial. Sin embargo, podemos decir que este es el primer intento de aplicar enfoques tradicionales de teoría de juegos al estudio de un caso en particular.</w:t>
      </w:r>
    </w:p>
    <w:p w14:paraId="2D3E8E29" w14:textId="77777777" w:rsidR="00191F4C" w:rsidRDefault="00191F4C">
      <w:pPr>
        <w:jc w:val="both"/>
        <w:rPr>
          <w:rFonts w:ascii="Arial" w:hAnsi="Arial" w:cs="Arial"/>
          <w:lang w:val="es-ES"/>
        </w:rPr>
      </w:pPr>
    </w:p>
    <w:p w14:paraId="53E082AD" w14:textId="77777777" w:rsidR="00F004EB" w:rsidRDefault="00F004EB">
      <w:pPr>
        <w:jc w:val="both"/>
        <w:rPr>
          <w:rFonts w:ascii="Arial" w:hAnsi="Arial" w:cs="Arial"/>
          <w:lang w:val="es-ES"/>
        </w:rPr>
      </w:pPr>
    </w:p>
    <w:p w14:paraId="67020122" w14:textId="77777777" w:rsidR="00191F4C" w:rsidRDefault="00191F4C">
      <w:pPr>
        <w:jc w:val="both"/>
        <w:rPr>
          <w:rFonts w:ascii="Arial" w:hAnsi="Arial" w:cs="Arial"/>
          <w:lang w:val="es-ES"/>
        </w:rPr>
      </w:pPr>
      <w:r>
        <w:rPr>
          <w:rFonts w:ascii="Arial" w:hAnsi="Arial" w:cs="Arial"/>
          <w:lang w:val="es-ES"/>
        </w:rPr>
        <w:t>Es razonable comenzar este análisis reconstruyendo la situación como un juego suma-no-cero</w:t>
      </w:r>
      <w:r w:rsidR="00F004EB">
        <w:rPr>
          <w:rStyle w:val="FootnoteReference"/>
          <w:rFonts w:ascii="Arial" w:hAnsi="Arial" w:cs="Arial"/>
          <w:lang w:val="es-ES"/>
        </w:rPr>
        <w:footnoteReference w:id="4"/>
      </w:r>
      <w:r>
        <w:rPr>
          <w:rFonts w:ascii="Arial" w:hAnsi="Arial" w:cs="Arial"/>
          <w:lang w:val="es-ES"/>
        </w:rPr>
        <w:t xml:space="preserve"> de dos personas con Marshall y Jefferson como los jugadores</w:t>
      </w:r>
      <w:r>
        <w:rPr>
          <w:rStyle w:val="FootnoteReference"/>
          <w:rFonts w:ascii="Arial" w:hAnsi="Arial" w:cs="Arial"/>
          <w:lang w:val="es-ES"/>
        </w:rPr>
        <w:footnoteReference w:id="5"/>
      </w:r>
      <w:r>
        <w:rPr>
          <w:rFonts w:ascii="Arial" w:hAnsi="Arial" w:cs="Arial"/>
          <w:lang w:val="es-ES"/>
        </w:rPr>
        <w:t>. Construiremos un árbol de decisión que encapsule las alternativas disponibles a los jugadores en cada etapa del conflicto con los correspondientes resultados posibles.</w:t>
      </w:r>
    </w:p>
    <w:p w14:paraId="52F270D5" w14:textId="77777777" w:rsidR="00191F4C" w:rsidRDefault="00191F4C">
      <w:pPr>
        <w:jc w:val="both"/>
        <w:rPr>
          <w:rFonts w:ascii="Arial" w:hAnsi="Arial" w:cs="Arial"/>
          <w:lang w:val="es-ES"/>
        </w:rPr>
      </w:pPr>
    </w:p>
    <w:p w14:paraId="39DF8268" w14:textId="77777777" w:rsidR="00F004EB" w:rsidRDefault="00F004EB">
      <w:pPr>
        <w:rPr>
          <w:rFonts w:ascii="Arial" w:hAnsi="Arial" w:cs="Arial"/>
          <w:lang w:val="es-ES"/>
        </w:rPr>
      </w:pPr>
      <w:r>
        <w:rPr>
          <w:rFonts w:ascii="Arial" w:hAnsi="Arial" w:cs="Arial"/>
          <w:lang w:val="es-ES"/>
        </w:rPr>
        <w:br w:type="page"/>
      </w:r>
    </w:p>
    <w:p w14:paraId="4E9AA041" w14:textId="77777777" w:rsidR="00191F4C" w:rsidRDefault="00191F4C">
      <w:pPr>
        <w:jc w:val="both"/>
        <w:rPr>
          <w:rFonts w:ascii="Arial" w:hAnsi="Arial" w:cs="Arial"/>
          <w:lang w:val="es-ES"/>
        </w:rPr>
      </w:pPr>
      <w:r>
        <w:rPr>
          <w:rFonts w:ascii="Arial" w:hAnsi="Arial" w:cs="Arial"/>
          <w:lang w:val="es-ES"/>
        </w:rPr>
        <w:lastRenderedPageBreak/>
        <w:t>El primer movimiento corresponderá a Jefferson, dado que el puede:</w:t>
      </w:r>
    </w:p>
    <w:p w14:paraId="1D02BA9A" w14:textId="77777777" w:rsidR="00461E39" w:rsidRDefault="00461E39">
      <w:pPr>
        <w:jc w:val="both"/>
        <w:rPr>
          <w:rFonts w:ascii="Arial" w:hAnsi="Arial" w:cs="Arial"/>
          <w:lang w:val="es-ES"/>
        </w:rPr>
      </w:pPr>
    </w:p>
    <w:p w14:paraId="0CBD6962" w14:textId="6567298B" w:rsidR="00191F4C" w:rsidRDefault="004F2ABA">
      <w:pPr>
        <w:jc w:val="both"/>
        <w:rPr>
          <w:rFonts w:ascii="Arial" w:hAnsi="Arial" w:cs="Arial"/>
          <w:lang w:val="es-ES"/>
        </w:rPr>
      </w:pPr>
      <w:r>
        <w:rPr>
          <w:rFonts w:ascii="Arial" w:hAnsi="Arial" w:cs="Arial"/>
          <w:noProof/>
          <w:lang w:eastAsia="en-US"/>
        </w:rPr>
        <mc:AlternateContent>
          <mc:Choice Requires="wpg">
            <w:drawing>
              <wp:anchor distT="0" distB="0" distL="114300" distR="114300" simplePos="0" relativeHeight="251656192" behindDoc="0" locked="0" layoutInCell="1" allowOverlap="1" wp14:anchorId="5A843A46" wp14:editId="5B263FB7">
                <wp:simplePos x="0" y="0"/>
                <wp:positionH relativeFrom="column">
                  <wp:posOffset>2611755</wp:posOffset>
                </wp:positionH>
                <wp:positionV relativeFrom="paragraph">
                  <wp:posOffset>98425</wp:posOffset>
                </wp:positionV>
                <wp:extent cx="2857500" cy="1600200"/>
                <wp:effectExtent l="0" t="0" r="4445" b="15875"/>
                <wp:wrapSquare wrapText="bothSides"/>
                <wp:docPr id="3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600200"/>
                          <a:chOff x="2961" y="1910"/>
                          <a:chExt cx="4500" cy="2387"/>
                        </a:xfrm>
                      </wpg:grpSpPr>
                      <wps:wsp>
                        <wps:cNvPr id="31" name="Oval 15"/>
                        <wps:cNvSpPr>
                          <a:spLocks noChangeArrowheads="1"/>
                        </wps:cNvSpPr>
                        <wps:spPr bwMode="auto">
                          <a:xfrm>
                            <a:off x="3681" y="2834"/>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Text Box 16"/>
                        <wps:cNvSpPr txBox="1">
                          <a:spLocks noChangeArrowheads="1"/>
                        </wps:cNvSpPr>
                        <wps:spPr bwMode="auto">
                          <a:xfrm>
                            <a:off x="2961" y="2270"/>
                            <a:ext cx="19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307D1" w14:textId="77777777" w:rsidR="00191F4C" w:rsidRDefault="00191F4C">
                              <w:pPr>
                                <w:jc w:val="center"/>
                                <w:rPr>
                                  <w:rFonts w:ascii="Arial" w:hAnsi="Arial" w:cs="Arial"/>
                                  <w:sz w:val="20"/>
                                </w:rPr>
                              </w:pPr>
                              <w:r>
                                <w:rPr>
                                  <w:rFonts w:ascii="Arial" w:hAnsi="Arial" w:cs="Arial"/>
                                  <w:sz w:val="20"/>
                                  <w:lang w:val="es-ES"/>
                                </w:rPr>
                                <w:t xml:space="preserve">Turno 1 de </w:t>
                              </w:r>
                              <w:r>
                                <w:rPr>
                                  <w:rFonts w:ascii="Arial" w:hAnsi="Arial" w:cs="Arial"/>
                                  <w:sz w:val="20"/>
                                </w:rPr>
                                <w:t xml:space="preserve"> Jefferson</w:t>
                              </w:r>
                            </w:p>
                          </w:txbxContent>
                        </wps:txbx>
                        <wps:bodyPr rot="0" vert="horz" wrap="square" lIns="91440" tIns="45720" rIns="91440" bIns="45720" anchor="t" anchorCtr="0" upright="1">
                          <a:noAutofit/>
                        </wps:bodyPr>
                      </wps:wsp>
                      <wps:wsp>
                        <wps:cNvPr id="33" name="Line 17"/>
                        <wps:cNvCnPr>
                          <a:cxnSpLocks noChangeShapeType="1"/>
                        </wps:cNvCnPr>
                        <wps:spPr bwMode="auto">
                          <a:xfrm flipV="1">
                            <a:off x="4221" y="2282"/>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8"/>
                        <wps:cNvCnPr>
                          <a:cxnSpLocks noChangeShapeType="1"/>
                        </wps:cNvCnPr>
                        <wps:spPr bwMode="auto">
                          <a:xfrm>
                            <a:off x="4221" y="3206"/>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Oval 19"/>
                        <wps:cNvSpPr>
                          <a:spLocks noChangeArrowheads="1"/>
                        </wps:cNvSpPr>
                        <wps:spPr bwMode="auto">
                          <a:xfrm>
                            <a:off x="5571" y="1910"/>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6" name="Text Box 20"/>
                        <wps:cNvSpPr txBox="1">
                          <a:spLocks noChangeArrowheads="1"/>
                        </wps:cNvSpPr>
                        <wps:spPr bwMode="auto">
                          <a:xfrm>
                            <a:off x="5481" y="1957"/>
                            <a:ext cx="19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9C70E" w14:textId="77777777" w:rsidR="00191F4C" w:rsidRDefault="00191F4C">
                              <w:pPr>
                                <w:jc w:val="center"/>
                                <w:rPr>
                                  <w:rFonts w:ascii="Arial" w:hAnsi="Arial" w:cs="Arial"/>
                                  <w:b/>
                                  <w:sz w:val="22"/>
                                  <w:szCs w:val="22"/>
                                </w:rPr>
                              </w:pPr>
                              <w:bookmarkStart w:id="1" w:name="OLE_LINK2"/>
                              <w:bookmarkStart w:id="2" w:name="OLE_LINK3"/>
                              <w:bookmarkStart w:id="3" w:name="_Hlk120461551"/>
                              <w:r>
                                <w:rPr>
                                  <w:rFonts w:ascii="Arial" w:hAnsi="Arial" w:cs="Arial"/>
                                  <w:b/>
                                  <w:sz w:val="22"/>
                                  <w:szCs w:val="22"/>
                                  <w:lang w:val="es-ES"/>
                                </w:rPr>
                                <w:t>A(1,2)</w:t>
                              </w:r>
                              <w:bookmarkEnd w:id="1"/>
                              <w:bookmarkEnd w:id="2"/>
                              <w:bookmarkEnd w:id="3"/>
                            </w:p>
                          </w:txbxContent>
                        </wps:txbx>
                        <wps:bodyPr rot="0" vert="horz" wrap="square" lIns="91440" tIns="45720" rIns="91440" bIns="45720" anchor="t" anchorCtr="0" upright="1">
                          <a:noAutofit/>
                        </wps:bodyPr>
                      </wps:wsp>
                      <wps:wsp>
                        <wps:cNvPr id="37" name="Text Box 21"/>
                        <wps:cNvSpPr txBox="1">
                          <a:spLocks noChangeArrowheads="1"/>
                        </wps:cNvSpPr>
                        <wps:spPr bwMode="auto">
                          <a:xfrm>
                            <a:off x="4581" y="227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257A9" w14:textId="77777777" w:rsidR="00191F4C" w:rsidRDefault="00191F4C">
                              <w:pPr>
                                <w:jc w:val="center"/>
                                <w:rPr>
                                  <w:rFonts w:ascii="Arial" w:hAnsi="Arial" w:cs="Arial"/>
                                  <w:b/>
                                  <w:i/>
                                  <w:iCs/>
                                  <w:sz w:val="20"/>
                                </w:rPr>
                              </w:pPr>
                              <w:r>
                                <w:rPr>
                                  <w:rFonts w:ascii="Arial" w:hAnsi="Arial" w:cs="Arial"/>
                                  <w:b/>
                                  <w:i/>
                                  <w:iCs/>
                                  <w:sz w:val="20"/>
                                  <w:lang w:val="es-ES"/>
                                </w:rPr>
                                <w:t>a</w:t>
                              </w:r>
                            </w:p>
                          </w:txbxContent>
                        </wps:txbx>
                        <wps:bodyPr rot="0" vert="horz" wrap="square" lIns="91440" tIns="45720" rIns="91440" bIns="45720" anchor="t" anchorCtr="0" upright="1">
                          <a:noAutofit/>
                        </wps:bodyPr>
                      </wps:wsp>
                      <wps:wsp>
                        <wps:cNvPr id="38" name="Text Box 22"/>
                        <wps:cNvSpPr txBox="1">
                          <a:spLocks noChangeArrowheads="1"/>
                        </wps:cNvSpPr>
                        <wps:spPr bwMode="auto">
                          <a:xfrm>
                            <a:off x="4581" y="317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20CBC" w14:textId="77777777" w:rsidR="00191F4C" w:rsidRDefault="00191F4C">
                              <w:pPr>
                                <w:jc w:val="center"/>
                                <w:rPr>
                                  <w:rFonts w:ascii="Arial" w:hAnsi="Arial" w:cs="Arial"/>
                                  <w:b/>
                                  <w:i/>
                                  <w:iCs/>
                                  <w:sz w:val="20"/>
                                </w:rPr>
                              </w:pPr>
                              <w:r>
                                <w:rPr>
                                  <w:rFonts w:ascii="Arial" w:hAnsi="Arial" w:cs="Arial"/>
                                  <w:b/>
                                  <w:i/>
                                  <w:iCs/>
                                  <w:sz w:val="20"/>
                                  <w:lang w:val="es-ES"/>
                                </w:rPr>
                                <w:t>b</w:t>
                              </w:r>
                            </w:p>
                          </w:txbxContent>
                        </wps:txbx>
                        <wps:bodyPr rot="0" vert="horz" wrap="square" lIns="91440" tIns="45720" rIns="91440" bIns="45720" anchor="t" anchorCtr="0" upright="1">
                          <a:noAutofit/>
                        </wps:bodyPr>
                      </wps:wsp>
                      <wps:wsp>
                        <wps:cNvPr id="39" name="Oval 23"/>
                        <wps:cNvSpPr>
                          <a:spLocks noChangeArrowheads="1"/>
                        </wps:cNvSpPr>
                        <wps:spPr bwMode="auto">
                          <a:xfrm>
                            <a:off x="5571" y="3757"/>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Text Box 24"/>
                        <wps:cNvSpPr txBox="1">
                          <a:spLocks noChangeArrowheads="1"/>
                        </wps:cNvSpPr>
                        <wps:spPr bwMode="auto">
                          <a:xfrm>
                            <a:off x="4941" y="321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F059A" w14:textId="77777777" w:rsidR="00191F4C" w:rsidRDefault="00191F4C">
                              <w:pPr>
                                <w:jc w:val="center"/>
                                <w:rPr>
                                  <w:rFonts w:ascii="Arial" w:hAnsi="Arial" w:cs="Arial"/>
                                  <w:sz w:val="20"/>
                                </w:rPr>
                              </w:pPr>
                              <w:r>
                                <w:rPr>
                                  <w:rFonts w:ascii="Arial" w:hAnsi="Arial" w:cs="Arial"/>
                                  <w:sz w:val="20"/>
                                  <w:lang w:val="es-ES"/>
                                </w:rPr>
                                <w:t>Turno</w:t>
                              </w:r>
                              <w:r>
                                <w:rPr>
                                  <w:rFonts w:ascii="Arial" w:hAnsi="Arial" w:cs="Arial"/>
                                  <w:sz w:val="20"/>
                                </w:rPr>
                                <w:t xml:space="preserve"> 1 de Marshall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43A46" id="Group 14" o:spid="_x0000_s1026" style="position:absolute;left:0;text-align:left;margin-left:205.65pt;margin-top:7.75pt;width:225pt;height:126pt;z-index:251656192" coordorigin="2961,1910" coordsize="4500,23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">
                <v:oval id="Oval 15" o:spid="_x0000_s1027" style="position:absolute;left:3681;top:283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RlWvwwAA&#10;ANsAAAAPAAAAZHJzL2Rvd25yZXYueG1sRI9Ba8JAFITvgv9heYXedBODUlJXEaVgDx6atvdH9pkE&#10;s29D9hnjv3cLQo/DzHzDrLeja9VAfWg8G0jnCSji0tuGKwM/3x+zN1BBkC22nsnAnQJsN9PJGnPr&#10;b/xFQyGVihAOORqoRbpc61DW5DDMfUccvbPvHUqUfaVtj7cId61eJMlKO2w4LtTY0b6m8lJcnYFD&#10;tStWg85kmZ0PR1lefk+fWWrM68u4ewclNMp/+Nk+WgNZCn9f4g/Qm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RlWvwwAAANsAAAAPAAAAAAAAAAAAAAAAAJcCAABkcnMvZG93&#10;bnJldi54bWxQSwUGAAAAAAQABAD1AAAAhwMAAAAA&#10;"/>
                <v:shapetype id="_x0000_t202" coordsize="21600,21600" o:spt="202" path="m0,0l0,21600,21600,21600,21600,0xe">
                  <v:stroke joinstyle="miter"/>
                  <v:path gradientshapeok="t" o:connecttype="rect"/>
                </v:shapetype>
                <v:shape id="Text Box 16" o:spid="_x0000_s1028" type="#_x0000_t202" style="position:absolute;left:2961;top:2270;width:19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4A1307D1" w14:textId="77777777" w:rsidR="00191F4C" w:rsidRDefault="00191F4C">
                        <w:pPr>
                          <w:jc w:val="center"/>
                          <w:rPr>
                            <w:rFonts w:ascii="Arial" w:hAnsi="Arial" w:cs="Arial"/>
                            <w:sz w:val="20"/>
                          </w:rPr>
                        </w:pPr>
                        <w:r>
                          <w:rPr>
                            <w:rFonts w:ascii="Arial" w:hAnsi="Arial" w:cs="Arial"/>
                            <w:sz w:val="20"/>
                            <w:lang w:val="es-ES"/>
                          </w:rPr>
                          <w:t xml:space="preserve">Turno 1 de </w:t>
                        </w:r>
                        <w:r>
                          <w:rPr>
                            <w:rFonts w:ascii="Arial" w:hAnsi="Arial" w:cs="Arial"/>
                            <w:sz w:val="20"/>
                          </w:rPr>
                          <w:t xml:space="preserve"> Jefferson</w:t>
                        </w:r>
                      </w:p>
                    </w:txbxContent>
                  </v:textbox>
                </v:shape>
                <v:line id="Line 17" o:spid="_x0000_s1029" style="position:absolute;flip:y;visibility:visible;mso-wrap-style:square" from="4221,2282" to="5481,30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CTgdMUAAADbAAAADwAAAAAAAAAA&#10;AAAAAAChAgAAZHJzL2Rvd25yZXYueG1sUEsFBgAAAAAEAAQA+QAAAJMDAAAAAA==&#10;"/>
                <v:line id="Line 18" o:spid="_x0000_s1030" style="position:absolute;visibility:visible;mso-wrap-style:square" from="4221,3206" to="5481,39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UevGAAAA2wAAAA8AAAAAAAAA&#10;AAAAAAAAoQIAAGRycy9kb3ducmV2LnhtbFBLBQYAAAAABAAEAPkAAACUAwAAAAA=&#10;"/>
                <v:oval id="Oval 19" o:spid="_x0000_s1031" style="position:absolute;left:5571;top:191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g3twgAA&#10;ANsAAAAPAAAAZHJzL2Rvd25yZXYueG1sRI9Bi8IwFITvC/6H8AQvi6a6KFKNIgXFq10Pe3zbPNti&#10;81KSaNt/b4SFPQ4z8w2z3femEU9yvrasYD5LQBAXVtdcKrh+H6drED4ga2wsk4KBPOx3o48tptp2&#10;fKFnHkoRIexTVFCF0KZS+qIig35mW+Lo3awzGKJ0pdQOuwg3jVwkyUoarDkuVNhSVlFxzx9Ggfts&#10;h2w4Z8f5L5/yZbfWP6urVmoy7g8bEIH68B/+a5+1gq8lvL/EHyB3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lWDe3CAAAA2wAAAA8AAAAAAAAAAAAAAAAAlwIAAGRycy9kb3du&#10;cmV2LnhtbFBLBQYAAAAABAAEAPUAAACGAwAAAAA=&#10;" fillcolor="black"/>
                <v:shape id="Text Box 20" o:spid="_x0000_s1032" type="#_x0000_t202" style="position:absolute;left:5481;top:1957;width:198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7499C70E" w14:textId="77777777" w:rsidR="00191F4C" w:rsidRDefault="00191F4C">
                        <w:pPr>
                          <w:jc w:val="center"/>
                          <w:rPr>
                            <w:rFonts w:ascii="Arial" w:hAnsi="Arial" w:cs="Arial"/>
                            <w:b/>
                            <w:sz w:val="22"/>
                            <w:szCs w:val="22"/>
                          </w:rPr>
                        </w:pPr>
                        <w:bookmarkStart w:id="4" w:name="OLE_LINK2"/>
                        <w:bookmarkStart w:id="5" w:name="OLE_LINK3"/>
                        <w:bookmarkStart w:id="6" w:name="_Hlk120461551"/>
                        <w:r>
                          <w:rPr>
                            <w:rFonts w:ascii="Arial" w:hAnsi="Arial" w:cs="Arial"/>
                            <w:b/>
                            <w:sz w:val="22"/>
                            <w:szCs w:val="22"/>
                            <w:lang w:val="es-ES"/>
                          </w:rPr>
                          <w:t>A(1,2)</w:t>
                        </w:r>
                        <w:bookmarkEnd w:id="4"/>
                        <w:bookmarkEnd w:id="5"/>
                        <w:bookmarkEnd w:id="6"/>
                      </w:p>
                    </w:txbxContent>
                  </v:textbox>
                </v:shape>
                <v:shape id="Text Box 21" o:spid="_x0000_s1033" type="#_x0000_t202" style="position:absolute;left:4581;top:227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3B6257A9" w14:textId="77777777" w:rsidR="00191F4C" w:rsidRDefault="00191F4C">
                        <w:pPr>
                          <w:jc w:val="center"/>
                          <w:rPr>
                            <w:rFonts w:ascii="Arial" w:hAnsi="Arial" w:cs="Arial"/>
                            <w:b/>
                            <w:i/>
                            <w:iCs/>
                            <w:sz w:val="20"/>
                          </w:rPr>
                        </w:pPr>
                        <w:r>
                          <w:rPr>
                            <w:rFonts w:ascii="Arial" w:hAnsi="Arial" w:cs="Arial"/>
                            <w:b/>
                            <w:i/>
                            <w:iCs/>
                            <w:sz w:val="20"/>
                            <w:lang w:val="es-ES"/>
                          </w:rPr>
                          <w:t>a</w:t>
                        </w:r>
                      </w:p>
                    </w:txbxContent>
                  </v:textbox>
                </v:shape>
                <v:shape id="Text Box 22" o:spid="_x0000_s1034" type="#_x0000_t202" style="position:absolute;left:4581;top:317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47020CBC" w14:textId="77777777" w:rsidR="00191F4C" w:rsidRDefault="00191F4C">
                        <w:pPr>
                          <w:jc w:val="center"/>
                          <w:rPr>
                            <w:rFonts w:ascii="Arial" w:hAnsi="Arial" w:cs="Arial"/>
                            <w:b/>
                            <w:i/>
                            <w:iCs/>
                            <w:sz w:val="20"/>
                          </w:rPr>
                        </w:pPr>
                        <w:r>
                          <w:rPr>
                            <w:rFonts w:ascii="Arial" w:hAnsi="Arial" w:cs="Arial"/>
                            <w:b/>
                            <w:i/>
                            <w:iCs/>
                            <w:sz w:val="20"/>
                            <w:lang w:val="es-ES"/>
                          </w:rPr>
                          <w:t>b</w:t>
                        </w:r>
                      </w:p>
                    </w:txbxContent>
                  </v:textbox>
                </v:shape>
                <v:oval id="Oval 23" o:spid="_x0000_s1035" style="position:absolute;left:5571;top:375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MFmpwwAA&#10;ANsAAAAPAAAAZHJzL2Rvd25yZXYueG1sRI9Ba8JAFITvQv/D8oTedKNBaaOrSKVgDx4a2/sj+0yC&#10;2bch+4zx37sFocdhZr5h1tvBNaqnLtSeDcymCSjiwtuaSwM/p8/JG6ggyBYbz2TgTgG2m5fRGjPr&#10;b/xNfS6lihAOGRqoRNpM61BU5DBMfUscvbPvHEqUXalth7cId42eJ8lSO6w5LlTY0kdFxSW/OgP7&#10;cpcve53KIj3vD7K4/B6/0pkxr+NhtwIlNMh/+Nk+WAPpO/x9iT9Abx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MFmpwwAAANsAAAAPAAAAAAAAAAAAAAAAAJcCAABkcnMvZG93&#10;bnJldi54bWxQSwUGAAAAAAQABAD1AAAAhwMAAAAA&#10;"/>
                <v:shape id="Text Box 24" o:spid="_x0000_s1036" type="#_x0000_t202" style="position:absolute;left:4941;top:3217;width:180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47BF059A" w14:textId="77777777" w:rsidR="00191F4C" w:rsidRDefault="00191F4C">
                        <w:pPr>
                          <w:jc w:val="center"/>
                          <w:rPr>
                            <w:rFonts w:ascii="Arial" w:hAnsi="Arial" w:cs="Arial"/>
                            <w:sz w:val="20"/>
                          </w:rPr>
                        </w:pPr>
                        <w:r>
                          <w:rPr>
                            <w:rFonts w:ascii="Arial" w:hAnsi="Arial" w:cs="Arial"/>
                            <w:sz w:val="20"/>
                            <w:lang w:val="es-ES"/>
                          </w:rPr>
                          <w:t>Turno</w:t>
                        </w:r>
                        <w:r>
                          <w:rPr>
                            <w:rFonts w:ascii="Arial" w:hAnsi="Arial" w:cs="Arial"/>
                            <w:sz w:val="20"/>
                          </w:rPr>
                          <w:t xml:space="preserve"> 1 de Marshall</w:t>
                        </w:r>
                      </w:p>
                    </w:txbxContent>
                  </v:textbox>
                </v:shape>
                <w10:wrap type="square"/>
              </v:group>
            </w:pict>
          </mc:Fallback>
        </mc:AlternateContent>
      </w:r>
      <w:r w:rsidR="00191F4C">
        <w:rPr>
          <w:rFonts w:ascii="Arial" w:hAnsi="Arial" w:cs="Arial"/>
          <w:b/>
          <w:bCs/>
          <w:lang w:val="es-ES"/>
        </w:rPr>
        <w:t>a</w:t>
      </w:r>
      <w:r w:rsidR="00191F4C">
        <w:rPr>
          <w:rFonts w:ascii="Arial" w:hAnsi="Arial" w:cs="Arial"/>
          <w:lang w:val="es-ES"/>
        </w:rPr>
        <w:t xml:space="preserve"> : ordenar a Madison que emita la Resolución, lo que significaría que Marbury y los otros no presentarían ninguna demanda, no habrá conflicto, y el juego se acaba; o puede ordenarle </w:t>
      </w:r>
    </w:p>
    <w:p w14:paraId="59809A5C" w14:textId="77777777" w:rsidR="00191F4C" w:rsidRDefault="00191F4C">
      <w:pPr>
        <w:jc w:val="both"/>
        <w:rPr>
          <w:rFonts w:ascii="Arial" w:hAnsi="Arial" w:cs="Arial"/>
          <w:lang w:val="es-ES"/>
        </w:rPr>
      </w:pPr>
      <w:r>
        <w:rPr>
          <w:rFonts w:ascii="Arial" w:hAnsi="Arial" w:cs="Arial"/>
          <w:b/>
          <w:bCs/>
          <w:i/>
          <w:iCs/>
          <w:lang w:val="es-ES"/>
        </w:rPr>
        <w:t>b</w:t>
      </w:r>
      <w:r>
        <w:rPr>
          <w:rFonts w:ascii="Arial" w:hAnsi="Arial" w:cs="Arial"/>
          <w:lang w:val="es-ES"/>
        </w:rPr>
        <w:t xml:space="preserve"> :que no emita la Resolución,  ante lo que Marbury procederá a la demanda, y comenzarían las movidas de Marshall. </w:t>
      </w:r>
    </w:p>
    <w:p w14:paraId="35AE9962" w14:textId="77777777" w:rsidR="00461E39" w:rsidRDefault="00461E39">
      <w:pPr>
        <w:jc w:val="both"/>
        <w:rPr>
          <w:rFonts w:ascii="Arial" w:hAnsi="Arial" w:cs="Arial"/>
          <w:lang w:val="es-ES"/>
        </w:rPr>
      </w:pPr>
    </w:p>
    <w:p w14:paraId="063F15E7" w14:textId="34DC9D94" w:rsidR="00191F4C" w:rsidRDefault="004F2ABA">
      <w:pPr>
        <w:jc w:val="both"/>
        <w:rPr>
          <w:rFonts w:ascii="Arial" w:hAnsi="Arial" w:cs="Arial"/>
          <w:lang w:val="es-ES"/>
        </w:rPr>
      </w:pPr>
      <w:r>
        <w:rPr>
          <w:rFonts w:ascii="Arial" w:hAnsi="Arial" w:cs="Arial"/>
          <w:noProof/>
          <w:lang w:eastAsia="en-US"/>
        </w:rPr>
        <mc:AlternateContent>
          <mc:Choice Requires="wps">
            <w:drawing>
              <wp:anchor distT="0" distB="0" distL="114300" distR="114300" simplePos="0" relativeHeight="251659264" behindDoc="0" locked="0" layoutInCell="1" allowOverlap="1" wp14:anchorId="1DBC66F3" wp14:editId="5345B925">
                <wp:simplePos x="0" y="0"/>
                <wp:positionH relativeFrom="column">
                  <wp:posOffset>1485900</wp:posOffset>
                </wp:positionH>
                <wp:positionV relativeFrom="paragraph">
                  <wp:posOffset>136525</wp:posOffset>
                </wp:positionV>
                <wp:extent cx="3737610" cy="393065"/>
                <wp:effectExtent l="0" t="0" r="8890" b="16510"/>
                <wp:wrapNone/>
                <wp:docPr id="2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7610" cy="393065"/>
                        </a:xfrm>
                        <a:prstGeom prst="rect">
                          <a:avLst/>
                        </a:prstGeom>
                        <a:solidFill>
                          <a:srgbClr val="FFFFFF"/>
                        </a:solidFill>
                        <a:ln w="9525">
                          <a:solidFill>
                            <a:srgbClr val="000000"/>
                          </a:solidFill>
                          <a:miter lim="800000"/>
                          <a:headEnd/>
                          <a:tailEnd/>
                        </a:ln>
                      </wps:spPr>
                      <wps:txbx>
                        <w:txbxContent>
                          <w:p w14:paraId="632615C9" w14:textId="77777777" w:rsidR="00461E39" w:rsidRPr="00F004EB" w:rsidRDefault="00461E39" w:rsidP="00461E39">
                            <w:pPr>
                              <w:pStyle w:val="Heading1"/>
                              <w:jc w:val="left"/>
                              <w:rPr>
                                <w:sz w:val="20"/>
                              </w:rPr>
                            </w:pPr>
                            <w:r w:rsidRPr="00F004EB">
                              <w:rPr>
                                <w:b/>
                                <w:sz w:val="20"/>
                                <w:u w:val="single"/>
                              </w:rPr>
                              <w:t>NOTA</w:t>
                            </w:r>
                            <w:r w:rsidRPr="00F004EB">
                              <w:rPr>
                                <w:sz w:val="20"/>
                              </w:rPr>
                              <w:t xml:space="preserve">: LAS LETRAS </w:t>
                            </w:r>
                            <w:r w:rsidRPr="00F004EB">
                              <w:rPr>
                                <w:b/>
                                <w:bCs/>
                                <w:sz w:val="20"/>
                              </w:rPr>
                              <w:t>MAYUSCULAS</w:t>
                            </w:r>
                            <w:r w:rsidRPr="00F004EB">
                              <w:rPr>
                                <w:sz w:val="20"/>
                              </w:rPr>
                              <w:t xml:space="preserve"> EN CADA </w:t>
                            </w:r>
                            <w:r w:rsidRPr="00F004EB">
                              <w:rPr>
                                <w:b/>
                                <w:bCs/>
                                <w:sz w:val="20"/>
                              </w:rPr>
                              <w:t>NODO</w:t>
                            </w:r>
                            <w:r w:rsidRPr="00F004EB">
                              <w:rPr>
                                <w:sz w:val="20"/>
                              </w:rPr>
                              <w:t xml:space="preserve"> SE EXPLICARAN LUEGO.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BC66F3" id="Text Box 68" o:spid="_x0000_s1037" type="#_x0000_t202" style="position:absolute;left:0;text-align:left;margin-left:117pt;margin-top:10.75pt;width:294.3pt;height:30.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">
                <v:textbox style="mso-fit-shape-to-text:t">
                  <w:txbxContent>
                    <w:p w14:paraId="632615C9" w14:textId="77777777" w:rsidR="00461E39" w:rsidRPr="00F004EB" w:rsidRDefault="00461E39" w:rsidP="00461E39">
                      <w:pPr>
                        <w:pStyle w:val="Heading1"/>
                        <w:jc w:val="left"/>
                        <w:rPr>
                          <w:sz w:val="20"/>
                        </w:rPr>
                      </w:pPr>
                      <w:r w:rsidRPr="00F004EB">
                        <w:rPr>
                          <w:b/>
                          <w:sz w:val="20"/>
                          <w:u w:val="single"/>
                        </w:rPr>
                        <w:t>NOTA</w:t>
                      </w:r>
                      <w:r w:rsidRPr="00F004EB">
                        <w:rPr>
                          <w:sz w:val="20"/>
                        </w:rPr>
                        <w:t xml:space="preserve">: LAS LETRAS </w:t>
                      </w:r>
                      <w:r w:rsidRPr="00F004EB">
                        <w:rPr>
                          <w:b/>
                          <w:bCs/>
                          <w:sz w:val="20"/>
                        </w:rPr>
                        <w:t>MAYUSCULAS</w:t>
                      </w:r>
                      <w:r w:rsidRPr="00F004EB">
                        <w:rPr>
                          <w:sz w:val="20"/>
                        </w:rPr>
                        <w:t xml:space="preserve"> EN CADA </w:t>
                      </w:r>
                      <w:r w:rsidRPr="00F004EB">
                        <w:rPr>
                          <w:b/>
                          <w:bCs/>
                          <w:sz w:val="20"/>
                        </w:rPr>
                        <w:t>NODO</w:t>
                      </w:r>
                      <w:r w:rsidRPr="00F004EB">
                        <w:rPr>
                          <w:sz w:val="20"/>
                        </w:rPr>
                        <w:t xml:space="preserve"> SE EXPLICARAN LUEGO.</w:t>
                      </w:r>
                    </w:p>
                  </w:txbxContent>
                </v:textbox>
              </v:shape>
            </w:pict>
          </mc:Fallback>
        </mc:AlternateContent>
      </w:r>
    </w:p>
    <w:p w14:paraId="3D37F577" w14:textId="77777777" w:rsidR="00F004EB" w:rsidRDefault="00F004EB">
      <w:pPr>
        <w:jc w:val="both"/>
        <w:rPr>
          <w:rFonts w:ascii="Arial" w:hAnsi="Arial" w:cs="Arial"/>
          <w:lang w:val="es-ES"/>
        </w:rPr>
      </w:pPr>
    </w:p>
    <w:p w14:paraId="26D0B910" w14:textId="77777777" w:rsidR="00F004EB" w:rsidRDefault="00F004EB">
      <w:pPr>
        <w:jc w:val="both"/>
        <w:rPr>
          <w:rFonts w:ascii="Arial" w:hAnsi="Arial" w:cs="Arial"/>
          <w:lang w:val="es-ES"/>
        </w:rPr>
      </w:pPr>
    </w:p>
    <w:p w14:paraId="305864B1" w14:textId="77777777" w:rsidR="00F004EB" w:rsidRDefault="00F004EB">
      <w:pPr>
        <w:jc w:val="both"/>
        <w:rPr>
          <w:rFonts w:ascii="Arial" w:hAnsi="Arial" w:cs="Arial"/>
          <w:lang w:val="es-ES"/>
        </w:rPr>
      </w:pPr>
    </w:p>
    <w:p w14:paraId="4A1BB7E3" w14:textId="77777777" w:rsidR="00F004EB" w:rsidRDefault="00F004EB">
      <w:pPr>
        <w:jc w:val="both"/>
        <w:rPr>
          <w:rFonts w:ascii="Arial" w:hAnsi="Arial" w:cs="Arial"/>
          <w:lang w:val="es-ES"/>
        </w:rPr>
      </w:pPr>
    </w:p>
    <w:p w14:paraId="246A5449" w14:textId="77777777" w:rsidR="00191F4C" w:rsidRDefault="00191F4C">
      <w:pPr>
        <w:jc w:val="both"/>
        <w:rPr>
          <w:rFonts w:ascii="Arial" w:hAnsi="Arial" w:cs="Arial"/>
          <w:lang w:val="es-ES"/>
        </w:rPr>
      </w:pPr>
      <w:r>
        <w:rPr>
          <w:rFonts w:ascii="Arial" w:hAnsi="Arial" w:cs="Arial"/>
          <w:lang w:val="es-ES"/>
        </w:rPr>
        <w:t xml:space="preserve">La elección de </w:t>
      </w:r>
      <w:r>
        <w:rPr>
          <w:rFonts w:ascii="Arial" w:hAnsi="Arial" w:cs="Arial"/>
          <w:i/>
          <w:iCs/>
          <w:lang w:val="es-ES"/>
        </w:rPr>
        <w:t>a</w:t>
      </w:r>
      <w:r>
        <w:rPr>
          <w:rFonts w:ascii="Arial" w:hAnsi="Arial" w:cs="Arial"/>
          <w:lang w:val="es-ES"/>
        </w:rPr>
        <w:t xml:space="preserve"> lleva al resultado </w:t>
      </w:r>
      <w:r>
        <w:rPr>
          <w:rFonts w:ascii="Arial" w:hAnsi="Arial" w:cs="Arial"/>
          <w:i/>
          <w:iCs/>
          <w:lang w:val="es-ES"/>
        </w:rPr>
        <w:t>A (</w:t>
      </w:r>
      <w:r>
        <w:rPr>
          <w:rFonts w:ascii="Arial" w:hAnsi="Arial" w:cs="Arial"/>
          <w:lang w:val="es-ES"/>
        </w:rPr>
        <w:t xml:space="preserve">no movimiento para Marshall en esta situación). Por otro lado, la elección de </w:t>
      </w:r>
      <w:r>
        <w:rPr>
          <w:rFonts w:ascii="Arial" w:hAnsi="Arial" w:cs="Arial"/>
          <w:i/>
          <w:iCs/>
          <w:lang w:val="es-ES"/>
        </w:rPr>
        <w:t>b</w:t>
      </w:r>
      <w:r>
        <w:rPr>
          <w:rFonts w:ascii="Arial" w:hAnsi="Arial" w:cs="Arial"/>
          <w:lang w:val="es-ES"/>
        </w:rPr>
        <w:t xml:space="preserve"> enfrenta a Marshall con tres opciones posibles: </w:t>
      </w:r>
    </w:p>
    <w:p w14:paraId="1E303FAD" w14:textId="632D6DA2" w:rsidR="00191F4C" w:rsidRDefault="004F2ABA">
      <w:pPr>
        <w:jc w:val="both"/>
        <w:rPr>
          <w:rFonts w:ascii="Arial" w:hAnsi="Arial" w:cs="Arial"/>
          <w:lang w:val="es-ES"/>
        </w:rPr>
      </w:pPr>
      <w:r>
        <w:rPr>
          <w:rFonts w:ascii="Arial" w:hAnsi="Arial" w:cs="Arial"/>
          <w:noProof/>
          <w:lang w:eastAsia="en-US"/>
        </w:rPr>
        <mc:AlternateContent>
          <mc:Choice Requires="wpg">
            <w:drawing>
              <wp:anchor distT="0" distB="0" distL="114300" distR="114300" simplePos="0" relativeHeight="251657216" behindDoc="0" locked="0" layoutInCell="1" allowOverlap="1" wp14:anchorId="5FC631BF" wp14:editId="7BEA362E">
                <wp:simplePos x="0" y="0"/>
                <wp:positionH relativeFrom="column">
                  <wp:posOffset>0</wp:posOffset>
                </wp:positionH>
                <wp:positionV relativeFrom="paragraph">
                  <wp:posOffset>45720</wp:posOffset>
                </wp:positionV>
                <wp:extent cx="2514600" cy="2057400"/>
                <wp:effectExtent l="0" t="0" r="0" b="5080"/>
                <wp:wrapSquare wrapText="bothSides"/>
                <wp:docPr id="1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057400"/>
                          <a:chOff x="1341" y="9470"/>
                          <a:chExt cx="3960" cy="2747"/>
                        </a:xfrm>
                      </wpg:grpSpPr>
                      <wps:wsp>
                        <wps:cNvPr id="15" name="Oval 26"/>
                        <wps:cNvSpPr>
                          <a:spLocks noChangeArrowheads="1"/>
                        </wps:cNvSpPr>
                        <wps:spPr bwMode="auto">
                          <a:xfrm>
                            <a:off x="1881" y="10394"/>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27"/>
                        <wps:cNvSpPr txBox="1">
                          <a:spLocks noChangeArrowheads="1"/>
                        </wps:cNvSpPr>
                        <wps:spPr bwMode="auto">
                          <a:xfrm>
                            <a:off x="1341" y="9830"/>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D2EF1" w14:textId="77777777" w:rsidR="00191F4C" w:rsidRDefault="00191F4C">
                              <w:pPr>
                                <w:jc w:val="center"/>
                                <w:rPr>
                                  <w:rFonts w:ascii="Arial" w:hAnsi="Arial" w:cs="Arial"/>
                                  <w:sz w:val="20"/>
                                </w:rPr>
                              </w:pPr>
                              <w:r>
                                <w:rPr>
                                  <w:rFonts w:ascii="Arial" w:hAnsi="Arial" w:cs="Arial"/>
                                  <w:sz w:val="20"/>
                                  <w:lang w:val="es-ES"/>
                                </w:rPr>
                                <w:t xml:space="preserve">Turno 1 de </w:t>
                              </w:r>
                              <w:r>
                                <w:rPr>
                                  <w:rFonts w:ascii="Arial" w:hAnsi="Arial" w:cs="Arial"/>
                                  <w:sz w:val="20"/>
                                </w:rPr>
                                <w:t xml:space="preserve"> Marshall</w:t>
                              </w:r>
                            </w:p>
                          </w:txbxContent>
                        </wps:txbx>
                        <wps:bodyPr rot="0" vert="horz" wrap="square" lIns="91440" tIns="45720" rIns="91440" bIns="45720" anchor="t" anchorCtr="0" upright="1">
                          <a:noAutofit/>
                        </wps:bodyPr>
                      </wps:wsp>
                      <wps:wsp>
                        <wps:cNvPr id="17" name="Line 28"/>
                        <wps:cNvCnPr>
                          <a:cxnSpLocks noChangeShapeType="1"/>
                        </wps:cNvCnPr>
                        <wps:spPr bwMode="auto">
                          <a:xfrm flipV="1">
                            <a:off x="2421" y="9842"/>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9"/>
                        <wps:cNvCnPr>
                          <a:cxnSpLocks noChangeShapeType="1"/>
                        </wps:cNvCnPr>
                        <wps:spPr bwMode="auto">
                          <a:xfrm>
                            <a:off x="2421" y="10766"/>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Oval 30"/>
                        <wps:cNvSpPr>
                          <a:spLocks noChangeArrowheads="1"/>
                        </wps:cNvSpPr>
                        <wps:spPr bwMode="auto">
                          <a:xfrm>
                            <a:off x="3771" y="9470"/>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Text Box 31"/>
                        <wps:cNvSpPr txBox="1">
                          <a:spLocks noChangeArrowheads="1"/>
                        </wps:cNvSpPr>
                        <wps:spPr bwMode="auto">
                          <a:xfrm>
                            <a:off x="4041" y="10417"/>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00595" w14:textId="77777777" w:rsidR="00191F4C" w:rsidRDefault="00191F4C">
                              <w:pPr>
                                <w:jc w:val="center"/>
                                <w:rPr>
                                  <w:rFonts w:ascii="Arial" w:hAnsi="Arial" w:cs="Arial"/>
                                  <w:b/>
                                  <w:sz w:val="22"/>
                                  <w:szCs w:val="22"/>
                                </w:rPr>
                              </w:pPr>
                              <w:r>
                                <w:rPr>
                                  <w:rFonts w:ascii="Arial" w:hAnsi="Arial" w:cs="Arial"/>
                                  <w:b/>
                                  <w:sz w:val="22"/>
                                  <w:szCs w:val="22"/>
                                  <w:lang w:val="es-ES"/>
                                </w:rPr>
                                <w:t>D(4,1)</w:t>
                              </w:r>
                            </w:p>
                          </w:txbxContent>
                        </wps:txbx>
                        <wps:bodyPr rot="0" vert="horz" wrap="square" lIns="91440" tIns="45720" rIns="91440" bIns="45720" anchor="t" anchorCtr="0" upright="1">
                          <a:noAutofit/>
                        </wps:bodyPr>
                      </wps:wsp>
                      <wps:wsp>
                        <wps:cNvPr id="21" name="Text Box 32"/>
                        <wps:cNvSpPr txBox="1">
                          <a:spLocks noChangeArrowheads="1"/>
                        </wps:cNvSpPr>
                        <wps:spPr bwMode="auto">
                          <a:xfrm>
                            <a:off x="2781" y="98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B4902" w14:textId="77777777" w:rsidR="00191F4C" w:rsidRDefault="00191F4C">
                              <w:pPr>
                                <w:jc w:val="center"/>
                                <w:rPr>
                                  <w:rFonts w:ascii="Arial" w:hAnsi="Arial" w:cs="Arial"/>
                                  <w:b/>
                                  <w:i/>
                                  <w:iCs/>
                                  <w:sz w:val="20"/>
                                </w:rPr>
                              </w:pPr>
                              <w:r>
                                <w:rPr>
                                  <w:rFonts w:ascii="Arial" w:hAnsi="Arial" w:cs="Arial"/>
                                  <w:b/>
                                  <w:i/>
                                  <w:iCs/>
                                  <w:sz w:val="20"/>
                                  <w:lang w:val="es-ES"/>
                                </w:rPr>
                                <w:t>e</w:t>
                              </w:r>
                            </w:p>
                          </w:txbxContent>
                        </wps:txbx>
                        <wps:bodyPr rot="0" vert="horz" wrap="square" lIns="91440" tIns="45720" rIns="91440" bIns="45720" anchor="t" anchorCtr="0" upright="1">
                          <a:noAutofit/>
                        </wps:bodyPr>
                      </wps:wsp>
                      <wps:wsp>
                        <wps:cNvPr id="22" name="Text Box 33"/>
                        <wps:cNvSpPr txBox="1">
                          <a:spLocks noChangeArrowheads="1"/>
                        </wps:cNvSpPr>
                        <wps:spPr bwMode="auto">
                          <a:xfrm>
                            <a:off x="2781" y="1073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A2AD4" w14:textId="77777777" w:rsidR="00191F4C" w:rsidRDefault="00191F4C">
                              <w:pPr>
                                <w:jc w:val="center"/>
                                <w:rPr>
                                  <w:rFonts w:ascii="Arial" w:hAnsi="Arial" w:cs="Arial"/>
                                  <w:b/>
                                  <w:i/>
                                  <w:iCs/>
                                  <w:sz w:val="20"/>
                                </w:rPr>
                              </w:pPr>
                              <w:r>
                                <w:rPr>
                                  <w:rFonts w:ascii="Arial" w:hAnsi="Arial" w:cs="Arial"/>
                                  <w:b/>
                                  <w:i/>
                                  <w:iCs/>
                                  <w:sz w:val="20"/>
                                  <w:lang w:val="es-ES"/>
                                </w:rPr>
                                <w:t>c</w:t>
                              </w:r>
                            </w:p>
                          </w:txbxContent>
                        </wps:txbx>
                        <wps:bodyPr rot="0" vert="horz" wrap="square" lIns="91440" tIns="45720" rIns="91440" bIns="45720" anchor="t" anchorCtr="0" upright="1">
                          <a:noAutofit/>
                        </wps:bodyPr>
                      </wps:wsp>
                      <wps:wsp>
                        <wps:cNvPr id="23" name="Oval 34"/>
                        <wps:cNvSpPr>
                          <a:spLocks noChangeArrowheads="1"/>
                        </wps:cNvSpPr>
                        <wps:spPr bwMode="auto">
                          <a:xfrm>
                            <a:off x="3771" y="11317"/>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35"/>
                        <wps:cNvSpPr txBox="1">
                          <a:spLocks noChangeArrowheads="1"/>
                        </wps:cNvSpPr>
                        <wps:spPr bwMode="auto">
                          <a:xfrm>
                            <a:off x="2421" y="1149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A1E3E" w14:textId="77777777" w:rsidR="00191F4C" w:rsidRDefault="00191F4C">
                              <w:pPr>
                                <w:jc w:val="center"/>
                                <w:rPr>
                                  <w:rFonts w:ascii="Arial" w:hAnsi="Arial" w:cs="Arial"/>
                                  <w:sz w:val="20"/>
                                </w:rPr>
                              </w:pPr>
                              <w:r>
                                <w:rPr>
                                  <w:rFonts w:ascii="Arial" w:hAnsi="Arial" w:cs="Arial"/>
                                  <w:sz w:val="20"/>
                                  <w:lang w:val="es-ES"/>
                                </w:rPr>
                                <w:t>Turno</w:t>
                              </w:r>
                              <w:r>
                                <w:rPr>
                                  <w:rFonts w:ascii="Arial" w:hAnsi="Arial" w:cs="Arial"/>
                                  <w:sz w:val="20"/>
                                </w:rPr>
                                <w:t xml:space="preserve"> 2           de Jefferson</w:t>
                              </w:r>
                            </w:p>
                          </w:txbxContent>
                        </wps:txbx>
                        <wps:bodyPr rot="0" vert="horz" wrap="square" lIns="91440" tIns="45720" rIns="91440" bIns="45720" anchor="t" anchorCtr="0" upright="1">
                          <a:noAutofit/>
                        </wps:bodyPr>
                      </wps:wsp>
                      <wps:wsp>
                        <wps:cNvPr id="25" name="Text Box 36"/>
                        <wps:cNvSpPr txBox="1">
                          <a:spLocks noChangeArrowheads="1"/>
                        </wps:cNvSpPr>
                        <wps:spPr bwMode="auto">
                          <a:xfrm>
                            <a:off x="2781" y="1023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C51DF" w14:textId="77777777" w:rsidR="00191F4C" w:rsidRDefault="00191F4C">
                              <w:pPr>
                                <w:jc w:val="center"/>
                                <w:rPr>
                                  <w:rFonts w:ascii="Arial" w:hAnsi="Arial" w:cs="Arial"/>
                                  <w:b/>
                                  <w:i/>
                                  <w:iCs/>
                                  <w:sz w:val="20"/>
                                </w:rPr>
                              </w:pPr>
                              <w:r>
                                <w:rPr>
                                  <w:rFonts w:ascii="Arial" w:hAnsi="Arial" w:cs="Arial"/>
                                  <w:b/>
                                  <w:i/>
                                  <w:iCs/>
                                  <w:sz w:val="20"/>
                                  <w:lang w:val="es-ES"/>
                                </w:rPr>
                                <w:t>d</w:t>
                              </w:r>
                            </w:p>
                          </w:txbxContent>
                        </wps:txbx>
                        <wps:bodyPr rot="0" vert="horz" wrap="square" lIns="91440" tIns="45720" rIns="91440" bIns="45720" anchor="t" anchorCtr="0" upright="1">
                          <a:noAutofit/>
                        </wps:bodyPr>
                      </wps:wsp>
                      <wps:wsp>
                        <wps:cNvPr id="26" name="Line 37"/>
                        <wps:cNvCnPr>
                          <a:cxnSpLocks noChangeShapeType="1"/>
                        </wps:cNvCnPr>
                        <wps:spPr bwMode="auto">
                          <a:xfrm flipV="1">
                            <a:off x="2421" y="1066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38"/>
                        <wps:cNvSpPr>
                          <a:spLocks noChangeArrowheads="1"/>
                        </wps:cNvSpPr>
                        <wps:spPr bwMode="auto">
                          <a:xfrm>
                            <a:off x="3771" y="10394"/>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8" name="Text Box 39"/>
                        <wps:cNvSpPr txBox="1">
                          <a:spLocks noChangeArrowheads="1"/>
                        </wps:cNvSpPr>
                        <wps:spPr bwMode="auto">
                          <a:xfrm>
                            <a:off x="4041" y="9517"/>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AB2FE" w14:textId="77777777" w:rsidR="00191F4C" w:rsidRDefault="00191F4C">
                              <w:pPr>
                                <w:jc w:val="center"/>
                                <w:rPr>
                                  <w:rFonts w:ascii="Arial" w:hAnsi="Arial" w:cs="Arial"/>
                                  <w:b/>
                                  <w:sz w:val="22"/>
                                  <w:szCs w:val="22"/>
                                </w:rPr>
                              </w:pPr>
                              <w:r>
                                <w:rPr>
                                  <w:rFonts w:ascii="Arial" w:hAnsi="Arial" w:cs="Arial"/>
                                  <w:b/>
                                  <w:sz w:val="22"/>
                                  <w:szCs w:val="22"/>
                                  <w:lang w:val="es-ES"/>
                                </w:rPr>
                                <w:t>E(3,3)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631BF" id="Group 40" o:spid="_x0000_s1038" style="position:absolute;left:0;text-align:left;margin-left:0;margin-top:3.6pt;width:198pt;height:162pt;z-index:251657216" coordorigin="1341,9470" coordsize="3960,2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">
                <v:oval id="Oval 26" o:spid="_x0000_s1039" style="position:absolute;left:1881;top:1039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A/MwAAA&#10;ANsAAAAPAAAAZHJzL2Rvd25yZXYueG1sRE9Na8JAEL0L/odlCr3pxoZISV1FlII9eDDa+5Adk2B2&#10;NmSnMf333YLgbR7vc1ab0bVqoD40ng0s5gko4tLbhisDl/Pn7B1UEGSLrWcy8EsBNuvpZIW59Xc+&#10;0VBIpWIIhxwN1CJdrnUoa3IY5r4jjtzV9w4lwr7Stsd7DHetfkuSpXbYcGyosaNdTeWt+HEG9tW2&#10;WA46lSy97g+S3b6PX+nCmNeXcfsBSmiUp/jhPtg4P4P/X+IBev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yA/MwAAAANsAAAAPAAAAAAAAAAAAAAAAAJcCAABkcnMvZG93bnJl&#10;di54bWxQSwUGAAAAAAQABAD1AAAAhAMAAAAA&#10;"/>
                <v:shape id="Text Box 27" o:spid="_x0000_s1040" type="#_x0000_t202" style="position:absolute;left:1341;top:9830;width:162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7D5D2EF1" w14:textId="77777777" w:rsidR="00191F4C" w:rsidRDefault="00191F4C">
                        <w:pPr>
                          <w:jc w:val="center"/>
                          <w:rPr>
                            <w:rFonts w:ascii="Arial" w:hAnsi="Arial" w:cs="Arial"/>
                            <w:sz w:val="20"/>
                          </w:rPr>
                        </w:pPr>
                        <w:r>
                          <w:rPr>
                            <w:rFonts w:ascii="Arial" w:hAnsi="Arial" w:cs="Arial"/>
                            <w:sz w:val="20"/>
                            <w:lang w:val="es-ES"/>
                          </w:rPr>
                          <w:t xml:space="preserve">Turno 1 de </w:t>
                        </w:r>
                        <w:r>
                          <w:rPr>
                            <w:rFonts w:ascii="Arial" w:hAnsi="Arial" w:cs="Arial"/>
                            <w:sz w:val="20"/>
                          </w:rPr>
                          <w:t xml:space="preserve"> Marshall</w:t>
                        </w:r>
                      </w:p>
                    </w:txbxContent>
                  </v:textbox>
                </v:shape>
                <v:line id="Line 28" o:spid="_x0000_s1041" style="position:absolute;flip:y;visibility:visible;mso-wrap-style:square" from="2421,9842" to="3681,105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quhfDAAAA2wAAAA8AAAAAAAAAAAAA&#10;AAAAoQIAAGRycy9kb3ducmV2LnhtbFBLBQYAAAAABAAEAPkAAACRAwAAAAA=&#10;"/>
                <v:line id="Line 29" o:spid="_x0000_s1042" style="position:absolute;visibility:visible;mso-wrap-style:square" from="2421,10766" to="3681,114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XB47GAAAA2wAAAA8AAAAAAAAA&#10;AAAAAAAAoQIAAGRycy9kb3ducmV2LnhtbFBLBQYAAAAABAAEAPkAAACUAwAAAAA=&#10;"/>
                <v:oval id="Oval 30" o:spid="_x0000_s1043" style="position:absolute;left:3771;top:947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rluIvwAA&#10;ANsAAAAPAAAAZHJzL2Rvd25yZXYueG1sRE9Ni8IwEL0L/ocwghfR1IUVtxpFCi5et3rwONuMbbGZ&#10;lCTa9t+bhQVv83ifs933phFPcr62rGC5SEAQF1bXXCq4nI/zNQgfkDU2lknBQB72u/Foi6m2Hf/Q&#10;Mw+liCHsU1RQhdCmUvqiIoN+YVviyN2sMxgidKXUDrsYbhr5kSQrabDm2FBhS1lFxT1/GAVu1g7Z&#10;cMqOy1/+zj+7tb6uLlqp6aQ/bEAE6sNb/O8+6Tj/C/5+iQfI3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uW4i/AAAA2wAAAA8AAAAAAAAAAAAAAAAAlwIAAGRycy9kb3ducmV2&#10;LnhtbFBLBQYAAAAABAAEAPUAAACDAwAAAAA=&#10;" fillcolor="black"/>
                <v:shape id="Text Box 31" o:spid="_x0000_s1044" type="#_x0000_t202" style="position:absolute;left:4041;top:10417;width:12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51600595" w14:textId="77777777" w:rsidR="00191F4C" w:rsidRDefault="00191F4C">
                        <w:pPr>
                          <w:jc w:val="center"/>
                          <w:rPr>
                            <w:rFonts w:ascii="Arial" w:hAnsi="Arial" w:cs="Arial"/>
                            <w:b/>
                            <w:sz w:val="22"/>
                            <w:szCs w:val="22"/>
                          </w:rPr>
                        </w:pPr>
                        <w:r>
                          <w:rPr>
                            <w:rFonts w:ascii="Arial" w:hAnsi="Arial" w:cs="Arial"/>
                            <w:b/>
                            <w:sz w:val="22"/>
                            <w:szCs w:val="22"/>
                            <w:lang w:val="es-ES"/>
                          </w:rPr>
                          <w:t>D(4,1)</w:t>
                        </w:r>
                      </w:p>
                    </w:txbxContent>
                  </v:textbox>
                </v:shape>
                <v:shape id="Text Box 32" o:spid="_x0000_s1045" type="#_x0000_t202" style="position:absolute;left:2781;top:983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321B4902" w14:textId="77777777" w:rsidR="00191F4C" w:rsidRDefault="00191F4C">
                        <w:pPr>
                          <w:jc w:val="center"/>
                          <w:rPr>
                            <w:rFonts w:ascii="Arial" w:hAnsi="Arial" w:cs="Arial"/>
                            <w:b/>
                            <w:i/>
                            <w:iCs/>
                            <w:sz w:val="20"/>
                          </w:rPr>
                        </w:pPr>
                        <w:r>
                          <w:rPr>
                            <w:rFonts w:ascii="Arial" w:hAnsi="Arial" w:cs="Arial"/>
                            <w:b/>
                            <w:i/>
                            <w:iCs/>
                            <w:sz w:val="20"/>
                            <w:lang w:val="es-ES"/>
                          </w:rPr>
                          <w:t>e</w:t>
                        </w:r>
                      </w:p>
                    </w:txbxContent>
                  </v:textbox>
                </v:shape>
                <v:shape id="Text Box 33" o:spid="_x0000_s1046" type="#_x0000_t202" style="position:absolute;left:2781;top:10730;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55EA2AD4" w14:textId="77777777" w:rsidR="00191F4C" w:rsidRDefault="00191F4C">
                        <w:pPr>
                          <w:jc w:val="center"/>
                          <w:rPr>
                            <w:rFonts w:ascii="Arial" w:hAnsi="Arial" w:cs="Arial"/>
                            <w:b/>
                            <w:i/>
                            <w:iCs/>
                            <w:sz w:val="20"/>
                          </w:rPr>
                        </w:pPr>
                        <w:r>
                          <w:rPr>
                            <w:rFonts w:ascii="Arial" w:hAnsi="Arial" w:cs="Arial"/>
                            <w:b/>
                            <w:i/>
                            <w:iCs/>
                            <w:sz w:val="20"/>
                            <w:lang w:val="es-ES"/>
                          </w:rPr>
                          <w:t>c</w:t>
                        </w:r>
                      </w:p>
                    </w:txbxContent>
                  </v:textbox>
                </v:shape>
                <v:oval id="Oval 34" o:spid="_x0000_s1047" style="position:absolute;left:3771;top:1131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shape id="Text Box 35" o:spid="_x0000_s1048" type="#_x0000_t202" style="position:absolute;left:2421;top:11497;width:180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48EA1E3E" w14:textId="77777777" w:rsidR="00191F4C" w:rsidRDefault="00191F4C">
                        <w:pPr>
                          <w:jc w:val="center"/>
                          <w:rPr>
                            <w:rFonts w:ascii="Arial" w:hAnsi="Arial" w:cs="Arial"/>
                            <w:sz w:val="20"/>
                          </w:rPr>
                        </w:pPr>
                        <w:r>
                          <w:rPr>
                            <w:rFonts w:ascii="Arial" w:hAnsi="Arial" w:cs="Arial"/>
                            <w:sz w:val="20"/>
                            <w:lang w:val="es-ES"/>
                          </w:rPr>
                          <w:t>Turno</w:t>
                        </w:r>
                        <w:r>
                          <w:rPr>
                            <w:rFonts w:ascii="Arial" w:hAnsi="Arial" w:cs="Arial"/>
                            <w:sz w:val="20"/>
                          </w:rPr>
                          <w:t xml:space="preserve"> 2           de Jefferson</w:t>
                        </w:r>
                      </w:p>
                    </w:txbxContent>
                  </v:textbox>
                </v:shape>
                <v:shape id="Text Box 36" o:spid="_x0000_s1049" type="#_x0000_t202" style="position:absolute;left:2781;top:1023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36FC51DF" w14:textId="77777777" w:rsidR="00191F4C" w:rsidRDefault="00191F4C">
                        <w:pPr>
                          <w:jc w:val="center"/>
                          <w:rPr>
                            <w:rFonts w:ascii="Arial" w:hAnsi="Arial" w:cs="Arial"/>
                            <w:b/>
                            <w:i/>
                            <w:iCs/>
                            <w:sz w:val="20"/>
                          </w:rPr>
                        </w:pPr>
                        <w:r>
                          <w:rPr>
                            <w:rFonts w:ascii="Arial" w:hAnsi="Arial" w:cs="Arial"/>
                            <w:b/>
                            <w:i/>
                            <w:iCs/>
                            <w:sz w:val="20"/>
                            <w:lang w:val="es-ES"/>
                          </w:rPr>
                          <w:t>d</w:t>
                        </w:r>
                      </w:p>
                    </w:txbxContent>
                  </v:textbox>
                </v:shape>
                <v:line id="Line 37" o:spid="_x0000_s1050" style="position:absolute;flip:y;visibility:visible;mso-wrap-style:square" from="2421,10664" to="3681,106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YrVMcUAAADbAAAADwAAAAAAAAAA&#10;AAAAAAChAgAAZHJzL2Rvd25yZXYueG1sUEsFBgAAAAAEAAQA+QAAAJMDAAAAAA==&#10;"/>
                <v:oval id="Oval 38" o:spid="_x0000_s1051" style="position:absolute;left:3771;top:10394;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aDcwgAA&#10;ANsAAAAPAAAAZHJzL2Rvd25yZXYueG1sRI9Pi8IwFMTvwn6H8Ba8yJoq+IdqlKWgeN3qwePb5tmW&#10;bV5KEm377c2C4HGYmd8w231vGvEg52vLCmbTBARxYXXNpYLL+fC1BuEDssbGMikYyMN+9zHaYqpt&#10;xz/0yEMpIoR9igqqENpUSl9UZNBPbUscvZt1BkOUrpTaYRfhppHzJFlKgzXHhQpbyioq/vK7UeAm&#10;7ZANp+ww++VjvujW+rq8aKXGn/33BkSgPrzDr/ZJK5iv4P9L/AFy9w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RoNzCAAAA2wAAAA8AAAAAAAAAAAAAAAAAlwIAAGRycy9kb3du&#10;cmV2LnhtbFBLBQYAAAAABAAEAPUAAACGAwAAAAA=&#10;" fillcolor="black"/>
                <v:shape id="Text Box 39" o:spid="_x0000_s1052" type="#_x0000_t202" style="position:absolute;left:4041;top:9517;width:12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386AB2FE" w14:textId="77777777" w:rsidR="00191F4C" w:rsidRDefault="00191F4C">
                        <w:pPr>
                          <w:jc w:val="center"/>
                          <w:rPr>
                            <w:rFonts w:ascii="Arial" w:hAnsi="Arial" w:cs="Arial"/>
                            <w:b/>
                            <w:sz w:val="22"/>
                            <w:szCs w:val="22"/>
                          </w:rPr>
                        </w:pPr>
                        <w:r>
                          <w:rPr>
                            <w:rFonts w:ascii="Arial" w:hAnsi="Arial" w:cs="Arial"/>
                            <w:b/>
                            <w:sz w:val="22"/>
                            <w:szCs w:val="22"/>
                            <w:lang w:val="es-ES"/>
                          </w:rPr>
                          <w:t>E(3,3)</w:t>
                        </w:r>
                      </w:p>
                    </w:txbxContent>
                  </v:textbox>
                </v:shape>
                <w10:wrap type="square"/>
              </v:group>
            </w:pict>
          </mc:Fallback>
        </mc:AlternateContent>
      </w:r>
      <w:r w:rsidR="00191F4C">
        <w:rPr>
          <w:rFonts w:ascii="Arial" w:hAnsi="Arial" w:cs="Arial"/>
          <w:b/>
          <w:bCs/>
          <w:i/>
          <w:iCs/>
          <w:lang w:val="es-ES"/>
        </w:rPr>
        <w:t xml:space="preserve">c </w:t>
      </w:r>
      <w:r w:rsidR="00191F4C">
        <w:rPr>
          <w:rFonts w:ascii="Arial" w:hAnsi="Arial" w:cs="Arial"/>
          <w:lang w:val="es-ES"/>
        </w:rPr>
        <w:t xml:space="preserve">: decidir el caso a favor de Marbury emitiendo el </w:t>
      </w:r>
      <w:r w:rsidR="00191F4C">
        <w:rPr>
          <w:rFonts w:ascii="Arial" w:hAnsi="Arial" w:cs="Arial"/>
          <w:i/>
          <w:iCs/>
          <w:lang w:val="es-ES"/>
        </w:rPr>
        <w:t xml:space="preserve">wom, </w:t>
      </w:r>
      <w:r w:rsidR="00191F4C">
        <w:rPr>
          <w:rFonts w:ascii="Arial" w:hAnsi="Arial" w:cs="Arial"/>
          <w:lang w:val="es-ES"/>
        </w:rPr>
        <w:t xml:space="preserve">lo que a la vez significaría reconocer la constitucionalidad de Acta de 1789; </w:t>
      </w:r>
    </w:p>
    <w:p w14:paraId="3C078A71" w14:textId="77777777" w:rsidR="00191F4C" w:rsidRDefault="00191F4C">
      <w:pPr>
        <w:jc w:val="both"/>
        <w:rPr>
          <w:rFonts w:ascii="Arial" w:hAnsi="Arial" w:cs="Arial"/>
          <w:lang w:val="es-ES"/>
        </w:rPr>
      </w:pPr>
      <w:r>
        <w:rPr>
          <w:rFonts w:ascii="Arial" w:hAnsi="Arial" w:cs="Arial"/>
          <w:b/>
          <w:bCs/>
          <w:lang w:val="es-ES"/>
        </w:rPr>
        <w:t>d :</w:t>
      </w:r>
      <w:r>
        <w:rPr>
          <w:rFonts w:ascii="Arial" w:hAnsi="Arial" w:cs="Arial"/>
          <w:lang w:val="es-ES"/>
        </w:rPr>
        <w:t xml:space="preserve"> Decidir el caso  favor de Madison (negarse a emitir el </w:t>
      </w:r>
      <w:r>
        <w:rPr>
          <w:rFonts w:ascii="Arial" w:hAnsi="Arial" w:cs="Arial"/>
          <w:i/>
          <w:iCs/>
          <w:lang w:val="es-ES"/>
        </w:rPr>
        <w:t>wom</w:t>
      </w:r>
      <w:r>
        <w:rPr>
          <w:rFonts w:ascii="Arial" w:hAnsi="Arial" w:cs="Arial"/>
          <w:lang w:val="es-ES"/>
        </w:rPr>
        <w:t xml:space="preserve">),  y al mismo tiempo reconocer la constitucionalidad de Acta de 1789; </w:t>
      </w:r>
    </w:p>
    <w:p w14:paraId="0856EC8B" w14:textId="77777777" w:rsidR="00191F4C" w:rsidRDefault="00191F4C">
      <w:pPr>
        <w:jc w:val="both"/>
        <w:rPr>
          <w:rFonts w:ascii="Arial" w:hAnsi="Arial" w:cs="Arial"/>
          <w:lang w:val="es-ES"/>
        </w:rPr>
      </w:pPr>
      <w:r>
        <w:rPr>
          <w:rFonts w:ascii="Arial" w:hAnsi="Arial" w:cs="Arial"/>
          <w:b/>
          <w:bCs/>
          <w:i/>
          <w:iCs/>
          <w:lang w:val="es-ES"/>
        </w:rPr>
        <w:t>e</w:t>
      </w:r>
      <w:r>
        <w:rPr>
          <w:rFonts w:ascii="Arial" w:hAnsi="Arial" w:cs="Arial"/>
          <w:lang w:val="es-ES"/>
        </w:rPr>
        <w:t xml:space="preserve"> : decidir el caso a favor de Madison (negarse a emitir el </w:t>
      </w:r>
      <w:r>
        <w:rPr>
          <w:rFonts w:ascii="Arial" w:hAnsi="Arial" w:cs="Arial"/>
          <w:i/>
          <w:iCs/>
          <w:lang w:val="es-ES"/>
        </w:rPr>
        <w:t>wom</w:t>
      </w:r>
      <w:r>
        <w:rPr>
          <w:rFonts w:ascii="Arial" w:hAnsi="Arial" w:cs="Arial"/>
          <w:lang w:val="es-ES"/>
        </w:rPr>
        <w:t>), y al mismo tiempo declarar inconstitucional el Acta de 1789</w:t>
      </w:r>
      <w:r>
        <w:rPr>
          <w:rStyle w:val="FootnoteReference"/>
          <w:rFonts w:ascii="Arial" w:hAnsi="Arial" w:cs="Arial"/>
          <w:lang w:val="es-ES"/>
        </w:rPr>
        <w:footnoteReference w:id="6"/>
      </w:r>
      <w:r>
        <w:rPr>
          <w:rFonts w:ascii="Arial" w:hAnsi="Arial" w:cs="Arial"/>
          <w:lang w:val="es-ES"/>
        </w:rPr>
        <w:t>.</w:t>
      </w:r>
    </w:p>
    <w:p w14:paraId="09BD3BA9" w14:textId="77777777" w:rsidR="00191F4C" w:rsidRDefault="00191F4C">
      <w:pPr>
        <w:jc w:val="both"/>
        <w:rPr>
          <w:rFonts w:ascii="Arial" w:hAnsi="Arial" w:cs="Arial"/>
          <w:lang w:val="es-ES"/>
        </w:rPr>
      </w:pPr>
    </w:p>
    <w:p w14:paraId="3BA6677C" w14:textId="77777777" w:rsidR="00F004EB" w:rsidRDefault="00F004EB">
      <w:pPr>
        <w:rPr>
          <w:rFonts w:ascii="Arial" w:hAnsi="Arial" w:cs="Arial"/>
          <w:lang w:val="es-ES"/>
        </w:rPr>
      </w:pPr>
      <w:r>
        <w:rPr>
          <w:rFonts w:ascii="Arial" w:hAnsi="Arial" w:cs="Arial"/>
          <w:lang w:val="es-ES"/>
        </w:rPr>
        <w:br w:type="page"/>
      </w:r>
    </w:p>
    <w:p w14:paraId="79DCD683" w14:textId="77777777" w:rsidR="00191F4C" w:rsidRDefault="00191F4C">
      <w:pPr>
        <w:jc w:val="both"/>
        <w:rPr>
          <w:rFonts w:ascii="Arial" w:hAnsi="Arial" w:cs="Arial"/>
          <w:lang w:val="es-ES"/>
        </w:rPr>
      </w:pPr>
      <w:r>
        <w:rPr>
          <w:rFonts w:ascii="Arial" w:hAnsi="Arial" w:cs="Arial"/>
          <w:lang w:val="es-ES"/>
        </w:rPr>
        <w:lastRenderedPageBreak/>
        <w:t xml:space="preserve">Ahora, si Marshall elige </w:t>
      </w:r>
      <w:r>
        <w:rPr>
          <w:rFonts w:ascii="Arial" w:hAnsi="Arial" w:cs="Arial"/>
          <w:i/>
          <w:iCs/>
          <w:lang w:val="es-ES"/>
        </w:rPr>
        <w:t>d</w:t>
      </w:r>
      <w:r>
        <w:rPr>
          <w:rFonts w:ascii="Arial" w:hAnsi="Arial" w:cs="Arial"/>
          <w:lang w:val="es-ES"/>
        </w:rPr>
        <w:t xml:space="preserve"> o </w:t>
      </w:r>
      <w:r>
        <w:rPr>
          <w:rFonts w:ascii="Arial" w:hAnsi="Arial" w:cs="Arial"/>
          <w:i/>
          <w:iCs/>
          <w:lang w:val="es-ES"/>
        </w:rPr>
        <w:t>e</w:t>
      </w:r>
      <w:r>
        <w:rPr>
          <w:rFonts w:ascii="Arial" w:hAnsi="Arial" w:cs="Arial"/>
          <w:lang w:val="es-ES"/>
        </w:rPr>
        <w:t xml:space="preserve"> en la segunda etapa, deja a Jefferson sin opción, y el juego termina con resultados </w:t>
      </w:r>
      <w:r>
        <w:rPr>
          <w:rFonts w:ascii="Arial" w:hAnsi="Arial" w:cs="Arial"/>
          <w:i/>
          <w:iCs/>
          <w:lang w:val="es-ES"/>
        </w:rPr>
        <w:t>D</w:t>
      </w:r>
      <w:r>
        <w:rPr>
          <w:rFonts w:ascii="Arial" w:hAnsi="Arial" w:cs="Arial"/>
          <w:lang w:val="es-ES"/>
        </w:rPr>
        <w:t xml:space="preserve"> o </w:t>
      </w:r>
      <w:r>
        <w:rPr>
          <w:rFonts w:ascii="Arial" w:hAnsi="Arial" w:cs="Arial"/>
          <w:i/>
          <w:iCs/>
          <w:lang w:val="es-ES"/>
        </w:rPr>
        <w:t>E,</w:t>
      </w:r>
      <w:r>
        <w:rPr>
          <w:rFonts w:ascii="Arial" w:hAnsi="Arial" w:cs="Arial"/>
          <w:lang w:val="es-ES"/>
        </w:rPr>
        <w:t xml:space="preserve"> respectivamente. Por otro lado, si Marshall elige </w:t>
      </w:r>
      <w:r>
        <w:rPr>
          <w:rFonts w:ascii="Arial" w:hAnsi="Arial" w:cs="Arial"/>
          <w:i/>
          <w:iCs/>
          <w:lang w:val="es-ES"/>
        </w:rPr>
        <w:t xml:space="preserve">c </w:t>
      </w:r>
      <w:r>
        <w:rPr>
          <w:rFonts w:ascii="Arial" w:hAnsi="Arial" w:cs="Arial"/>
          <w:lang w:val="es-ES"/>
        </w:rPr>
        <w:t xml:space="preserve">entonces Jefferson tiene nuevamente la opción de emitir o no emitir. Sin embargo, se debe notar que la elección en este momento  es muy diferente que al inicio, pues ahora se debe decidir entre hacerle caso o no a una orden de la Corte Suprema. De ahí que si Marshall elige </w:t>
      </w:r>
      <w:r>
        <w:rPr>
          <w:rFonts w:ascii="Arial" w:hAnsi="Arial" w:cs="Arial"/>
          <w:i/>
          <w:iCs/>
          <w:lang w:val="es-ES"/>
        </w:rPr>
        <w:t>c</w:t>
      </w:r>
      <w:r>
        <w:rPr>
          <w:rFonts w:ascii="Arial" w:hAnsi="Arial" w:cs="Arial"/>
          <w:lang w:val="es-ES"/>
        </w:rPr>
        <w:t>, Jefferson puede:</w:t>
      </w:r>
    </w:p>
    <w:p w14:paraId="281E50F5" w14:textId="77777777" w:rsidR="00191F4C" w:rsidRDefault="00191F4C">
      <w:pPr>
        <w:jc w:val="both"/>
        <w:rPr>
          <w:rFonts w:ascii="Arial" w:hAnsi="Arial" w:cs="Arial"/>
          <w:lang w:val="es-ES"/>
        </w:rPr>
      </w:pPr>
      <w:r>
        <w:rPr>
          <w:rFonts w:ascii="Arial" w:hAnsi="Arial" w:cs="Arial"/>
          <w:b/>
          <w:bCs/>
          <w:i/>
          <w:iCs/>
          <w:lang w:val="es-ES"/>
        </w:rPr>
        <w:t>f</w:t>
      </w:r>
      <w:r>
        <w:rPr>
          <w:rFonts w:ascii="Arial" w:hAnsi="Arial" w:cs="Arial"/>
          <w:lang w:val="es-ES"/>
        </w:rPr>
        <w:t xml:space="preserve"> : aceptar la orden de la Corte, obteniéndose el resultado </w:t>
      </w:r>
      <w:r>
        <w:rPr>
          <w:rFonts w:ascii="Arial" w:hAnsi="Arial" w:cs="Arial"/>
          <w:i/>
          <w:iCs/>
          <w:lang w:val="es-ES"/>
        </w:rPr>
        <w:t>B</w:t>
      </w:r>
      <w:r>
        <w:rPr>
          <w:rFonts w:ascii="Arial" w:hAnsi="Arial" w:cs="Arial"/>
          <w:lang w:val="es-ES"/>
        </w:rPr>
        <w:t xml:space="preserve">; o </w:t>
      </w:r>
    </w:p>
    <w:p w14:paraId="2E149A1A" w14:textId="77777777" w:rsidR="00191F4C" w:rsidRDefault="00191F4C">
      <w:pPr>
        <w:jc w:val="both"/>
        <w:rPr>
          <w:rFonts w:ascii="Arial" w:hAnsi="Arial" w:cs="Arial"/>
          <w:lang w:val="es-ES"/>
        </w:rPr>
      </w:pPr>
      <w:r>
        <w:rPr>
          <w:rFonts w:ascii="Arial" w:hAnsi="Arial" w:cs="Arial"/>
          <w:b/>
          <w:bCs/>
          <w:i/>
          <w:iCs/>
          <w:lang w:val="es-ES"/>
        </w:rPr>
        <w:t>g</w:t>
      </w:r>
      <w:r>
        <w:rPr>
          <w:rFonts w:ascii="Arial" w:hAnsi="Arial" w:cs="Arial"/>
          <w:lang w:val="es-ES"/>
        </w:rPr>
        <w:t xml:space="preserve"> : negarse a aceptar la orden de la corte, obteniendo un resultado </w:t>
      </w:r>
      <w:r>
        <w:rPr>
          <w:rFonts w:ascii="Arial" w:hAnsi="Arial" w:cs="Arial"/>
          <w:i/>
          <w:iCs/>
          <w:lang w:val="es-ES"/>
        </w:rPr>
        <w:t>C</w:t>
      </w:r>
      <w:r>
        <w:rPr>
          <w:rFonts w:ascii="Arial" w:hAnsi="Arial" w:cs="Arial"/>
          <w:lang w:val="es-ES"/>
        </w:rPr>
        <w:t>.</w:t>
      </w:r>
    </w:p>
    <w:p w14:paraId="67689BC7" w14:textId="32B16689" w:rsidR="00191F4C" w:rsidRDefault="004F2ABA">
      <w:pPr>
        <w:jc w:val="both"/>
        <w:rPr>
          <w:rFonts w:ascii="Arial" w:hAnsi="Arial" w:cs="Arial"/>
          <w:lang w:val="es-ES"/>
        </w:rPr>
      </w:pPr>
      <w:r>
        <w:rPr>
          <w:noProof/>
          <w:lang w:eastAsia="en-US"/>
        </w:rPr>
        <mc:AlternateContent>
          <mc:Choice Requires="wpg">
            <w:drawing>
              <wp:anchor distT="0" distB="0" distL="114300" distR="114300" simplePos="0" relativeHeight="251658240" behindDoc="0" locked="0" layoutInCell="1" allowOverlap="1" wp14:anchorId="516F5270" wp14:editId="55838C7C">
                <wp:simplePos x="0" y="0"/>
                <wp:positionH relativeFrom="column">
                  <wp:posOffset>1028700</wp:posOffset>
                </wp:positionH>
                <wp:positionV relativeFrom="paragraph">
                  <wp:posOffset>22860</wp:posOffset>
                </wp:positionV>
                <wp:extent cx="2628900" cy="1494790"/>
                <wp:effectExtent l="0" t="0" r="0" b="19050"/>
                <wp:wrapSquare wrapText="bothSides"/>
                <wp:docPr id="3"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1494790"/>
                          <a:chOff x="5841" y="3937"/>
                          <a:chExt cx="4140" cy="2354"/>
                        </a:xfrm>
                      </wpg:grpSpPr>
                      <wps:wsp>
                        <wps:cNvPr id="4" name="Oval 53"/>
                        <wps:cNvSpPr>
                          <a:spLocks noChangeArrowheads="1"/>
                        </wps:cNvSpPr>
                        <wps:spPr bwMode="auto">
                          <a:xfrm>
                            <a:off x="6561" y="4861"/>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54"/>
                        <wps:cNvSpPr txBox="1">
                          <a:spLocks noChangeArrowheads="1"/>
                        </wps:cNvSpPr>
                        <wps:spPr bwMode="auto">
                          <a:xfrm>
                            <a:off x="5841" y="4297"/>
                            <a:ext cx="19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66460" w14:textId="77777777" w:rsidR="00191F4C" w:rsidRDefault="00191F4C">
                              <w:pPr>
                                <w:jc w:val="center"/>
                                <w:rPr>
                                  <w:rFonts w:ascii="Arial" w:hAnsi="Arial" w:cs="Arial"/>
                                  <w:sz w:val="20"/>
                                </w:rPr>
                              </w:pPr>
                              <w:r>
                                <w:rPr>
                                  <w:rFonts w:ascii="Arial" w:hAnsi="Arial" w:cs="Arial"/>
                                  <w:sz w:val="20"/>
                                  <w:lang w:val="es-ES"/>
                                </w:rPr>
                                <w:t xml:space="preserve">Turno 2  de </w:t>
                              </w:r>
                              <w:r>
                                <w:rPr>
                                  <w:rFonts w:ascii="Arial" w:hAnsi="Arial" w:cs="Arial"/>
                                  <w:sz w:val="20"/>
                                </w:rPr>
                                <w:t xml:space="preserve"> Jefferson</w:t>
                              </w:r>
                            </w:p>
                          </w:txbxContent>
                        </wps:txbx>
                        <wps:bodyPr rot="0" vert="horz" wrap="square" lIns="91440" tIns="45720" rIns="91440" bIns="45720" anchor="t" anchorCtr="0" upright="1">
                          <a:noAutofit/>
                        </wps:bodyPr>
                      </wps:wsp>
                      <wps:wsp>
                        <wps:cNvPr id="6" name="Line 55"/>
                        <wps:cNvCnPr>
                          <a:cxnSpLocks noChangeShapeType="1"/>
                        </wps:cNvCnPr>
                        <wps:spPr bwMode="auto">
                          <a:xfrm flipV="1">
                            <a:off x="7101" y="4309"/>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6"/>
                        <wps:cNvCnPr>
                          <a:cxnSpLocks noChangeShapeType="1"/>
                        </wps:cNvCnPr>
                        <wps:spPr bwMode="auto">
                          <a:xfrm>
                            <a:off x="7101" y="5233"/>
                            <a:ext cx="126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Oval 57"/>
                        <wps:cNvSpPr>
                          <a:spLocks noChangeArrowheads="1"/>
                        </wps:cNvSpPr>
                        <wps:spPr bwMode="auto">
                          <a:xfrm>
                            <a:off x="8451" y="3937"/>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 name="Text Box 58"/>
                        <wps:cNvSpPr txBox="1">
                          <a:spLocks noChangeArrowheads="1"/>
                        </wps:cNvSpPr>
                        <wps:spPr bwMode="auto">
                          <a:xfrm>
                            <a:off x="8361" y="3937"/>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05765" w14:textId="77777777" w:rsidR="00191F4C" w:rsidRDefault="00191F4C">
                              <w:pPr>
                                <w:jc w:val="right"/>
                                <w:rPr>
                                  <w:rFonts w:ascii="Arial" w:hAnsi="Arial" w:cs="Arial"/>
                                  <w:b/>
                                  <w:sz w:val="22"/>
                                  <w:szCs w:val="22"/>
                                </w:rPr>
                              </w:pPr>
                              <w:r>
                                <w:rPr>
                                  <w:rFonts w:ascii="Arial" w:hAnsi="Arial" w:cs="Arial"/>
                                  <w:b/>
                                  <w:sz w:val="22"/>
                                  <w:szCs w:val="22"/>
                                  <w:lang w:val="es-ES"/>
                                </w:rPr>
                                <w:t>B (0,4)</w:t>
                              </w:r>
                            </w:p>
                          </w:txbxContent>
                        </wps:txbx>
                        <wps:bodyPr rot="0" vert="horz" wrap="square" lIns="91440" tIns="45720" rIns="91440" bIns="45720" anchor="t" anchorCtr="0" upright="1">
                          <a:noAutofit/>
                        </wps:bodyPr>
                      </wps:wsp>
                      <wps:wsp>
                        <wps:cNvPr id="10" name="Text Box 59"/>
                        <wps:cNvSpPr txBox="1">
                          <a:spLocks noChangeArrowheads="1"/>
                        </wps:cNvSpPr>
                        <wps:spPr bwMode="auto">
                          <a:xfrm>
                            <a:off x="7461" y="429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B26EA" w14:textId="77777777" w:rsidR="00191F4C" w:rsidRDefault="00191F4C">
                              <w:pPr>
                                <w:jc w:val="center"/>
                                <w:rPr>
                                  <w:rFonts w:ascii="Arial" w:hAnsi="Arial" w:cs="Arial"/>
                                  <w:b/>
                                  <w:i/>
                                  <w:iCs/>
                                  <w:sz w:val="20"/>
                                </w:rPr>
                              </w:pPr>
                              <w:r>
                                <w:rPr>
                                  <w:rFonts w:ascii="Arial" w:hAnsi="Arial" w:cs="Arial"/>
                                  <w:b/>
                                  <w:i/>
                                  <w:iCs/>
                                  <w:sz w:val="20"/>
                                  <w:lang w:val="es-ES"/>
                                </w:rPr>
                                <w:t>f</w:t>
                              </w:r>
                            </w:p>
                          </w:txbxContent>
                        </wps:txbx>
                        <wps:bodyPr rot="0" vert="horz" wrap="square" lIns="91440" tIns="45720" rIns="91440" bIns="45720" anchor="t" anchorCtr="0" upright="1">
                          <a:noAutofit/>
                        </wps:bodyPr>
                      </wps:wsp>
                      <wps:wsp>
                        <wps:cNvPr id="11" name="Text Box 60"/>
                        <wps:cNvSpPr txBox="1">
                          <a:spLocks noChangeArrowheads="1"/>
                        </wps:cNvSpPr>
                        <wps:spPr bwMode="auto">
                          <a:xfrm>
                            <a:off x="7461" y="5197"/>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74A53" w14:textId="77777777" w:rsidR="00191F4C" w:rsidRDefault="00191F4C">
                              <w:pPr>
                                <w:jc w:val="center"/>
                                <w:rPr>
                                  <w:rFonts w:ascii="Arial" w:hAnsi="Arial" w:cs="Arial"/>
                                  <w:b/>
                                  <w:i/>
                                  <w:iCs/>
                                  <w:sz w:val="20"/>
                                </w:rPr>
                              </w:pPr>
                              <w:r>
                                <w:rPr>
                                  <w:rFonts w:ascii="Arial" w:hAnsi="Arial" w:cs="Arial"/>
                                  <w:b/>
                                  <w:i/>
                                  <w:iCs/>
                                  <w:sz w:val="20"/>
                                  <w:lang w:val="es-ES"/>
                                </w:rPr>
                                <w:t>g</w:t>
                              </w:r>
                            </w:p>
                          </w:txbxContent>
                        </wps:txbx>
                        <wps:bodyPr rot="0" vert="horz" wrap="square" lIns="91440" tIns="45720" rIns="91440" bIns="45720" anchor="t" anchorCtr="0" upright="1">
                          <a:noAutofit/>
                        </wps:bodyPr>
                      </wps:wsp>
                      <wps:wsp>
                        <wps:cNvPr id="12" name="Oval 61"/>
                        <wps:cNvSpPr>
                          <a:spLocks noChangeArrowheads="1"/>
                        </wps:cNvSpPr>
                        <wps:spPr bwMode="auto">
                          <a:xfrm>
                            <a:off x="8451" y="5751"/>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3" name="Text Box 63"/>
                        <wps:cNvSpPr txBox="1">
                          <a:spLocks noChangeArrowheads="1"/>
                        </wps:cNvSpPr>
                        <wps:spPr bwMode="auto">
                          <a:xfrm>
                            <a:off x="8361" y="5737"/>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EEFDF" w14:textId="77777777" w:rsidR="00191F4C" w:rsidRDefault="00191F4C">
                              <w:pPr>
                                <w:jc w:val="right"/>
                                <w:rPr>
                                  <w:rFonts w:ascii="Arial" w:hAnsi="Arial" w:cs="Arial"/>
                                  <w:b/>
                                  <w:sz w:val="22"/>
                                  <w:szCs w:val="22"/>
                                </w:rPr>
                              </w:pPr>
                              <w:r>
                                <w:rPr>
                                  <w:rFonts w:ascii="Arial" w:hAnsi="Arial" w:cs="Arial"/>
                                  <w:b/>
                                  <w:sz w:val="22"/>
                                  <w:szCs w:val="22"/>
                                  <w:lang w:val="es-ES"/>
                                </w:rPr>
                                <w:t>C (2,0)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F5270" id="Group 65" o:spid="_x0000_s1053" style="position:absolute;left:0;text-align:left;margin-left:81pt;margin-top:1.8pt;width:207pt;height:117.7pt;z-index:251658240" coordorigin="5841,3937" coordsize="4140,23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">
                <v:oval id="Oval 53" o:spid="_x0000_s1054" style="position:absolute;left:6561;top:486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eCfZwgAA&#10;ANoAAAAPAAAAZHJzL2Rvd25yZXYueG1sRI9Ba8JAFITvhf6H5RW81Y2NSkldRSqCHjw0tvdH9pkE&#10;s29D9hnjv3cFocdhZr5hFqvBNaqnLtSeDUzGCSjiwtuaSwO/x+37J6ggyBYbz2TgRgFWy9eXBWbW&#10;X/mH+lxKFSEcMjRQibSZ1qGoyGEY+5Y4eiffOZQou1LbDq8R7hr9kSRz7bDmuFBhS98VFef84gxs&#10;ynU+73Uqs/S02cns/HfYpxNjRm/D+guU0CD/4Wd7Zw1M4XEl3gC9v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4J9nCAAAA2gAAAA8AAAAAAAAAAAAAAAAAlwIAAGRycy9kb3du&#10;cmV2LnhtbFBLBQYAAAAABAAEAPUAAACGAwAAAAA=&#10;"/>
                <v:shape id="Text Box 54" o:spid="_x0000_s1055" type="#_x0000_t202" style="position:absolute;left:5841;top:4297;width:1980;height:7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6B566460" w14:textId="77777777" w:rsidR="00191F4C" w:rsidRDefault="00191F4C">
                        <w:pPr>
                          <w:jc w:val="center"/>
                          <w:rPr>
                            <w:rFonts w:ascii="Arial" w:hAnsi="Arial" w:cs="Arial"/>
                            <w:sz w:val="20"/>
                          </w:rPr>
                        </w:pPr>
                        <w:r>
                          <w:rPr>
                            <w:rFonts w:ascii="Arial" w:hAnsi="Arial" w:cs="Arial"/>
                            <w:sz w:val="20"/>
                            <w:lang w:val="es-ES"/>
                          </w:rPr>
                          <w:t xml:space="preserve">Turno 2  de </w:t>
                        </w:r>
                        <w:r>
                          <w:rPr>
                            <w:rFonts w:ascii="Arial" w:hAnsi="Arial" w:cs="Arial"/>
                            <w:sz w:val="20"/>
                          </w:rPr>
                          <w:t xml:space="preserve"> Jefferson</w:t>
                        </w:r>
                      </w:p>
                    </w:txbxContent>
                  </v:textbox>
                </v:shape>
                <v:line id="Line 55" o:spid="_x0000_s1056" style="position:absolute;flip:y;visibility:visible;mso-wrap-style:square" from="7101,4309" to="8361,50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tdtjxAAAANoAAAAPAAAAAAAAAAAA&#10;AAAAAKECAABkcnMvZG93bnJldi54bWxQSwUGAAAAAAQABAD5AAAAkgMAAAAA&#10;"/>
                <v:line id="Line 56" o:spid="_x0000_s1057" style="position:absolute;visibility:visible;mso-wrap-style:square" from="7101,5233" to="8361,5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oval id="Oval 57" o:spid="_x0000_s1058" style="position:absolute;left:8451;top:393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3yGvwAA&#10;ANoAAAAPAAAAZHJzL2Rvd25yZXYueG1sRE/Pa4MwFL4X9j+EN9ilrLGDSbFNpQgOr3M99PhmXlVq&#10;XiTJqv73y6HQ48f3+5DPZhB3cr63rGC7SUAQN1b33Co4/5TvOxA+IGscLJOChTzkx5fVATNtJ/6m&#10;ex1aEUPYZ6igC2HMpPRNRwb9xo7EkbtaZzBE6FqpHU4x3AzyI0lSabDn2NDhSEVHza3+MwrcelyK&#10;pSrK7S9/1Z/TTl/Ss1bq7XU+7UEEmsNT/HBXWkHcGq/EGyC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rTfIa/AAAA2gAAAA8AAAAAAAAAAAAAAAAAlwIAAGRycy9kb3ducmV2&#10;LnhtbFBLBQYAAAAABAAEAPUAAACDAwAAAAA=&#10;" fillcolor="black"/>
                <v:shape id="Text Box 58" o:spid="_x0000_s1059" type="#_x0000_t202" style="position:absolute;left:8361;top:3937;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E605765" w14:textId="77777777" w:rsidR="00191F4C" w:rsidRDefault="00191F4C">
                        <w:pPr>
                          <w:jc w:val="right"/>
                          <w:rPr>
                            <w:rFonts w:ascii="Arial" w:hAnsi="Arial" w:cs="Arial"/>
                            <w:b/>
                            <w:sz w:val="22"/>
                            <w:szCs w:val="22"/>
                          </w:rPr>
                        </w:pPr>
                        <w:r>
                          <w:rPr>
                            <w:rFonts w:ascii="Arial" w:hAnsi="Arial" w:cs="Arial"/>
                            <w:b/>
                            <w:sz w:val="22"/>
                            <w:szCs w:val="22"/>
                            <w:lang w:val="es-ES"/>
                          </w:rPr>
                          <w:t>B (0,4)</w:t>
                        </w:r>
                      </w:p>
                    </w:txbxContent>
                  </v:textbox>
                </v:shape>
                <v:shape id="Text Box 59" o:spid="_x0000_s1060" type="#_x0000_t202" style="position:absolute;left:7461;top:429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0C6B26EA" w14:textId="77777777" w:rsidR="00191F4C" w:rsidRDefault="00191F4C">
                        <w:pPr>
                          <w:jc w:val="center"/>
                          <w:rPr>
                            <w:rFonts w:ascii="Arial" w:hAnsi="Arial" w:cs="Arial"/>
                            <w:b/>
                            <w:i/>
                            <w:iCs/>
                            <w:sz w:val="20"/>
                          </w:rPr>
                        </w:pPr>
                        <w:r>
                          <w:rPr>
                            <w:rFonts w:ascii="Arial" w:hAnsi="Arial" w:cs="Arial"/>
                            <w:b/>
                            <w:i/>
                            <w:iCs/>
                            <w:sz w:val="20"/>
                            <w:lang w:val="es-ES"/>
                          </w:rPr>
                          <w:t>f</w:t>
                        </w:r>
                      </w:p>
                    </w:txbxContent>
                  </v:textbox>
                </v:shape>
                <v:shape id="Text Box 60" o:spid="_x0000_s1061" type="#_x0000_t202" style="position:absolute;left:7461;top:5197;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5874A53" w14:textId="77777777" w:rsidR="00191F4C" w:rsidRDefault="00191F4C">
                        <w:pPr>
                          <w:jc w:val="center"/>
                          <w:rPr>
                            <w:rFonts w:ascii="Arial" w:hAnsi="Arial" w:cs="Arial"/>
                            <w:b/>
                            <w:i/>
                            <w:iCs/>
                            <w:sz w:val="20"/>
                          </w:rPr>
                        </w:pPr>
                        <w:r>
                          <w:rPr>
                            <w:rFonts w:ascii="Arial" w:hAnsi="Arial" w:cs="Arial"/>
                            <w:b/>
                            <w:i/>
                            <w:iCs/>
                            <w:sz w:val="20"/>
                            <w:lang w:val="es-ES"/>
                          </w:rPr>
                          <w:t>g</w:t>
                        </w:r>
                      </w:p>
                    </w:txbxContent>
                  </v:textbox>
                </v:shape>
                <v:oval id="Oval 61" o:spid="_x0000_s1062" style="position:absolute;left:8451;top:5751;width:5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Csn5vwAA&#10;ANsAAAAPAAAAZHJzL2Rvd25yZXYueG1sRE9Ni8IwEL0L+x/CLHgRTRWU0jXKUlC8bvXgcWxm27LN&#10;pCTRtv/eLAje5vE+Z7sfTCse5HxjWcFykYAgLq1uuFJwOR/mKQgfkDW2lknBSB72u4/JFjNte/6h&#10;RxEqEUPYZ6igDqHLpPRlTQb9wnbEkfu1zmCI0FVSO+xjuGnlKkk20mDDsaHGjvKayr/ibhS4WTfm&#10;4yk/LG98LNZ9qq+bi1Zq+jl8f4EINIS3+OU+6Th/Bf+/xAPk7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0Kyfm/AAAA2wAAAA8AAAAAAAAAAAAAAAAAlwIAAGRycy9kb3ducmV2&#10;LnhtbFBLBQYAAAAABAAEAPUAAACDAwAAAAA=&#10;" fillcolor="black"/>
                <v:shape id="Text Box 63" o:spid="_x0000_s1063" type="#_x0000_t202" style="position:absolute;left:8361;top:5737;width:162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648EEFDF" w14:textId="77777777" w:rsidR="00191F4C" w:rsidRDefault="00191F4C">
                        <w:pPr>
                          <w:jc w:val="right"/>
                          <w:rPr>
                            <w:rFonts w:ascii="Arial" w:hAnsi="Arial" w:cs="Arial"/>
                            <w:b/>
                            <w:sz w:val="22"/>
                            <w:szCs w:val="22"/>
                          </w:rPr>
                        </w:pPr>
                        <w:r>
                          <w:rPr>
                            <w:rFonts w:ascii="Arial" w:hAnsi="Arial" w:cs="Arial"/>
                            <w:b/>
                            <w:sz w:val="22"/>
                            <w:szCs w:val="22"/>
                            <w:lang w:val="es-ES"/>
                          </w:rPr>
                          <w:t>C (2,0)</w:t>
                        </w:r>
                      </w:p>
                    </w:txbxContent>
                  </v:textbox>
                </v:shape>
                <w10:wrap type="square"/>
              </v:group>
            </w:pict>
          </mc:Fallback>
        </mc:AlternateContent>
      </w:r>
    </w:p>
    <w:p w14:paraId="332D144F" w14:textId="77777777" w:rsidR="00191F4C" w:rsidRDefault="00191F4C">
      <w:pPr>
        <w:jc w:val="both"/>
        <w:rPr>
          <w:rFonts w:ascii="Arial" w:hAnsi="Arial" w:cs="Arial"/>
          <w:lang w:val="es-ES"/>
        </w:rPr>
      </w:pPr>
    </w:p>
    <w:p w14:paraId="6370ED91" w14:textId="77777777" w:rsidR="00191F4C" w:rsidRDefault="00191F4C">
      <w:pPr>
        <w:jc w:val="both"/>
        <w:rPr>
          <w:rFonts w:ascii="Arial" w:hAnsi="Arial" w:cs="Arial"/>
          <w:lang w:val="es-ES"/>
        </w:rPr>
      </w:pPr>
    </w:p>
    <w:p w14:paraId="7E56CFD4" w14:textId="77777777" w:rsidR="00191F4C" w:rsidRDefault="00191F4C">
      <w:pPr>
        <w:jc w:val="both"/>
        <w:rPr>
          <w:rFonts w:ascii="Arial" w:hAnsi="Arial" w:cs="Arial"/>
          <w:lang w:val="es-ES"/>
        </w:rPr>
      </w:pPr>
    </w:p>
    <w:p w14:paraId="636FF764" w14:textId="77777777" w:rsidR="00191F4C" w:rsidRDefault="00191F4C">
      <w:pPr>
        <w:jc w:val="both"/>
        <w:rPr>
          <w:rFonts w:ascii="Arial" w:hAnsi="Arial" w:cs="Arial"/>
          <w:lang w:val="es-ES"/>
        </w:rPr>
      </w:pPr>
    </w:p>
    <w:p w14:paraId="5972AF70" w14:textId="77777777" w:rsidR="00191F4C" w:rsidRDefault="00191F4C">
      <w:pPr>
        <w:jc w:val="both"/>
        <w:rPr>
          <w:rFonts w:ascii="Arial" w:hAnsi="Arial" w:cs="Arial"/>
          <w:lang w:val="es-ES"/>
        </w:rPr>
      </w:pPr>
    </w:p>
    <w:p w14:paraId="1FC13C0C" w14:textId="77777777" w:rsidR="00191F4C" w:rsidRDefault="00191F4C">
      <w:pPr>
        <w:jc w:val="both"/>
        <w:rPr>
          <w:rFonts w:ascii="Arial" w:hAnsi="Arial" w:cs="Arial"/>
          <w:lang w:val="es-ES"/>
        </w:rPr>
      </w:pPr>
    </w:p>
    <w:p w14:paraId="53296276" w14:textId="77777777" w:rsidR="00191F4C" w:rsidRDefault="00191F4C">
      <w:pPr>
        <w:jc w:val="both"/>
        <w:rPr>
          <w:rFonts w:ascii="Arial" w:hAnsi="Arial" w:cs="Arial"/>
          <w:lang w:val="es-ES"/>
        </w:rPr>
      </w:pPr>
    </w:p>
    <w:p w14:paraId="75B33B5B" w14:textId="77777777" w:rsidR="00191F4C" w:rsidRDefault="00191F4C">
      <w:pPr>
        <w:jc w:val="both"/>
        <w:rPr>
          <w:rFonts w:ascii="Arial" w:hAnsi="Arial" w:cs="Arial"/>
          <w:lang w:val="es-ES"/>
        </w:rPr>
      </w:pPr>
    </w:p>
    <w:p w14:paraId="77F900E0" w14:textId="77777777" w:rsidR="00191F4C" w:rsidRDefault="00191F4C">
      <w:pPr>
        <w:jc w:val="both"/>
        <w:rPr>
          <w:rFonts w:ascii="Arial" w:hAnsi="Arial" w:cs="Arial"/>
          <w:lang w:val="es-ES"/>
        </w:rPr>
      </w:pPr>
    </w:p>
    <w:p w14:paraId="26A38418" w14:textId="77777777" w:rsidR="00191F4C" w:rsidRDefault="00191F4C">
      <w:pPr>
        <w:jc w:val="both"/>
        <w:rPr>
          <w:rFonts w:ascii="Arial" w:hAnsi="Arial" w:cs="Arial"/>
          <w:lang w:val="es-ES"/>
        </w:rPr>
      </w:pPr>
      <w:r>
        <w:rPr>
          <w:rFonts w:ascii="Arial" w:hAnsi="Arial" w:cs="Arial"/>
          <w:lang w:val="es-ES"/>
        </w:rPr>
        <w:t xml:space="preserve">Dado que es muy difícil llegar a estimados de utilidad cardinal con respecto a los resultados para los dos jugadores, se propone juzgar los méritos </w:t>
      </w:r>
      <w:r>
        <w:rPr>
          <w:rFonts w:ascii="Arial" w:hAnsi="Arial" w:cs="Arial"/>
          <w:i/>
          <w:iCs/>
          <w:lang w:val="es-ES"/>
        </w:rPr>
        <w:t>relativos</w:t>
      </w:r>
      <w:r>
        <w:rPr>
          <w:rFonts w:ascii="Arial" w:hAnsi="Arial" w:cs="Arial"/>
          <w:lang w:val="es-ES"/>
        </w:rPr>
        <w:t xml:space="preserve"> de los resultados para cada uno. Dado que hay cinco resultados, asignaremos el valor 4 al más preferido, tres al siguiente menos preferido, y así hasta llegar a cero para el menos preferido. El análisis asume que los factores institucionales (poder judicial vs el poder legislativo y ejecutivo) son enormes para ambos jugadores. </w:t>
      </w:r>
    </w:p>
    <w:p w14:paraId="6A0F43CA" w14:textId="77777777" w:rsidR="00191F4C" w:rsidRDefault="00191F4C">
      <w:pPr>
        <w:jc w:val="both"/>
        <w:rPr>
          <w:rFonts w:ascii="Arial" w:hAnsi="Arial" w:cs="Arial"/>
          <w:lang w:val="es-ES"/>
        </w:rPr>
      </w:pPr>
    </w:p>
    <w:p w14:paraId="66A889A0" w14:textId="77777777" w:rsidR="00191F4C" w:rsidRDefault="00191F4C">
      <w:pPr>
        <w:jc w:val="both"/>
        <w:rPr>
          <w:rFonts w:ascii="Arial" w:hAnsi="Arial" w:cs="Arial"/>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1388"/>
        <w:gridCol w:w="4000"/>
        <w:gridCol w:w="1102"/>
        <w:gridCol w:w="1015"/>
      </w:tblGrid>
      <w:tr w:rsidR="00191F4C" w14:paraId="6FF04BD0" w14:textId="77777777">
        <w:tc>
          <w:tcPr>
            <w:tcW w:w="1311" w:type="dxa"/>
            <w:vAlign w:val="center"/>
          </w:tcPr>
          <w:p w14:paraId="6AB4B8E2" w14:textId="77777777" w:rsidR="00191F4C" w:rsidRDefault="00191F4C">
            <w:pPr>
              <w:jc w:val="center"/>
              <w:rPr>
                <w:rFonts w:ascii="Arial Narrow" w:hAnsi="Arial Narrow" w:cs="Arial"/>
                <w:b/>
                <w:lang w:val="es-ES"/>
              </w:rPr>
            </w:pPr>
            <w:r>
              <w:rPr>
                <w:rFonts w:ascii="Arial Narrow" w:hAnsi="Arial Narrow" w:cs="Arial"/>
                <w:b/>
                <w:lang w:val="es-ES"/>
              </w:rPr>
              <w:t>RESULTADO</w:t>
            </w:r>
          </w:p>
        </w:tc>
        <w:tc>
          <w:tcPr>
            <w:tcW w:w="1389" w:type="dxa"/>
            <w:vAlign w:val="center"/>
          </w:tcPr>
          <w:p w14:paraId="32259650" w14:textId="77777777" w:rsidR="00191F4C" w:rsidRDefault="00191F4C">
            <w:pPr>
              <w:jc w:val="center"/>
              <w:rPr>
                <w:rFonts w:ascii="Arial Narrow" w:hAnsi="Arial Narrow" w:cs="Arial"/>
                <w:b/>
                <w:lang w:val="es-ES"/>
              </w:rPr>
            </w:pPr>
            <w:r>
              <w:rPr>
                <w:rFonts w:ascii="Arial Narrow" w:hAnsi="Arial Narrow" w:cs="Arial"/>
                <w:b/>
                <w:lang w:val="es-ES"/>
              </w:rPr>
              <w:t>SECUENCIA</w:t>
            </w:r>
          </w:p>
        </w:tc>
        <w:tc>
          <w:tcPr>
            <w:tcW w:w="4140" w:type="dxa"/>
            <w:vAlign w:val="center"/>
          </w:tcPr>
          <w:p w14:paraId="6704373A" w14:textId="77777777" w:rsidR="00191F4C" w:rsidRDefault="00191F4C">
            <w:pPr>
              <w:jc w:val="center"/>
              <w:rPr>
                <w:rFonts w:ascii="Arial Narrow" w:hAnsi="Arial Narrow" w:cs="Arial"/>
                <w:b/>
                <w:lang w:val="es-ES"/>
              </w:rPr>
            </w:pPr>
            <w:r>
              <w:rPr>
                <w:rFonts w:ascii="Arial Narrow" w:hAnsi="Arial Narrow" w:cs="Arial"/>
                <w:b/>
                <w:lang w:val="es-ES"/>
              </w:rPr>
              <w:t>DETALLE</w:t>
            </w:r>
          </w:p>
        </w:tc>
        <w:tc>
          <w:tcPr>
            <w:tcW w:w="1070" w:type="dxa"/>
            <w:vAlign w:val="center"/>
          </w:tcPr>
          <w:p w14:paraId="27C7A6CE" w14:textId="77777777" w:rsidR="00191F4C" w:rsidRDefault="00191F4C">
            <w:pPr>
              <w:jc w:val="center"/>
              <w:rPr>
                <w:rFonts w:ascii="Arial Narrow" w:hAnsi="Arial Narrow" w:cs="Arial"/>
                <w:b/>
                <w:lang w:val="es-ES"/>
              </w:rPr>
            </w:pPr>
            <w:r>
              <w:rPr>
                <w:rFonts w:ascii="Arial Narrow" w:hAnsi="Arial Narrow" w:cs="Arial"/>
                <w:b/>
                <w:lang w:val="es-ES"/>
              </w:rPr>
              <w:t>Utilidad de Jefferson</w:t>
            </w:r>
          </w:p>
        </w:tc>
        <w:tc>
          <w:tcPr>
            <w:tcW w:w="960" w:type="dxa"/>
            <w:vAlign w:val="center"/>
          </w:tcPr>
          <w:p w14:paraId="3156F48B" w14:textId="77777777" w:rsidR="00191F4C" w:rsidRDefault="00191F4C">
            <w:pPr>
              <w:jc w:val="center"/>
              <w:rPr>
                <w:rFonts w:ascii="Arial Narrow" w:hAnsi="Arial Narrow" w:cs="Arial"/>
                <w:b/>
                <w:lang w:val="es-ES"/>
              </w:rPr>
            </w:pPr>
            <w:r>
              <w:rPr>
                <w:rFonts w:ascii="Arial Narrow" w:hAnsi="Arial Narrow" w:cs="Arial"/>
                <w:b/>
                <w:lang w:val="es-ES"/>
              </w:rPr>
              <w:t>Utilidad de Marshall</w:t>
            </w:r>
          </w:p>
        </w:tc>
      </w:tr>
      <w:tr w:rsidR="00191F4C" w14:paraId="6FC2CE6C" w14:textId="77777777">
        <w:tc>
          <w:tcPr>
            <w:tcW w:w="1311" w:type="dxa"/>
            <w:vAlign w:val="center"/>
          </w:tcPr>
          <w:p w14:paraId="70996A2A"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A</w:t>
            </w:r>
          </w:p>
        </w:tc>
        <w:tc>
          <w:tcPr>
            <w:tcW w:w="1389" w:type="dxa"/>
            <w:vAlign w:val="center"/>
          </w:tcPr>
          <w:p w14:paraId="488AB3FC"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a</w:t>
            </w:r>
          </w:p>
        </w:tc>
        <w:tc>
          <w:tcPr>
            <w:tcW w:w="4140" w:type="dxa"/>
            <w:vAlign w:val="center"/>
          </w:tcPr>
          <w:p w14:paraId="0C27A597"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Marbury recibe cargo </w:t>
            </w:r>
          </w:p>
          <w:p w14:paraId="68083991"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no tiene oportunidad de emitir </w:t>
            </w:r>
            <w:r>
              <w:rPr>
                <w:rFonts w:ascii="Arial Narrow" w:hAnsi="Arial Narrow" w:cs="Arial"/>
                <w:i/>
                <w:lang w:val="es-ES"/>
              </w:rPr>
              <w:t>wom</w:t>
            </w:r>
            <w:r>
              <w:rPr>
                <w:rFonts w:ascii="Arial Narrow" w:hAnsi="Arial Narrow" w:cs="Arial"/>
                <w:lang w:val="es-ES"/>
              </w:rPr>
              <w:t xml:space="preserve"> ni de invalidar Acta del Congreso</w:t>
            </w:r>
          </w:p>
        </w:tc>
        <w:tc>
          <w:tcPr>
            <w:tcW w:w="1070" w:type="dxa"/>
            <w:vAlign w:val="center"/>
          </w:tcPr>
          <w:p w14:paraId="1E9553DB"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1</w:t>
            </w:r>
          </w:p>
        </w:tc>
        <w:tc>
          <w:tcPr>
            <w:tcW w:w="960" w:type="dxa"/>
            <w:vAlign w:val="center"/>
          </w:tcPr>
          <w:p w14:paraId="61BECCC7"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2</w:t>
            </w:r>
          </w:p>
        </w:tc>
      </w:tr>
      <w:tr w:rsidR="00191F4C" w14:paraId="559E598C" w14:textId="77777777">
        <w:tc>
          <w:tcPr>
            <w:tcW w:w="1311" w:type="dxa"/>
            <w:vAlign w:val="center"/>
          </w:tcPr>
          <w:p w14:paraId="1F76072A"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w:t>
            </w:r>
          </w:p>
        </w:tc>
        <w:tc>
          <w:tcPr>
            <w:tcW w:w="1389" w:type="dxa"/>
            <w:vAlign w:val="center"/>
          </w:tcPr>
          <w:p w14:paraId="0DFD888A"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 – c – f</w:t>
            </w:r>
          </w:p>
        </w:tc>
        <w:tc>
          <w:tcPr>
            <w:tcW w:w="4140" w:type="dxa"/>
            <w:vAlign w:val="center"/>
          </w:tcPr>
          <w:p w14:paraId="526BC50A"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Marbury recibe cargo,</w:t>
            </w:r>
          </w:p>
          <w:p w14:paraId="0B72DF3C"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emite </w:t>
            </w:r>
            <w:r>
              <w:rPr>
                <w:rFonts w:ascii="Arial Narrow" w:hAnsi="Arial Narrow" w:cs="Arial"/>
                <w:i/>
                <w:lang w:val="es-ES"/>
              </w:rPr>
              <w:t>wom</w:t>
            </w:r>
            <w:r>
              <w:rPr>
                <w:rFonts w:ascii="Arial Narrow" w:hAnsi="Arial Narrow" w:cs="Arial"/>
                <w:lang w:val="es-ES"/>
              </w:rPr>
              <w:t>, y no se invalida Acta del Congreso</w:t>
            </w:r>
          </w:p>
        </w:tc>
        <w:tc>
          <w:tcPr>
            <w:tcW w:w="1070" w:type="dxa"/>
            <w:vAlign w:val="center"/>
          </w:tcPr>
          <w:p w14:paraId="50EAC907"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0</w:t>
            </w:r>
          </w:p>
        </w:tc>
        <w:tc>
          <w:tcPr>
            <w:tcW w:w="960" w:type="dxa"/>
            <w:vAlign w:val="center"/>
          </w:tcPr>
          <w:p w14:paraId="5A2EEF47"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4</w:t>
            </w:r>
          </w:p>
        </w:tc>
      </w:tr>
      <w:tr w:rsidR="00191F4C" w14:paraId="62182A8B" w14:textId="77777777">
        <w:tc>
          <w:tcPr>
            <w:tcW w:w="1311" w:type="dxa"/>
            <w:vAlign w:val="center"/>
          </w:tcPr>
          <w:p w14:paraId="36DE3922"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C</w:t>
            </w:r>
          </w:p>
        </w:tc>
        <w:tc>
          <w:tcPr>
            <w:tcW w:w="1389" w:type="dxa"/>
            <w:vAlign w:val="center"/>
          </w:tcPr>
          <w:p w14:paraId="0642AF10"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 – c – g</w:t>
            </w:r>
          </w:p>
        </w:tc>
        <w:tc>
          <w:tcPr>
            <w:tcW w:w="4140" w:type="dxa"/>
            <w:vAlign w:val="center"/>
          </w:tcPr>
          <w:p w14:paraId="4742A6E5"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Marbury no recibe cargo,</w:t>
            </w:r>
          </w:p>
          <w:p w14:paraId="63096DDD"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emite </w:t>
            </w:r>
            <w:r>
              <w:rPr>
                <w:rFonts w:ascii="Arial Narrow" w:hAnsi="Arial Narrow" w:cs="Arial"/>
                <w:i/>
                <w:lang w:val="es-ES"/>
              </w:rPr>
              <w:t>wom</w:t>
            </w:r>
            <w:r>
              <w:rPr>
                <w:rFonts w:ascii="Arial Narrow" w:hAnsi="Arial Narrow" w:cs="Arial"/>
                <w:lang w:val="es-ES"/>
              </w:rPr>
              <w:t>, y no se invalida Acta del Congreso</w:t>
            </w:r>
          </w:p>
        </w:tc>
        <w:tc>
          <w:tcPr>
            <w:tcW w:w="1070" w:type="dxa"/>
            <w:vAlign w:val="center"/>
          </w:tcPr>
          <w:p w14:paraId="7BC8ACD8"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2</w:t>
            </w:r>
          </w:p>
        </w:tc>
        <w:tc>
          <w:tcPr>
            <w:tcW w:w="960" w:type="dxa"/>
            <w:vAlign w:val="center"/>
          </w:tcPr>
          <w:p w14:paraId="5C9BDA72"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0</w:t>
            </w:r>
          </w:p>
        </w:tc>
      </w:tr>
      <w:tr w:rsidR="00191F4C" w14:paraId="3D45D035" w14:textId="77777777">
        <w:tc>
          <w:tcPr>
            <w:tcW w:w="1311" w:type="dxa"/>
            <w:vAlign w:val="center"/>
          </w:tcPr>
          <w:p w14:paraId="5424FC3F"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D</w:t>
            </w:r>
          </w:p>
        </w:tc>
        <w:tc>
          <w:tcPr>
            <w:tcW w:w="1389" w:type="dxa"/>
            <w:vAlign w:val="center"/>
          </w:tcPr>
          <w:p w14:paraId="29EDF05A"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 – d</w:t>
            </w:r>
          </w:p>
        </w:tc>
        <w:tc>
          <w:tcPr>
            <w:tcW w:w="4140" w:type="dxa"/>
            <w:vAlign w:val="center"/>
          </w:tcPr>
          <w:p w14:paraId="282A8304"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Marbury no recibe cargo,</w:t>
            </w:r>
          </w:p>
          <w:p w14:paraId="01F0ED86"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no emite </w:t>
            </w:r>
            <w:r>
              <w:rPr>
                <w:rFonts w:ascii="Arial Narrow" w:hAnsi="Arial Narrow" w:cs="Arial"/>
                <w:i/>
                <w:lang w:val="es-ES"/>
              </w:rPr>
              <w:t>wom</w:t>
            </w:r>
            <w:r>
              <w:rPr>
                <w:rFonts w:ascii="Arial Narrow" w:hAnsi="Arial Narrow" w:cs="Arial"/>
                <w:lang w:val="es-ES"/>
              </w:rPr>
              <w:t>, y no se invalida Acta del Congreso</w:t>
            </w:r>
          </w:p>
        </w:tc>
        <w:tc>
          <w:tcPr>
            <w:tcW w:w="1070" w:type="dxa"/>
            <w:vAlign w:val="center"/>
          </w:tcPr>
          <w:p w14:paraId="12D4E295"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4</w:t>
            </w:r>
          </w:p>
        </w:tc>
        <w:tc>
          <w:tcPr>
            <w:tcW w:w="960" w:type="dxa"/>
            <w:vAlign w:val="center"/>
          </w:tcPr>
          <w:p w14:paraId="0C052AC0"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1</w:t>
            </w:r>
          </w:p>
        </w:tc>
      </w:tr>
      <w:tr w:rsidR="00191F4C" w14:paraId="659491B5" w14:textId="77777777">
        <w:tc>
          <w:tcPr>
            <w:tcW w:w="1311" w:type="dxa"/>
            <w:vAlign w:val="center"/>
          </w:tcPr>
          <w:p w14:paraId="3A514D88"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E</w:t>
            </w:r>
          </w:p>
        </w:tc>
        <w:tc>
          <w:tcPr>
            <w:tcW w:w="1389" w:type="dxa"/>
            <w:vAlign w:val="center"/>
          </w:tcPr>
          <w:p w14:paraId="5C1830CC" w14:textId="77777777" w:rsidR="00191F4C" w:rsidRDefault="00191F4C">
            <w:pPr>
              <w:jc w:val="center"/>
              <w:rPr>
                <w:rFonts w:ascii="Arial Narrow" w:hAnsi="Arial Narrow" w:cs="Arial"/>
                <w:b/>
                <w:sz w:val="32"/>
                <w:szCs w:val="32"/>
                <w:lang w:val="es-ES"/>
              </w:rPr>
            </w:pPr>
            <w:r>
              <w:rPr>
                <w:rFonts w:ascii="Arial Narrow" w:hAnsi="Arial Narrow" w:cs="Arial"/>
                <w:b/>
                <w:sz w:val="32"/>
                <w:szCs w:val="32"/>
                <w:lang w:val="es-ES"/>
              </w:rPr>
              <w:t>b – e</w:t>
            </w:r>
          </w:p>
        </w:tc>
        <w:tc>
          <w:tcPr>
            <w:tcW w:w="4140" w:type="dxa"/>
            <w:vAlign w:val="center"/>
          </w:tcPr>
          <w:p w14:paraId="2714EC82"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Marbury no recibe cargo,</w:t>
            </w:r>
          </w:p>
          <w:p w14:paraId="68C20E5E" w14:textId="77777777" w:rsidR="00191F4C" w:rsidRDefault="00191F4C">
            <w:pPr>
              <w:numPr>
                <w:ilvl w:val="0"/>
                <w:numId w:val="4"/>
              </w:numPr>
              <w:tabs>
                <w:tab w:val="clear" w:pos="1440"/>
                <w:tab w:val="num" w:pos="324"/>
              </w:tabs>
              <w:ind w:left="325" w:hanging="325"/>
              <w:rPr>
                <w:rFonts w:ascii="Arial Narrow" w:hAnsi="Arial Narrow" w:cs="Arial"/>
                <w:lang w:val="es-ES"/>
              </w:rPr>
            </w:pPr>
            <w:r>
              <w:rPr>
                <w:rFonts w:ascii="Arial Narrow" w:hAnsi="Arial Narrow" w:cs="Arial"/>
                <w:lang w:val="es-ES"/>
              </w:rPr>
              <w:t xml:space="preserve">La Corte no emite </w:t>
            </w:r>
            <w:r>
              <w:rPr>
                <w:rFonts w:ascii="Arial Narrow" w:hAnsi="Arial Narrow" w:cs="Arial"/>
                <w:i/>
                <w:lang w:val="es-ES"/>
              </w:rPr>
              <w:t>wom</w:t>
            </w:r>
            <w:r>
              <w:rPr>
                <w:rFonts w:ascii="Arial Narrow" w:hAnsi="Arial Narrow" w:cs="Arial"/>
                <w:lang w:val="es-ES"/>
              </w:rPr>
              <w:t>, y se invalida Acta del Congreso</w:t>
            </w:r>
          </w:p>
        </w:tc>
        <w:tc>
          <w:tcPr>
            <w:tcW w:w="1070" w:type="dxa"/>
            <w:vAlign w:val="center"/>
          </w:tcPr>
          <w:p w14:paraId="77AE0F80"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3</w:t>
            </w:r>
          </w:p>
        </w:tc>
        <w:tc>
          <w:tcPr>
            <w:tcW w:w="960" w:type="dxa"/>
            <w:vAlign w:val="center"/>
          </w:tcPr>
          <w:p w14:paraId="6B959C28" w14:textId="77777777" w:rsidR="00191F4C" w:rsidRDefault="00191F4C">
            <w:pPr>
              <w:jc w:val="center"/>
              <w:rPr>
                <w:rFonts w:ascii="Arial Narrow" w:hAnsi="Arial Narrow" w:cs="Arial"/>
                <w:b/>
                <w:sz w:val="36"/>
                <w:szCs w:val="36"/>
                <w:lang w:val="es-ES"/>
              </w:rPr>
            </w:pPr>
            <w:r>
              <w:rPr>
                <w:rFonts w:ascii="Arial Narrow" w:hAnsi="Arial Narrow" w:cs="Arial"/>
                <w:b/>
                <w:sz w:val="36"/>
                <w:szCs w:val="36"/>
                <w:lang w:val="es-ES"/>
              </w:rPr>
              <w:t>3</w:t>
            </w:r>
          </w:p>
        </w:tc>
      </w:tr>
    </w:tbl>
    <w:p w14:paraId="0FA6AB3E" w14:textId="77777777" w:rsidR="00191F4C" w:rsidRDefault="00191F4C">
      <w:pPr>
        <w:jc w:val="both"/>
        <w:rPr>
          <w:rFonts w:ascii="Arial" w:hAnsi="Arial" w:cs="Arial"/>
          <w:lang w:val="es-ES"/>
        </w:rPr>
      </w:pPr>
    </w:p>
    <w:p w14:paraId="08041EE0" w14:textId="77777777" w:rsidR="00191F4C" w:rsidRDefault="00191F4C">
      <w:pPr>
        <w:jc w:val="both"/>
        <w:rPr>
          <w:rFonts w:ascii="Arial" w:hAnsi="Arial" w:cs="Arial"/>
          <w:lang w:val="es-ES"/>
        </w:rPr>
      </w:pPr>
      <w:r>
        <w:rPr>
          <w:rFonts w:ascii="Arial" w:hAnsi="Arial" w:cs="Arial"/>
          <w:lang w:val="es-ES"/>
        </w:rPr>
        <w:t>Los valores de los resultados para Jefferson se asignan de acuerdo a los siguientes supuestos:</w:t>
      </w:r>
    </w:p>
    <w:p w14:paraId="21213771" w14:textId="77777777" w:rsidR="00191F4C" w:rsidRDefault="00191F4C">
      <w:pPr>
        <w:jc w:val="both"/>
        <w:rPr>
          <w:rFonts w:ascii="Arial" w:hAnsi="Arial" w:cs="Arial"/>
          <w:lang w:val="es-ES"/>
        </w:rPr>
      </w:pPr>
    </w:p>
    <w:p w14:paraId="1258A925" w14:textId="77777777" w:rsidR="00191F4C" w:rsidRDefault="00191F4C">
      <w:pPr>
        <w:numPr>
          <w:ilvl w:val="0"/>
          <w:numId w:val="1"/>
        </w:numPr>
        <w:jc w:val="both"/>
        <w:rPr>
          <w:rFonts w:ascii="Arial" w:hAnsi="Arial" w:cs="Arial"/>
          <w:lang w:val="es-ES"/>
        </w:rPr>
      </w:pPr>
      <w:r>
        <w:rPr>
          <w:rFonts w:ascii="Arial" w:hAnsi="Arial" w:cs="Arial"/>
          <w:lang w:val="es-ES"/>
        </w:rPr>
        <w:t>Jefferson no quiere entregar el cargo que Marbury solicita (</w:t>
      </w:r>
      <w:r>
        <w:rPr>
          <w:rFonts w:ascii="Arial" w:hAnsi="Arial" w:cs="Arial"/>
          <w:b/>
          <w:lang w:val="es-ES"/>
        </w:rPr>
        <w:t>C</w:t>
      </w:r>
      <w:r>
        <w:rPr>
          <w:rFonts w:ascii="Arial" w:hAnsi="Arial" w:cs="Arial"/>
          <w:lang w:val="es-ES"/>
        </w:rPr>
        <w:t xml:space="preserve"> vale más que </w:t>
      </w:r>
      <w:r>
        <w:rPr>
          <w:rFonts w:ascii="Arial" w:hAnsi="Arial" w:cs="Arial"/>
          <w:b/>
          <w:lang w:val="es-ES"/>
        </w:rPr>
        <w:t>A</w:t>
      </w:r>
      <w:r>
        <w:rPr>
          <w:rFonts w:ascii="Arial" w:hAnsi="Arial" w:cs="Arial"/>
          <w:lang w:val="es-ES"/>
        </w:rPr>
        <w:t>); pero si tuviera que entregarlo, preferiría hacerlo por iniciativa propia (</w:t>
      </w:r>
      <w:r>
        <w:rPr>
          <w:rFonts w:ascii="Arial" w:hAnsi="Arial" w:cs="Arial"/>
          <w:b/>
          <w:lang w:val="es-ES"/>
        </w:rPr>
        <w:t>A</w:t>
      </w:r>
      <w:r>
        <w:rPr>
          <w:rFonts w:ascii="Arial" w:hAnsi="Arial" w:cs="Arial"/>
          <w:lang w:val="es-ES"/>
        </w:rPr>
        <w:t xml:space="preserve"> vale más que </w:t>
      </w:r>
      <w:r>
        <w:rPr>
          <w:rFonts w:ascii="Arial" w:hAnsi="Arial" w:cs="Arial"/>
          <w:b/>
          <w:lang w:val="es-ES"/>
        </w:rPr>
        <w:t>B</w:t>
      </w:r>
      <w:r>
        <w:rPr>
          <w:rFonts w:ascii="Arial" w:hAnsi="Arial" w:cs="Arial"/>
          <w:lang w:val="es-ES"/>
        </w:rPr>
        <w:t xml:space="preserve"> – su peor resultado), en vez que obligado por la Corte Suprema.</w:t>
      </w:r>
    </w:p>
    <w:p w14:paraId="6E5DA1AB" w14:textId="77777777" w:rsidR="00191F4C" w:rsidRDefault="00191F4C">
      <w:pPr>
        <w:ind w:left="360"/>
        <w:jc w:val="both"/>
        <w:rPr>
          <w:rFonts w:ascii="Arial" w:hAnsi="Arial" w:cs="Arial"/>
          <w:lang w:val="es-ES"/>
        </w:rPr>
      </w:pPr>
    </w:p>
    <w:p w14:paraId="191003ED" w14:textId="77777777" w:rsidR="00191F4C" w:rsidRDefault="00191F4C">
      <w:pPr>
        <w:numPr>
          <w:ilvl w:val="0"/>
          <w:numId w:val="1"/>
        </w:numPr>
        <w:jc w:val="both"/>
        <w:rPr>
          <w:rFonts w:ascii="Arial" w:hAnsi="Arial" w:cs="Arial"/>
          <w:lang w:val="es-ES"/>
        </w:rPr>
      </w:pPr>
      <w:r>
        <w:rPr>
          <w:rFonts w:ascii="Arial" w:hAnsi="Arial" w:cs="Arial"/>
          <w:lang w:val="es-ES"/>
        </w:rPr>
        <w:t xml:space="preserve">Jefferson no quiere que se establezca revisión judicial ni del Congreso ni del Ejecutivo a través de un </w:t>
      </w:r>
      <w:r>
        <w:rPr>
          <w:rFonts w:ascii="Arial" w:hAnsi="Arial" w:cs="Arial"/>
          <w:i/>
          <w:iCs/>
          <w:lang w:val="es-ES"/>
        </w:rPr>
        <w:t>wom</w:t>
      </w:r>
      <w:r>
        <w:rPr>
          <w:rFonts w:ascii="Arial" w:hAnsi="Arial" w:cs="Arial"/>
          <w:lang w:val="es-ES"/>
        </w:rPr>
        <w:t xml:space="preserve"> apoyado con opinión judicial (de ahí que </w:t>
      </w:r>
      <w:r>
        <w:rPr>
          <w:rFonts w:ascii="Arial" w:hAnsi="Arial" w:cs="Arial"/>
          <w:b/>
          <w:lang w:val="es-ES"/>
        </w:rPr>
        <w:t>D</w:t>
      </w:r>
      <w:r>
        <w:rPr>
          <w:rFonts w:ascii="Arial" w:hAnsi="Arial" w:cs="Arial"/>
          <w:lang w:val="es-ES"/>
        </w:rPr>
        <w:t xml:space="preserve"> – su mejor resultado-  vale más que </w:t>
      </w:r>
      <w:r>
        <w:rPr>
          <w:rFonts w:ascii="Arial" w:hAnsi="Arial" w:cs="Arial"/>
          <w:b/>
          <w:lang w:val="es-ES"/>
        </w:rPr>
        <w:t>E</w:t>
      </w:r>
      <w:r>
        <w:rPr>
          <w:rFonts w:ascii="Arial" w:hAnsi="Arial" w:cs="Arial"/>
          <w:lang w:val="es-ES"/>
        </w:rPr>
        <w:t xml:space="preserve">); pero si hubiera que darse una de éstas, preferiría que sea al Congreso en vez de al Ejecutivo </w:t>
      </w:r>
      <w:bookmarkStart w:id="7" w:name="OLE_LINK1"/>
      <w:r>
        <w:rPr>
          <w:rFonts w:ascii="Arial" w:hAnsi="Arial" w:cs="Arial"/>
          <w:lang w:val="es-ES"/>
        </w:rPr>
        <w:t xml:space="preserve">(por lo que </w:t>
      </w:r>
      <w:r>
        <w:rPr>
          <w:rFonts w:ascii="Arial" w:hAnsi="Arial" w:cs="Arial"/>
          <w:b/>
          <w:lang w:val="es-ES"/>
        </w:rPr>
        <w:t>E</w:t>
      </w:r>
      <w:r>
        <w:rPr>
          <w:rFonts w:ascii="Arial" w:hAnsi="Arial" w:cs="Arial"/>
          <w:lang w:val="es-ES"/>
        </w:rPr>
        <w:t xml:space="preserve"> vale más que </w:t>
      </w:r>
      <w:r>
        <w:rPr>
          <w:rFonts w:ascii="Arial" w:hAnsi="Arial" w:cs="Arial"/>
          <w:b/>
          <w:lang w:val="es-ES"/>
        </w:rPr>
        <w:t>C</w:t>
      </w:r>
      <w:r>
        <w:rPr>
          <w:rFonts w:ascii="Arial" w:hAnsi="Arial" w:cs="Arial"/>
          <w:lang w:val="es-ES"/>
        </w:rPr>
        <w:t>)</w:t>
      </w:r>
      <w:bookmarkEnd w:id="7"/>
      <w:r>
        <w:rPr>
          <w:rFonts w:ascii="Arial" w:hAnsi="Arial" w:cs="Arial"/>
          <w:lang w:val="es-ES"/>
        </w:rPr>
        <w:t xml:space="preserve">. </w:t>
      </w:r>
    </w:p>
    <w:p w14:paraId="167356AB" w14:textId="77777777" w:rsidR="00191F4C" w:rsidRDefault="00191F4C">
      <w:pPr>
        <w:jc w:val="both"/>
        <w:rPr>
          <w:rFonts w:ascii="Arial" w:hAnsi="Arial" w:cs="Arial"/>
          <w:lang w:val="es-ES"/>
        </w:rPr>
      </w:pPr>
    </w:p>
    <w:p w14:paraId="61D0A11B" w14:textId="77777777" w:rsidR="00191F4C" w:rsidRDefault="00191F4C">
      <w:pPr>
        <w:jc w:val="both"/>
        <w:rPr>
          <w:rFonts w:ascii="Arial" w:hAnsi="Arial" w:cs="Arial"/>
          <w:lang w:val="es-ES"/>
        </w:rPr>
      </w:pPr>
      <w:r>
        <w:rPr>
          <w:rFonts w:ascii="Arial" w:hAnsi="Arial" w:cs="Arial"/>
          <w:lang w:val="es-ES"/>
        </w:rPr>
        <w:t>Para Marshall, los valores de los resultados se asignan en razón a suponer:</w:t>
      </w:r>
    </w:p>
    <w:p w14:paraId="1BC1717C" w14:textId="77777777" w:rsidR="00191F4C" w:rsidRDefault="00191F4C">
      <w:pPr>
        <w:jc w:val="both"/>
        <w:rPr>
          <w:rFonts w:ascii="Arial" w:hAnsi="Arial" w:cs="Arial"/>
          <w:lang w:val="es-ES"/>
        </w:rPr>
      </w:pPr>
    </w:p>
    <w:p w14:paraId="672B725E" w14:textId="77777777" w:rsidR="00191F4C" w:rsidRDefault="00191F4C">
      <w:pPr>
        <w:numPr>
          <w:ilvl w:val="0"/>
          <w:numId w:val="3"/>
        </w:numPr>
        <w:jc w:val="both"/>
        <w:rPr>
          <w:rFonts w:ascii="Arial" w:hAnsi="Arial" w:cs="Arial"/>
          <w:lang w:val="es-ES"/>
        </w:rPr>
      </w:pPr>
      <w:r>
        <w:rPr>
          <w:rFonts w:ascii="Arial" w:hAnsi="Arial" w:cs="Arial"/>
          <w:lang w:val="es-ES"/>
        </w:rPr>
        <w:t xml:space="preserve">Marshall preferiría establecer la revisión judicial tanto para el Congreso como para el Ejecutivo pero no está en posición para hacer ello dado que el único acto cuestionable del congreso en este asunto es además la única base para que la autoridad de la Corte discipline al Ejecutivo vía un </w:t>
      </w:r>
      <w:r>
        <w:rPr>
          <w:rFonts w:ascii="Arial" w:hAnsi="Arial" w:cs="Arial"/>
          <w:i/>
          <w:lang w:val="es-ES"/>
        </w:rPr>
        <w:t>wom</w:t>
      </w:r>
      <w:r>
        <w:rPr>
          <w:rFonts w:ascii="Arial" w:hAnsi="Arial" w:cs="Arial"/>
          <w:lang w:val="es-ES"/>
        </w:rPr>
        <w:t xml:space="preserve">. Obligado a escoger, él preferiría establecer autoridad judicial sobre el Ejecutivo en vez de al Congreso (por lo que </w:t>
      </w:r>
      <w:r>
        <w:rPr>
          <w:rFonts w:ascii="Arial" w:hAnsi="Arial" w:cs="Arial"/>
          <w:b/>
          <w:lang w:val="es-ES"/>
        </w:rPr>
        <w:t>B</w:t>
      </w:r>
      <w:r>
        <w:rPr>
          <w:rFonts w:ascii="Arial" w:hAnsi="Arial" w:cs="Arial"/>
          <w:lang w:val="es-ES"/>
        </w:rPr>
        <w:t xml:space="preserve"> –su mejor resultado- vale más que </w:t>
      </w:r>
      <w:r>
        <w:rPr>
          <w:rFonts w:ascii="Arial" w:hAnsi="Arial" w:cs="Arial"/>
          <w:b/>
          <w:lang w:val="es-ES"/>
        </w:rPr>
        <w:t>E</w:t>
      </w:r>
      <w:r>
        <w:rPr>
          <w:rFonts w:ascii="Arial" w:hAnsi="Arial" w:cs="Arial"/>
          <w:lang w:val="es-ES"/>
        </w:rPr>
        <w:t xml:space="preserve">); pero si no puede obtener ello, valoraría la oportunidad de establecer “algún tipo” de revisión judicial más que cualquier otro resultado de esta situación (por lo que </w:t>
      </w:r>
      <w:r>
        <w:rPr>
          <w:rFonts w:ascii="Arial" w:hAnsi="Arial" w:cs="Arial"/>
          <w:b/>
          <w:lang w:val="es-ES"/>
        </w:rPr>
        <w:t>E</w:t>
      </w:r>
      <w:r>
        <w:rPr>
          <w:rFonts w:ascii="Arial" w:hAnsi="Arial" w:cs="Arial"/>
          <w:lang w:val="es-ES"/>
        </w:rPr>
        <w:t xml:space="preserve"> vale más que </w:t>
      </w:r>
      <w:r>
        <w:rPr>
          <w:rFonts w:ascii="Arial" w:hAnsi="Arial" w:cs="Arial"/>
          <w:b/>
          <w:lang w:val="es-ES"/>
        </w:rPr>
        <w:t xml:space="preserve">A, D </w:t>
      </w:r>
      <w:r>
        <w:rPr>
          <w:rFonts w:ascii="Arial" w:hAnsi="Arial" w:cs="Arial"/>
          <w:lang w:val="es-ES"/>
        </w:rPr>
        <w:t>o</w:t>
      </w:r>
      <w:r>
        <w:rPr>
          <w:rFonts w:ascii="Arial" w:hAnsi="Arial" w:cs="Arial"/>
          <w:b/>
          <w:lang w:val="es-ES"/>
        </w:rPr>
        <w:t xml:space="preserve"> C</w:t>
      </w:r>
      <w:r>
        <w:rPr>
          <w:rFonts w:ascii="Arial" w:hAnsi="Arial" w:cs="Arial"/>
          <w:lang w:val="es-ES"/>
        </w:rPr>
        <w:t>).</w:t>
      </w:r>
    </w:p>
    <w:p w14:paraId="08CF7591" w14:textId="77777777" w:rsidR="00191F4C" w:rsidRDefault="00191F4C">
      <w:pPr>
        <w:ind w:left="360"/>
        <w:jc w:val="both"/>
        <w:rPr>
          <w:rFonts w:ascii="Arial" w:hAnsi="Arial" w:cs="Arial"/>
          <w:lang w:val="es-ES"/>
        </w:rPr>
      </w:pPr>
    </w:p>
    <w:p w14:paraId="19DDE0FE" w14:textId="77777777" w:rsidR="00191F4C" w:rsidRDefault="00191F4C">
      <w:pPr>
        <w:numPr>
          <w:ilvl w:val="0"/>
          <w:numId w:val="3"/>
        </w:numPr>
        <w:jc w:val="both"/>
        <w:rPr>
          <w:rFonts w:ascii="Arial" w:hAnsi="Arial" w:cs="Arial"/>
          <w:lang w:val="es-ES"/>
        </w:rPr>
      </w:pPr>
      <w:r>
        <w:rPr>
          <w:rFonts w:ascii="Arial" w:hAnsi="Arial" w:cs="Arial"/>
          <w:lang w:val="es-ES"/>
        </w:rPr>
        <w:t xml:space="preserve">Marshall quiere que se le de el cargo a Marbury (por lo que </w:t>
      </w:r>
      <w:r>
        <w:rPr>
          <w:rFonts w:ascii="Arial" w:hAnsi="Arial" w:cs="Arial"/>
          <w:b/>
          <w:lang w:val="es-ES"/>
        </w:rPr>
        <w:t>A</w:t>
      </w:r>
      <w:r>
        <w:rPr>
          <w:rFonts w:ascii="Arial" w:hAnsi="Arial" w:cs="Arial"/>
          <w:lang w:val="es-ES"/>
        </w:rPr>
        <w:t xml:space="preserve"> vale más que </w:t>
      </w:r>
      <w:r>
        <w:rPr>
          <w:rFonts w:ascii="Arial" w:hAnsi="Arial" w:cs="Arial"/>
          <w:b/>
          <w:lang w:val="es-ES"/>
        </w:rPr>
        <w:t>D</w:t>
      </w:r>
      <w:r>
        <w:rPr>
          <w:rFonts w:ascii="Arial" w:hAnsi="Arial" w:cs="Arial"/>
          <w:lang w:val="es-ES"/>
        </w:rPr>
        <w:t xml:space="preserve"> o </w:t>
      </w:r>
      <w:r>
        <w:rPr>
          <w:rFonts w:ascii="Arial" w:hAnsi="Arial" w:cs="Arial"/>
          <w:b/>
          <w:lang w:val="es-ES"/>
        </w:rPr>
        <w:t>C</w:t>
      </w:r>
      <w:r>
        <w:rPr>
          <w:rFonts w:ascii="Arial" w:hAnsi="Arial" w:cs="Arial"/>
          <w:lang w:val="es-ES"/>
        </w:rPr>
        <w:t xml:space="preserve">); pero si no, preferiría que la Corte no emita un </w:t>
      </w:r>
      <w:r>
        <w:rPr>
          <w:rFonts w:ascii="Arial" w:hAnsi="Arial" w:cs="Arial"/>
          <w:i/>
          <w:lang w:val="es-ES"/>
        </w:rPr>
        <w:t>wom</w:t>
      </w:r>
      <w:r>
        <w:rPr>
          <w:rFonts w:ascii="Arial" w:hAnsi="Arial" w:cs="Arial"/>
          <w:lang w:val="es-ES"/>
        </w:rPr>
        <w:t xml:space="preserve"> que el Presidente pueda obviar según sus prerrogativas constitucionales, y que si así fuese el caso dejaría en mala posición a la Corte para proceder en el futuro (por lo que </w:t>
      </w:r>
      <w:r>
        <w:rPr>
          <w:rFonts w:ascii="Arial" w:hAnsi="Arial" w:cs="Arial"/>
          <w:b/>
          <w:lang w:val="es-ES"/>
        </w:rPr>
        <w:t>D</w:t>
      </w:r>
      <w:r>
        <w:rPr>
          <w:rFonts w:ascii="Arial" w:hAnsi="Arial" w:cs="Arial"/>
          <w:lang w:val="es-ES"/>
        </w:rPr>
        <w:t xml:space="preserve"> vale más que </w:t>
      </w:r>
      <w:r>
        <w:rPr>
          <w:rFonts w:ascii="Arial" w:hAnsi="Arial" w:cs="Arial"/>
          <w:b/>
          <w:lang w:val="es-ES"/>
        </w:rPr>
        <w:t xml:space="preserve">C </w:t>
      </w:r>
      <w:r>
        <w:rPr>
          <w:rFonts w:ascii="Arial" w:hAnsi="Arial" w:cs="Arial"/>
          <w:lang w:val="es-ES"/>
        </w:rPr>
        <w:t>– su peor resultado).</w:t>
      </w:r>
    </w:p>
    <w:p w14:paraId="700D3548" w14:textId="77777777" w:rsidR="00191F4C" w:rsidRDefault="00191F4C">
      <w:pPr>
        <w:jc w:val="both"/>
        <w:rPr>
          <w:rFonts w:ascii="Arial" w:hAnsi="Arial" w:cs="Arial"/>
          <w:lang w:val="es-ES"/>
        </w:rPr>
      </w:pPr>
    </w:p>
    <w:p w14:paraId="45C1F029" w14:textId="77777777" w:rsidR="00191F4C" w:rsidRDefault="00191F4C">
      <w:pPr>
        <w:jc w:val="both"/>
        <w:rPr>
          <w:rFonts w:ascii="Arial" w:hAnsi="Arial" w:cs="Arial"/>
          <w:lang w:val="es-ES"/>
        </w:rPr>
      </w:pPr>
      <w:r>
        <w:rPr>
          <w:rFonts w:ascii="Arial" w:hAnsi="Arial" w:cs="Arial"/>
          <w:lang w:val="es-ES"/>
        </w:rPr>
        <w:t xml:space="preserve">El resultado histórico fue E, y es una situación en la que ambos obtienen la mejor situación posible en el contexto del caso. De esta manera, no estaríamos ante un resultado en el que la racionalidad de uno venció al otro (como muchos textos afirman –a favor de Marshall), sino en la que ambos llegaron a un equilibrio. </w:t>
      </w:r>
    </w:p>
    <w:p w14:paraId="3C27290A" w14:textId="77777777" w:rsidR="00191F4C" w:rsidRDefault="00191F4C">
      <w:pPr>
        <w:jc w:val="both"/>
        <w:rPr>
          <w:rFonts w:ascii="Arial" w:hAnsi="Arial" w:cs="Arial"/>
          <w:lang w:val="es-ES"/>
        </w:rPr>
      </w:pPr>
    </w:p>
    <w:p w14:paraId="455E3DCC" w14:textId="77777777" w:rsidR="00191F4C" w:rsidRPr="00B7041E" w:rsidRDefault="00191F4C">
      <w:pPr>
        <w:jc w:val="both"/>
        <w:rPr>
          <w:rFonts w:ascii="Arial" w:hAnsi="Arial" w:cs="Arial"/>
          <w:b/>
          <w:lang w:val="es-PE"/>
        </w:rPr>
      </w:pPr>
    </w:p>
    <w:p w14:paraId="4B759ACB" w14:textId="77777777" w:rsidR="00191F4C" w:rsidRPr="00B7041E" w:rsidRDefault="00191F4C">
      <w:pPr>
        <w:jc w:val="both"/>
        <w:rPr>
          <w:rFonts w:ascii="Arial" w:hAnsi="Arial" w:cs="Arial"/>
          <w:b/>
          <w:lang w:val="es-PE"/>
        </w:rPr>
      </w:pPr>
    </w:p>
    <w:p w14:paraId="79C035DC" w14:textId="77777777" w:rsidR="00191F4C" w:rsidRPr="00B7041E" w:rsidRDefault="00191F4C">
      <w:pPr>
        <w:jc w:val="both"/>
        <w:rPr>
          <w:rFonts w:ascii="Arial" w:hAnsi="Arial" w:cs="Arial"/>
          <w:b/>
          <w:lang w:val="es-PE"/>
        </w:rPr>
      </w:pPr>
    </w:p>
    <w:p w14:paraId="5DDF2A23" w14:textId="77777777" w:rsidR="00191F4C" w:rsidRPr="00B7041E" w:rsidRDefault="00191F4C">
      <w:pPr>
        <w:jc w:val="both"/>
        <w:rPr>
          <w:rFonts w:ascii="Arial" w:hAnsi="Arial" w:cs="Arial"/>
          <w:b/>
          <w:lang w:val="es-PE"/>
        </w:rPr>
      </w:pPr>
    </w:p>
    <w:p w14:paraId="55606C3C" w14:textId="77777777" w:rsidR="00191F4C" w:rsidRPr="00B7041E" w:rsidRDefault="00191F4C">
      <w:pPr>
        <w:jc w:val="both"/>
        <w:rPr>
          <w:rFonts w:ascii="Arial" w:hAnsi="Arial" w:cs="Arial"/>
          <w:b/>
          <w:lang w:val="es-PE"/>
        </w:rPr>
      </w:pPr>
    </w:p>
    <w:p w14:paraId="6F252CBC" w14:textId="77777777" w:rsidR="00F004EB" w:rsidRDefault="00F004EB">
      <w:pPr>
        <w:rPr>
          <w:rFonts w:ascii="Arial" w:hAnsi="Arial" w:cs="Arial"/>
          <w:b/>
        </w:rPr>
      </w:pPr>
      <w:r>
        <w:rPr>
          <w:rFonts w:ascii="Arial" w:hAnsi="Arial" w:cs="Arial"/>
          <w:b/>
        </w:rPr>
        <w:br w:type="page"/>
      </w:r>
    </w:p>
    <w:p w14:paraId="00321A91" w14:textId="77777777" w:rsidR="00191F4C" w:rsidRDefault="00191F4C">
      <w:pPr>
        <w:jc w:val="both"/>
        <w:rPr>
          <w:rFonts w:ascii="Arial" w:hAnsi="Arial" w:cs="Arial"/>
          <w:b/>
        </w:rPr>
      </w:pPr>
      <w:r>
        <w:rPr>
          <w:rFonts w:ascii="Arial" w:hAnsi="Arial" w:cs="Arial"/>
          <w:b/>
        </w:rPr>
        <w:lastRenderedPageBreak/>
        <w:t>REFERENCIAS</w:t>
      </w:r>
    </w:p>
    <w:p w14:paraId="1D31E04E" w14:textId="77777777" w:rsidR="00191F4C" w:rsidRDefault="00191F4C">
      <w:pPr>
        <w:jc w:val="both"/>
        <w:rPr>
          <w:rFonts w:ascii="Arial" w:hAnsi="Arial" w:cs="Arial"/>
          <w:b/>
        </w:rPr>
      </w:pPr>
    </w:p>
    <w:p w14:paraId="1D76C996" w14:textId="77777777" w:rsidR="00191F4C" w:rsidRDefault="00191F4C">
      <w:pPr>
        <w:jc w:val="both"/>
        <w:rPr>
          <w:rFonts w:ascii="Arial" w:hAnsi="Arial" w:cs="Arial"/>
          <w:sz w:val="16"/>
        </w:rPr>
      </w:pPr>
      <w:r>
        <w:rPr>
          <w:rFonts w:ascii="Arial" w:hAnsi="Arial" w:cs="Arial"/>
          <w:sz w:val="16"/>
        </w:rPr>
        <w:t>Beveridge, Albert (1916) The Life of John Marshall. 4 vols. Boston. Houghton Mifflin.</w:t>
      </w:r>
    </w:p>
    <w:p w14:paraId="712038A9" w14:textId="77777777" w:rsidR="00191F4C" w:rsidRDefault="00191F4C">
      <w:pPr>
        <w:jc w:val="both"/>
        <w:rPr>
          <w:rFonts w:ascii="Arial" w:hAnsi="Arial" w:cs="Arial"/>
          <w:sz w:val="16"/>
        </w:rPr>
      </w:pPr>
    </w:p>
    <w:p w14:paraId="7C2A9BEF" w14:textId="77777777" w:rsidR="00191F4C" w:rsidRDefault="00191F4C">
      <w:pPr>
        <w:jc w:val="both"/>
        <w:rPr>
          <w:rFonts w:ascii="Arial" w:hAnsi="Arial" w:cs="Arial"/>
          <w:sz w:val="16"/>
        </w:rPr>
      </w:pPr>
      <w:r>
        <w:rPr>
          <w:rFonts w:ascii="Arial" w:hAnsi="Arial" w:cs="Arial"/>
          <w:sz w:val="16"/>
        </w:rPr>
        <w:t>Cannon, Mark y David O’Brien, eds (1985) Views from the Bench: the Judiciary and Cosntitutional Politics. Chatham, NJ; Chatham House.</w:t>
      </w:r>
    </w:p>
    <w:p w14:paraId="09AD1970" w14:textId="77777777" w:rsidR="00191F4C" w:rsidRDefault="00191F4C">
      <w:pPr>
        <w:jc w:val="both"/>
        <w:rPr>
          <w:rFonts w:ascii="Arial" w:hAnsi="Arial" w:cs="Arial"/>
          <w:sz w:val="16"/>
        </w:rPr>
      </w:pPr>
    </w:p>
    <w:p w14:paraId="50B589AB" w14:textId="77777777" w:rsidR="00191F4C" w:rsidRDefault="00191F4C">
      <w:pPr>
        <w:jc w:val="both"/>
        <w:rPr>
          <w:rFonts w:ascii="Arial" w:hAnsi="Arial" w:cs="Arial"/>
          <w:sz w:val="16"/>
        </w:rPr>
      </w:pPr>
      <w:r>
        <w:rPr>
          <w:rFonts w:ascii="Arial" w:hAnsi="Arial" w:cs="Arial"/>
          <w:sz w:val="16"/>
        </w:rPr>
        <w:t>Clinton, Robert (1989) Marbury vs. Madison and Judicial Review. Lawrence: University Press of Kansas.</w:t>
      </w:r>
    </w:p>
    <w:p w14:paraId="5F6F56DC" w14:textId="77777777" w:rsidR="00191F4C" w:rsidRDefault="00191F4C">
      <w:pPr>
        <w:jc w:val="both"/>
        <w:rPr>
          <w:rFonts w:ascii="Arial" w:hAnsi="Arial" w:cs="Arial"/>
          <w:sz w:val="16"/>
        </w:rPr>
      </w:pPr>
    </w:p>
    <w:p w14:paraId="4D642BC9" w14:textId="77777777" w:rsidR="00191F4C" w:rsidRDefault="00191F4C">
      <w:pPr>
        <w:jc w:val="both"/>
        <w:rPr>
          <w:rFonts w:ascii="Arial" w:hAnsi="Arial" w:cs="Arial"/>
          <w:sz w:val="16"/>
        </w:rPr>
      </w:pPr>
      <w:r>
        <w:rPr>
          <w:rFonts w:ascii="Arial" w:hAnsi="Arial" w:cs="Arial"/>
          <w:sz w:val="16"/>
        </w:rPr>
        <w:t>Dewey, Donald (1970) Marshall versus Jefferson: The Political Background of Marbury vs. Madison. New York: Knopf.</w:t>
      </w:r>
    </w:p>
    <w:p w14:paraId="16F08D26" w14:textId="77777777" w:rsidR="00191F4C" w:rsidRDefault="00191F4C">
      <w:pPr>
        <w:jc w:val="both"/>
        <w:rPr>
          <w:rFonts w:ascii="Arial" w:hAnsi="Arial" w:cs="Arial"/>
          <w:sz w:val="16"/>
        </w:rPr>
      </w:pPr>
    </w:p>
    <w:p w14:paraId="25639717" w14:textId="77777777" w:rsidR="00191F4C" w:rsidRDefault="00191F4C">
      <w:pPr>
        <w:jc w:val="both"/>
        <w:rPr>
          <w:rFonts w:ascii="Arial" w:hAnsi="Arial" w:cs="Arial"/>
          <w:sz w:val="16"/>
        </w:rPr>
      </w:pPr>
      <w:r>
        <w:rPr>
          <w:rFonts w:ascii="Arial" w:hAnsi="Arial" w:cs="Arial"/>
          <w:sz w:val="16"/>
        </w:rPr>
        <w:t>Ellis, Richard (1974) The Jeffersonian Crisis: Courts and Politics in the Young Republic. New York. Norton.</w:t>
      </w:r>
    </w:p>
    <w:p w14:paraId="78A80E3E" w14:textId="77777777" w:rsidR="00191F4C" w:rsidRDefault="00191F4C">
      <w:pPr>
        <w:jc w:val="both"/>
        <w:rPr>
          <w:rFonts w:ascii="Arial" w:hAnsi="Arial" w:cs="Arial"/>
          <w:sz w:val="16"/>
        </w:rPr>
      </w:pPr>
    </w:p>
    <w:p w14:paraId="623745E6" w14:textId="77777777" w:rsidR="00191F4C" w:rsidRDefault="00191F4C">
      <w:pPr>
        <w:jc w:val="both"/>
        <w:rPr>
          <w:rFonts w:ascii="Arial" w:hAnsi="Arial" w:cs="Arial"/>
          <w:sz w:val="16"/>
        </w:rPr>
      </w:pPr>
      <w:r>
        <w:rPr>
          <w:rFonts w:ascii="Arial" w:hAnsi="Arial" w:cs="Arial"/>
          <w:sz w:val="16"/>
        </w:rPr>
        <w:t>Haskins, George y Herbert Johnson (1981) Foundations of Power: John Marshall, 1801-1815. New York. Macmillan.</w:t>
      </w:r>
    </w:p>
    <w:p w14:paraId="7D817F9D" w14:textId="77777777" w:rsidR="00191F4C" w:rsidRDefault="00191F4C">
      <w:pPr>
        <w:jc w:val="both"/>
        <w:rPr>
          <w:rFonts w:ascii="Arial" w:hAnsi="Arial" w:cs="Arial"/>
          <w:sz w:val="16"/>
        </w:rPr>
      </w:pPr>
      <w:r>
        <w:rPr>
          <w:rFonts w:ascii="Arial" w:hAnsi="Arial" w:cs="Arial"/>
          <w:sz w:val="16"/>
        </w:rPr>
        <w:t xml:space="preserve"> </w:t>
      </w:r>
    </w:p>
    <w:p w14:paraId="6C099BEC" w14:textId="77777777" w:rsidR="00191F4C" w:rsidRDefault="00191F4C">
      <w:pPr>
        <w:jc w:val="both"/>
        <w:rPr>
          <w:rFonts w:ascii="Arial" w:hAnsi="Arial" w:cs="Arial"/>
          <w:sz w:val="16"/>
        </w:rPr>
      </w:pPr>
      <w:r>
        <w:rPr>
          <w:rFonts w:ascii="Arial" w:hAnsi="Arial" w:cs="Arial"/>
          <w:sz w:val="16"/>
        </w:rPr>
        <w:t>Mc Closkey, Robert (1960) The American Supreme Court. Chicago. University of Chicago Press.</w:t>
      </w:r>
    </w:p>
    <w:p w14:paraId="47AFB088" w14:textId="77777777" w:rsidR="00191F4C" w:rsidRDefault="00191F4C">
      <w:pPr>
        <w:jc w:val="both"/>
        <w:rPr>
          <w:rFonts w:ascii="Arial" w:hAnsi="Arial" w:cs="Arial"/>
          <w:sz w:val="16"/>
        </w:rPr>
      </w:pPr>
    </w:p>
    <w:p w14:paraId="3A143EBA" w14:textId="77777777" w:rsidR="00191F4C" w:rsidRDefault="00191F4C">
      <w:pPr>
        <w:jc w:val="both"/>
        <w:rPr>
          <w:rFonts w:ascii="Arial" w:hAnsi="Arial" w:cs="Arial"/>
          <w:sz w:val="16"/>
        </w:rPr>
      </w:pPr>
      <w:r>
        <w:rPr>
          <w:rFonts w:ascii="Arial" w:hAnsi="Arial" w:cs="Arial"/>
          <w:sz w:val="16"/>
        </w:rPr>
        <w:t>Pritchett, Hermann (1977) The American Constitution. 3ª edición. New York. McGraw-Hill.</w:t>
      </w:r>
    </w:p>
    <w:p w14:paraId="35B73FEF" w14:textId="77777777" w:rsidR="00191F4C" w:rsidRDefault="00191F4C">
      <w:pPr>
        <w:jc w:val="both"/>
        <w:rPr>
          <w:rFonts w:ascii="Arial" w:hAnsi="Arial" w:cs="Arial"/>
          <w:sz w:val="16"/>
        </w:rPr>
      </w:pPr>
    </w:p>
    <w:p w14:paraId="521C8FE9" w14:textId="77777777" w:rsidR="00191F4C" w:rsidRDefault="00191F4C">
      <w:pPr>
        <w:jc w:val="both"/>
        <w:rPr>
          <w:rFonts w:ascii="Arial" w:hAnsi="Arial" w:cs="Arial"/>
          <w:sz w:val="16"/>
        </w:rPr>
      </w:pPr>
      <w:r>
        <w:rPr>
          <w:rFonts w:ascii="Arial" w:hAnsi="Arial" w:cs="Arial"/>
          <w:sz w:val="16"/>
        </w:rPr>
        <w:t>Riker, William (1962) The Theory of Political Coalitions.  New haven: Yale University Press.</w:t>
      </w:r>
    </w:p>
    <w:p w14:paraId="2CC9C08D" w14:textId="77777777" w:rsidR="00191F4C" w:rsidRDefault="00191F4C">
      <w:pPr>
        <w:jc w:val="both"/>
        <w:rPr>
          <w:rFonts w:ascii="Arial" w:hAnsi="Arial" w:cs="Arial"/>
          <w:sz w:val="16"/>
        </w:rPr>
      </w:pPr>
    </w:p>
    <w:p w14:paraId="52ECB212" w14:textId="77777777" w:rsidR="00191F4C" w:rsidRDefault="00191F4C">
      <w:pPr>
        <w:jc w:val="both"/>
        <w:rPr>
          <w:rFonts w:ascii="Arial" w:hAnsi="Arial" w:cs="Arial"/>
          <w:sz w:val="16"/>
        </w:rPr>
      </w:pPr>
      <w:r>
        <w:rPr>
          <w:rFonts w:ascii="Arial" w:hAnsi="Arial" w:cs="Arial"/>
          <w:sz w:val="16"/>
        </w:rPr>
        <w:t>Rohde, David (1972a) Policy Goals and Opinion Coalitions in the Supreme Court. Midwest Journal of Political Science 16: 208-24.</w:t>
      </w:r>
    </w:p>
    <w:p w14:paraId="5D783601" w14:textId="77777777" w:rsidR="00191F4C" w:rsidRDefault="00191F4C">
      <w:pPr>
        <w:jc w:val="both"/>
        <w:rPr>
          <w:rFonts w:ascii="Arial" w:hAnsi="Arial" w:cs="Arial"/>
          <w:sz w:val="16"/>
        </w:rPr>
      </w:pPr>
      <w:r>
        <w:rPr>
          <w:rFonts w:ascii="Arial" w:hAnsi="Arial" w:cs="Arial"/>
          <w:sz w:val="16"/>
        </w:rPr>
        <w:t>--------------------(1972a) A Theory of the Formation of Opinion Coalitions in the U.S. Supreme Court. In Probability Models of Collective Decision–Making, ed. Richard G. Niemi and Herbert Weisberg. Columbus: Merrill.</w:t>
      </w:r>
    </w:p>
    <w:p w14:paraId="67BC998E" w14:textId="77777777" w:rsidR="00191F4C" w:rsidRDefault="00191F4C">
      <w:pPr>
        <w:jc w:val="both"/>
        <w:rPr>
          <w:rFonts w:ascii="Arial" w:hAnsi="Arial" w:cs="Arial"/>
          <w:sz w:val="16"/>
        </w:rPr>
      </w:pPr>
    </w:p>
    <w:p w14:paraId="495BCA95" w14:textId="77777777" w:rsidR="00191F4C" w:rsidRDefault="00191F4C">
      <w:pPr>
        <w:jc w:val="both"/>
        <w:rPr>
          <w:rFonts w:ascii="Arial" w:hAnsi="Arial" w:cs="Arial"/>
          <w:sz w:val="16"/>
        </w:rPr>
      </w:pPr>
      <w:r>
        <w:rPr>
          <w:rFonts w:ascii="Arial" w:hAnsi="Arial" w:cs="Arial"/>
          <w:sz w:val="16"/>
        </w:rPr>
        <w:t>Schubert, Glendon (1959) Quantitative Analysis of Judicial Behavior. New York: Free Press of Glencoe.</w:t>
      </w:r>
    </w:p>
    <w:p w14:paraId="6177827B" w14:textId="77777777" w:rsidR="00191F4C" w:rsidRDefault="00191F4C">
      <w:pPr>
        <w:jc w:val="both"/>
        <w:rPr>
          <w:rFonts w:ascii="Arial" w:hAnsi="Arial" w:cs="Arial"/>
          <w:sz w:val="20"/>
        </w:rPr>
      </w:pPr>
      <w:r>
        <w:rPr>
          <w:rFonts w:ascii="Arial" w:hAnsi="Arial" w:cs="Arial"/>
          <w:sz w:val="16"/>
        </w:rPr>
        <w:t>---------------------------(1962) Policy without Law: an Extension of the Certiorari Game. Stanford Law Review 14:284-327.</w:t>
      </w:r>
    </w:p>
    <w:p w14:paraId="40D5860B" w14:textId="77777777" w:rsidR="00191F4C" w:rsidRDefault="00191F4C">
      <w:pPr>
        <w:jc w:val="both"/>
        <w:rPr>
          <w:rFonts w:ascii="Arial" w:hAnsi="Arial" w:cs="Arial"/>
          <w:sz w:val="20"/>
        </w:rPr>
      </w:pPr>
    </w:p>
    <w:sectPr w:rsidR="00191F4C" w:rsidSect="005D791A">
      <w:headerReference w:type="default" r:id="rId8"/>
      <w:footerReference w:type="even" r:id="rId9"/>
      <w:footerReference w:type="default" r:id="rId10"/>
      <w:pgSz w:w="12240" w:h="15840"/>
      <w:pgMar w:top="1800" w:right="1701" w:bottom="1438" w:left="1701" w:header="708" w:footer="82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EBC6F" w14:textId="77777777" w:rsidR="00232550" w:rsidRDefault="00232550">
      <w:r>
        <w:separator/>
      </w:r>
    </w:p>
  </w:endnote>
  <w:endnote w:type="continuationSeparator" w:id="0">
    <w:p w14:paraId="4C83A0B8" w14:textId="77777777" w:rsidR="00232550" w:rsidRDefault="00232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BCC2E" w14:textId="77777777" w:rsidR="00191F4C" w:rsidRDefault="00F34C91">
    <w:pPr>
      <w:pStyle w:val="Footer"/>
      <w:framePr w:wrap="around" w:vAnchor="text" w:hAnchor="margin" w:xAlign="right" w:y="1"/>
      <w:rPr>
        <w:rStyle w:val="PageNumber"/>
      </w:rPr>
    </w:pPr>
    <w:r>
      <w:rPr>
        <w:rStyle w:val="PageNumber"/>
      </w:rPr>
      <w:fldChar w:fldCharType="begin"/>
    </w:r>
    <w:r w:rsidR="00191F4C">
      <w:rPr>
        <w:rStyle w:val="PageNumber"/>
      </w:rPr>
      <w:instrText xml:space="preserve">PAGE  </w:instrText>
    </w:r>
    <w:r>
      <w:rPr>
        <w:rStyle w:val="PageNumber"/>
      </w:rPr>
      <w:fldChar w:fldCharType="end"/>
    </w:r>
  </w:p>
  <w:p w14:paraId="54E4E4AA" w14:textId="77777777" w:rsidR="00191F4C" w:rsidRDefault="00191F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8D58F" w14:textId="77777777" w:rsidR="00191F4C" w:rsidRDefault="00191F4C">
    <w:pPr>
      <w:pStyle w:val="Footer"/>
      <w:framePr w:w="180" w:h="545" w:hRule="exact" w:wrap="around" w:vAnchor="text" w:hAnchor="page" w:x="10342" w:yAlign="top"/>
      <w:rPr>
        <w:rStyle w:val="PageNumber"/>
      </w:rPr>
    </w:pPr>
  </w:p>
  <w:p w14:paraId="2165C7A9" w14:textId="77777777" w:rsidR="00191F4C" w:rsidRDefault="00F34C91">
    <w:pPr>
      <w:pStyle w:val="Footer"/>
      <w:framePr w:w="180" w:h="545" w:hRule="exact" w:wrap="around" w:vAnchor="text" w:hAnchor="page" w:x="10342" w:yAlign="top"/>
      <w:rPr>
        <w:rStyle w:val="PageNumber"/>
        <w:rFonts w:ascii="Arial" w:hAnsi="Arial" w:cs="Arial"/>
        <w:lang w:val="es-ES"/>
      </w:rPr>
    </w:pPr>
    <w:r>
      <w:rPr>
        <w:rStyle w:val="PageNumber"/>
        <w:rFonts w:ascii="Arial" w:hAnsi="Arial" w:cs="Arial"/>
      </w:rPr>
      <w:fldChar w:fldCharType="begin"/>
    </w:r>
    <w:r w:rsidR="00191F4C">
      <w:rPr>
        <w:rStyle w:val="PageNumber"/>
        <w:rFonts w:ascii="Arial" w:hAnsi="Arial" w:cs="Arial"/>
      </w:rPr>
      <w:instrText xml:space="preserve">PAGE  </w:instrText>
    </w:r>
    <w:r>
      <w:rPr>
        <w:rStyle w:val="PageNumber"/>
        <w:rFonts w:ascii="Arial" w:hAnsi="Arial" w:cs="Arial"/>
      </w:rPr>
      <w:fldChar w:fldCharType="separate"/>
    </w:r>
    <w:r w:rsidR="00316D7F">
      <w:rPr>
        <w:rStyle w:val="PageNumber"/>
        <w:rFonts w:ascii="Arial" w:hAnsi="Arial" w:cs="Arial"/>
        <w:noProof/>
      </w:rPr>
      <w:t>1</w:t>
    </w:r>
    <w:r>
      <w:rPr>
        <w:rStyle w:val="PageNumber"/>
        <w:rFonts w:ascii="Arial" w:hAnsi="Arial" w:cs="Arial"/>
      </w:rPr>
      <w:fldChar w:fldCharType="end"/>
    </w:r>
  </w:p>
  <w:p w14:paraId="58A969C5" w14:textId="77777777" w:rsidR="00191F4C" w:rsidRDefault="00191F4C">
    <w:pPr>
      <w:pStyle w:val="Footer"/>
      <w:ind w:right="360"/>
      <w:rPr>
        <w:lang w:val="es-ES"/>
      </w:rPr>
    </w:pPr>
  </w:p>
  <w:p w14:paraId="764BA06D" w14:textId="44A7C483" w:rsidR="00191F4C" w:rsidRDefault="004F2ABA">
    <w:pPr>
      <w:pStyle w:val="Footer"/>
      <w:ind w:right="360"/>
      <w:rPr>
        <w:rFonts w:ascii="Arial" w:hAnsi="Arial" w:cs="Arial"/>
        <w:i/>
        <w:iCs/>
        <w:lang w:val="es-ES"/>
      </w:rPr>
    </w:pPr>
    <w:r>
      <w:rPr>
        <w:rFonts w:ascii="Arial" w:hAnsi="Arial" w:cs="Arial"/>
        <w:i/>
        <w:iCs/>
        <w:noProof/>
        <w:sz w:val="20"/>
        <w:lang w:eastAsia="en-US"/>
      </w:rPr>
      <mc:AlternateContent>
        <mc:Choice Requires="wps">
          <w:drawing>
            <wp:anchor distT="0" distB="0" distL="114300" distR="114300" simplePos="0" relativeHeight="251657216" behindDoc="0" locked="0" layoutInCell="1" allowOverlap="1" wp14:anchorId="463BE39C" wp14:editId="3CDEA68A">
              <wp:simplePos x="0" y="0"/>
              <wp:positionH relativeFrom="column">
                <wp:posOffset>0</wp:posOffset>
              </wp:positionH>
              <wp:positionV relativeFrom="paragraph">
                <wp:posOffset>-114935</wp:posOffset>
              </wp:positionV>
              <wp:extent cx="5600700" cy="0"/>
              <wp:effectExtent l="38100" t="37465" r="50800" b="514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F475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" strokeweight="4.5pt">
              <v:stroke linestyle="thickThin"/>
            </v:line>
          </w:pict>
        </mc:Fallback>
      </mc:AlternateContent>
    </w:r>
    <w:r w:rsidR="00191F4C">
      <w:rPr>
        <w:rFonts w:ascii="Arial" w:hAnsi="Arial" w:cs="Arial"/>
        <w:i/>
        <w:iCs/>
        <w:lang w:val="es-ES"/>
      </w:rPr>
      <w:t>Prof. José Manuel Magallanes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5FCE8" w14:textId="77777777" w:rsidR="00232550" w:rsidRDefault="00232550">
      <w:r>
        <w:separator/>
      </w:r>
    </w:p>
  </w:footnote>
  <w:footnote w:type="continuationSeparator" w:id="0">
    <w:p w14:paraId="22109394" w14:textId="77777777" w:rsidR="00232550" w:rsidRDefault="00232550">
      <w:r>
        <w:continuationSeparator/>
      </w:r>
    </w:p>
  </w:footnote>
  <w:footnote w:id="1">
    <w:p w14:paraId="0297A860" w14:textId="77777777" w:rsidR="00191F4C" w:rsidRDefault="00191F4C">
      <w:pPr>
        <w:pStyle w:val="FootnoteText"/>
        <w:rPr>
          <w:lang w:val="es-ES"/>
        </w:rPr>
      </w:pPr>
      <w:r>
        <w:rPr>
          <w:rStyle w:val="FootnoteReference"/>
        </w:rPr>
        <w:footnoteRef/>
      </w:r>
      <w:r>
        <w:rPr>
          <w:lang w:val="es-ES"/>
        </w:rPr>
        <w:t xml:space="preserve"> La presente lectura está basada en el artículo: Game Theory, Legal History, and the Origins of Judicial Review, públicado por Robert Lowry Clinton, del Departamento de Ciencia Política de la Universidad de illionois, en la Revista Americana de Ciencia Política en el año 1994.</w:t>
      </w:r>
    </w:p>
  </w:footnote>
  <w:footnote w:id="2">
    <w:p w14:paraId="0F23100B" w14:textId="77777777" w:rsidR="00191F4C" w:rsidRDefault="00191F4C">
      <w:pPr>
        <w:pStyle w:val="FootnoteText"/>
        <w:rPr>
          <w:lang w:val="es-ES"/>
        </w:rPr>
      </w:pPr>
      <w:r>
        <w:rPr>
          <w:rStyle w:val="FootnoteReference"/>
        </w:rPr>
        <w:footnoteRef/>
      </w:r>
      <w:r>
        <w:rPr>
          <w:lang w:val="es-ES"/>
        </w:rPr>
        <w:t xml:space="preserve"> Una orden emitida por una Corte a un funcionario para indicarle que debe cumplir alguna obligación legal.</w:t>
      </w:r>
    </w:p>
  </w:footnote>
  <w:footnote w:id="3">
    <w:p w14:paraId="4F2B2D12" w14:textId="77777777" w:rsidR="00191F4C" w:rsidRDefault="00191F4C">
      <w:pPr>
        <w:pStyle w:val="FootnoteText"/>
        <w:rPr>
          <w:lang w:val="es-ES"/>
        </w:rPr>
      </w:pPr>
      <w:r>
        <w:rPr>
          <w:rStyle w:val="FootnoteReference"/>
        </w:rPr>
        <w:footnoteRef/>
      </w:r>
      <w:r>
        <w:rPr>
          <w:lang w:val="es-ES"/>
        </w:rPr>
        <w:t xml:space="preserve"> Antes de iniciar su demanda, los demandantes habían solicitado al Secretario de estado y al Secretario del Senado información en relación a sus Resoluciones. El 31 de enero de 1803, luego de un largo debate, el Senado votó (15 a 13) negándose a darles información al respecto. La misma suerte tuvieron en el Departamento de Estado.</w:t>
      </w:r>
    </w:p>
  </w:footnote>
  <w:footnote w:id="4">
    <w:p w14:paraId="466CE96D" w14:textId="77777777" w:rsidR="00F004EB" w:rsidRPr="00F004EB" w:rsidRDefault="00F004EB" w:rsidP="00F004EB">
      <w:pPr>
        <w:pStyle w:val="FootnoteText"/>
        <w:rPr>
          <w:lang w:val="es-PE"/>
        </w:rPr>
      </w:pPr>
      <w:r>
        <w:rPr>
          <w:rStyle w:val="FootnoteReference"/>
        </w:rPr>
        <w:footnoteRef/>
      </w:r>
      <w:r w:rsidRPr="00F004EB">
        <w:rPr>
          <w:lang w:val="es-PE"/>
        </w:rPr>
        <w:t xml:space="preserve"> Los juegos suma cero se usan para describir situaciones donde los triunfos o la derrotas de los participantes están exactamente balanceados por los triunfos o derrotas del otro. Siendo siempre cero la suma de los triunfos de ambos jugadores (uno gana y otro pierde). En contraste existen los juegos de suma no nula o diferente a cero. Estos juegos describen situaciones donde lo jugadores participan intentando maximizar sus beneficios sin importar que los demás participantes ganen o pierdan en el intento. Un ejemplo clásico es el dilema del prisionero</w:t>
      </w:r>
      <w:r>
        <w:rPr>
          <w:lang w:val="es-PE"/>
        </w:rPr>
        <w:t>.</w:t>
      </w:r>
    </w:p>
  </w:footnote>
  <w:footnote w:id="5">
    <w:p w14:paraId="5B43C4ED" w14:textId="77777777" w:rsidR="00191F4C" w:rsidRDefault="00191F4C">
      <w:pPr>
        <w:pStyle w:val="FootnoteText"/>
        <w:rPr>
          <w:lang w:val="es-ES"/>
        </w:rPr>
      </w:pPr>
      <w:r>
        <w:rPr>
          <w:rStyle w:val="FootnoteReference"/>
        </w:rPr>
        <w:footnoteRef/>
      </w:r>
      <w:r>
        <w:rPr>
          <w:lang w:val="es-ES"/>
        </w:rPr>
        <w:t xml:space="preserve"> Podría pensarse que las demandas legales, en especial, podrían modelarse mejor como juegos “suma-cero,” pero en situaciones de decisión  de este tipo no sería correcto. Como la mayoría de otras competencias en el mundo real, las demandas rara vez se pueden caracterizar como asuntos “todo o nada”, debido principalmente a la existencia de mecanismos de negociación. La característica de suma-no-cero  de esta situación se vuelve más aparente en casos como el que estamos describiendo, donde la “pelea real” es una pelea en las sombras en donde se enfrentan jugadores que son técnicamente partes de la demanda.</w:t>
      </w:r>
    </w:p>
  </w:footnote>
  <w:footnote w:id="6">
    <w:p w14:paraId="51E69921" w14:textId="77777777" w:rsidR="00191F4C" w:rsidRDefault="00191F4C">
      <w:pPr>
        <w:pStyle w:val="FootnoteText"/>
        <w:rPr>
          <w:lang w:val="es-ES"/>
        </w:rPr>
      </w:pPr>
      <w:r>
        <w:rPr>
          <w:rStyle w:val="FootnoteReference"/>
        </w:rPr>
        <w:footnoteRef/>
      </w:r>
      <w:r>
        <w:rPr>
          <w:lang w:val="es-ES"/>
        </w:rPr>
        <w:t xml:space="preserve"> Este trabajo dejo de lado la opción “a favor de Marbury y declarar inconstitucional el Acta de 1789”, pues sería una forma de hacer válida el Acta sólo para Marbury para luego invalidarla “prospectivamente”.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4489"/>
      <w:gridCol w:w="4489"/>
    </w:tblGrid>
    <w:tr w:rsidR="00191F4C" w14:paraId="6832942B" w14:textId="77777777">
      <w:trPr>
        <w:trHeight w:val="725"/>
      </w:trPr>
      <w:tc>
        <w:tcPr>
          <w:tcW w:w="4489" w:type="dxa"/>
          <w:vAlign w:val="center"/>
        </w:tcPr>
        <w:p w14:paraId="7E9198BB" w14:textId="77777777" w:rsidR="00191F4C" w:rsidRDefault="00007E07">
          <w:pPr>
            <w:pStyle w:val="Header"/>
            <w:rPr>
              <w:rFonts w:ascii="Arial" w:hAnsi="Arial" w:cs="Arial"/>
              <w:sz w:val="22"/>
              <w:lang w:val="es-ES"/>
            </w:rPr>
          </w:pPr>
          <w:r>
            <w:rPr>
              <w:rFonts w:ascii="Arial" w:hAnsi="Arial" w:cs="Arial"/>
              <w:sz w:val="18"/>
              <w:lang w:val="es-ES"/>
            </w:rPr>
            <w:t>Maestria en Gobierno</w:t>
          </w:r>
          <w:r w:rsidR="00316D7F">
            <w:rPr>
              <w:rFonts w:ascii="Arial" w:hAnsi="Arial" w:cs="Arial"/>
              <w:sz w:val="18"/>
              <w:lang w:val="es-ES"/>
            </w:rPr>
            <w:t xml:space="preserve"> y Políticas Públicas</w:t>
          </w:r>
        </w:p>
        <w:p w14:paraId="329D49D3" w14:textId="77777777" w:rsidR="00191F4C" w:rsidRDefault="00316D7F" w:rsidP="00F10776">
          <w:pPr>
            <w:pStyle w:val="Header"/>
            <w:rPr>
              <w:rFonts w:ascii="Arial" w:hAnsi="Arial" w:cs="Arial"/>
              <w:sz w:val="22"/>
              <w:lang w:val="es-ES"/>
            </w:rPr>
          </w:pPr>
          <w:r>
            <w:rPr>
              <w:rFonts w:ascii="Arial" w:hAnsi="Arial" w:cs="Arial"/>
              <w:sz w:val="18"/>
              <w:lang w:val="es-ES"/>
            </w:rPr>
            <w:t>Curso: Gobierno y Toma de Decisiones</w:t>
          </w:r>
        </w:p>
      </w:tc>
      <w:tc>
        <w:tcPr>
          <w:tcW w:w="4489" w:type="dxa"/>
          <w:vAlign w:val="center"/>
        </w:tcPr>
        <w:p w14:paraId="57260249" w14:textId="77777777" w:rsidR="00191F4C" w:rsidRDefault="00F10776" w:rsidP="00316D7F">
          <w:pPr>
            <w:pStyle w:val="Header"/>
            <w:jc w:val="center"/>
            <w:rPr>
              <w:rFonts w:ascii="Arial" w:hAnsi="Arial" w:cs="Arial"/>
              <w:sz w:val="22"/>
              <w:lang w:val="es-ES"/>
            </w:rPr>
          </w:pPr>
          <w:r>
            <w:rPr>
              <w:rFonts w:ascii="Arial" w:hAnsi="Arial" w:cs="Arial"/>
              <w:sz w:val="22"/>
              <w:lang w:val="es-ES"/>
            </w:rPr>
            <w:t>Tema</w:t>
          </w:r>
          <w:r w:rsidR="00191F4C">
            <w:rPr>
              <w:rFonts w:ascii="Arial" w:hAnsi="Arial" w:cs="Arial"/>
              <w:sz w:val="22"/>
              <w:lang w:val="es-ES"/>
            </w:rPr>
            <w:t xml:space="preserve">: </w:t>
          </w:r>
          <w:r w:rsidR="00316D7F">
            <w:rPr>
              <w:rFonts w:ascii="Arial" w:hAnsi="Arial" w:cs="Arial"/>
              <w:sz w:val="22"/>
              <w:lang w:val="es-ES"/>
            </w:rPr>
            <w:t>Elección Racional</w:t>
          </w:r>
        </w:p>
      </w:tc>
    </w:tr>
  </w:tbl>
  <w:p w14:paraId="776B13CE" w14:textId="710B0352" w:rsidR="00191F4C" w:rsidRDefault="004F2ABA">
    <w:pPr>
      <w:pStyle w:val="Header"/>
      <w:rPr>
        <w:lang w:val="es-ES"/>
      </w:rPr>
    </w:pPr>
    <w:r>
      <w:rPr>
        <w:rFonts w:ascii="Arial" w:hAnsi="Arial" w:cs="Arial"/>
        <w:noProof/>
        <w:sz w:val="18"/>
        <w:lang w:eastAsia="en-US"/>
      </w:rPr>
      <mc:AlternateContent>
        <mc:Choice Requires="wps">
          <w:drawing>
            <wp:anchor distT="0" distB="0" distL="114300" distR="114300" simplePos="0" relativeHeight="251658240" behindDoc="0" locked="0" layoutInCell="1" allowOverlap="1" wp14:anchorId="784D3D77" wp14:editId="3FAD2902">
              <wp:simplePos x="0" y="0"/>
              <wp:positionH relativeFrom="column">
                <wp:posOffset>0</wp:posOffset>
              </wp:positionH>
              <wp:positionV relativeFrom="paragraph">
                <wp:posOffset>82550</wp:posOffset>
              </wp:positionV>
              <wp:extent cx="5600700" cy="0"/>
              <wp:effectExtent l="38100" t="44450" r="50800" b="444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76B23"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41pt,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" strokeweight="4.5pt">
              <v:stroke linestyle="thinThick"/>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F229A"/>
    <w:multiLevelType w:val="hybridMultilevel"/>
    <w:tmpl w:val="57D0261A"/>
    <w:lvl w:ilvl="0" w:tplc="280A000F">
      <w:start w:val="1"/>
      <w:numFmt w:val="decimal"/>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
    <w:nsid w:val="3A3830E9"/>
    <w:multiLevelType w:val="multilevel"/>
    <w:tmpl w:val="B0228B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7342D71"/>
    <w:multiLevelType w:val="hybridMultilevel"/>
    <w:tmpl w:val="189A4C80"/>
    <w:lvl w:ilvl="0" w:tplc="C19C2C54">
      <w:start w:val="7"/>
      <w:numFmt w:val="bullet"/>
      <w:lvlText w:val=""/>
      <w:lvlJc w:val="left"/>
      <w:pPr>
        <w:tabs>
          <w:tab w:val="num" w:pos="1440"/>
        </w:tabs>
        <w:ind w:left="1440" w:hanging="360"/>
      </w:pPr>
      <w:rPr>
        <w:rFonts w:ascii="Symbol" w:eastAsia="SimSun" w:hAnsi="Symbol" w:cs="Arial" w:hint="default"/>
      </w:rPr>
    </w:lvl>
    <w:lvl w:ilvl="1" w:tplc="280A0003" w:tentative="1">
      <w:start w:val="1"/>
      <w:numFmt w:val="bullet"/>
      <w:lvlText w:val="o"/>
      <w:lvlJc w:val="left"/>
      <w:pPr>
        <w:tabs>
          <w:tab w:val="num" w:pos="1440"/>
        </w:tabs>
        <w:ind w:left="1440" w:hanging="360"/>
      </w:pPr>
      <w:rPr>
        <w:rFonts w:ascii="Courier New" w:hAnsi="Courier New" w:cs="Courier New" w:hint="default"/>
      </w:rPr>
    </w:lvl>
    <w:lvl w:ilvl="2" w:tplc="280A0005" w:tentative="1">
      <w:start w:val="1"/>
      <w:numFmt w:val="bullet"/>
      <w:lvlText w:val=""/>
      <w:lvlJc w:val="left"/>
      <w:pPr>
        <w:tabs>
          <w:tab w:val="num" w:pos="2160"/>
        </w:tabs>
        <w:ind w:left="2160" w:hanging="360"/>
      </w:pPr>
      <w:rPr>
        <w:rFonts w:ascii="Wingdings" w:hAnsi="Wingdings" w:hint="default"/>
      </w:rPr>
    </w:lvl>
    <w:lvl w:ilvl="3" w:tplc="280A0001" w:tentative="1">
      <w:start w:val="1"/>
      <w:numFmt w:val="bullet"/>
      <w:lvlText w:val=""/>
      <w:lvlJc w:val="left"/>
      <w:pPr>
        <w:tabs>
          <w:tab w:val="num" w:pos="2880"/>
        </w:tabs>
        <w:ind w:left="2880" w:hanging="360"/>
      </w:pPr>
      <w:rPr>
        <w:rFonts w:ascii="Symbol" w:hAnsi="Symbol" w:hint="default"/>
      </w:rPr>
    </w:lvl>
    <w:lvl w:ilvl="4" w:tplc="280A0003" w:tentative="1">
      <w:start w:val="1"/>
      <w:numFmt w:val="bullet"/>
      <w:lvlText w:val="o"/>
      <w:lvlJc w:val="left"/>
      <w:pPr>
        <w:tabs>
          <w:tab w:val="num" w:pos="3600"/>
        </w:tabs>
        <w:ind w:left="3600" w:hanging="360"/>
      </w:pPr>
      <w:rPr>
        <w:rFonts w:ascii="Courier New" w:hAnsi="Courier New" w:cs="Courier New" w:hint="default"/>
      </w:rPr>
    </w:lvl>
    <w:lvl w:ilvl="5" w:tplc="280A0005" w:tentative="1">
      <w:start w:val="1"/>
      <w:numFmt w:val="bullet"/>
      <w:lvlText w:val=""/>
      <w:lvlJc w:val="left"/>
      <w:pPr>
        <w:tabs>
          <w:tab w:val="num" w:pos="4320"/>
        </w:tabs>
        <w:ind w:left="4320" w:hanging="360"/>
      </w:pPr>
      <w:rPr>
        <w:rFonts w:ascii="Wingdings" w:hAnsi="Wingdings" w:hint="default"/>
      </w:rPr>
    </w:lvl>
    <w:lvl w:ilvl="6" w:tplc="280A0001" w:tentative="1">
      <w:start w:val="1"/>
      <w:numFmt w:val="bullet"/>
      <w:lvlText w:val=""/>
      <w:lvlJc w:val="left"/>
      <w:pPr>
        <w:tabs>
          <w:tab w:val="num" w:pos="5040"/>
        </w:tabs>
        <w:ind w:left="5040" w:hanging="360"/>
      </w:pPr>
      <w:rPr>
        <w:rFonts w:ascii="Symbol" w:hAnsi="Symbol" w:hint="default"/>
      </w:rPr>
    </w:lvl>
    <w:lvl w:ilvl="7" w:tplc="280A0003" w:tentative="1">
      <w:start w:val="1"/>
      <w:numFmt w:val="bullet"/>
      <w:lvlText w:val="o"/>
      <w:lvlJc w:val="left"/>
      <w:pPr>
        <w:tabs>
          <w:tab w:val="num" w:pos="5760"/>
        </w:tabs>
        <w:ind w:left="5760" w:hanging="360"/>
      </w:pPr>
      <w:rPr>
        <w:rFonts w:ascii="Courier New" w:hAnsi="Courier New" w:cs="Courier New" w:hint="default"/>
      </w:rPr>
    </w:lvl>
    <w:lvl w:ilvl="8" w:tplc="280A0005" w:tentative="1">
      <w:start w:val="1"/>
      <w:numFmt w:val="bullet"/>
      <w:lvlText w:val=""/>
      <w:lvlJc w:val="left"/>
      <w:pPr>
        <w:tabs>
          <w:tab w:val="num" w:pos="6480"/>
        </w:tabs>
        <w:ind w:left="6480" w:hanging="360"/>
      </w:pPr>
      <w:rPr>
        <w:rFonts w:ascii="Wingdings" w:hAnsi="Wingdings" w:hint="default"/>
      </w:rPr>
    </w:lvl>
  </w:abstractNum>
  <w:abstractNum w:abstractNumId="3">
    <w:nsid w:val="6FA54D54"/>
    <w:multiLevelType w:val="hybridMultilevel"/>
    <w:tmpl w:val="B0228B60"/>
    <w:lvl w:ilvl="0" w:tplc="280A000F">
      <w:start w:val="1"/>
      <w:numFmt w:val="decimal"/>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76"/>
    <w:rsid w:val="00007E07"/>
    <w:rsid w:val="00011E81"/>
    <w:rsid w:val="00160529"/>
    <w:rsid w:val="00163768"/>
    <w:rsid w:val="00187BE7"/>
    <w:rsid w:val="00191F4C"/>
    <w:rsid w:val="00232550"/>
    <w:rsid w:val="00316D7F"/>
    <w:rsid w:val="00461E39"/>
    <w:rsid w:val="00493A7D"/>
    <w:rsid w:val="004F2ABA"/>
    <w:rsid w:val="005D791A"/>
    <w:rsid w:val="00855F39"/>
    <w:rsid w:val="00B7041E"/>
    <w:rsid w:val="00F004EB"/>
    <w:rsid w:val="00F10776"/>
    <w:rsid w:val="00F34C9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6957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91A"/>
    <w:rPr>
      <w:sz w:val="24"/>
      <w:szCs w:val="24"/>
      <w:lang w:val="en-US" w:eastAsia="es-ES"/>
    </w:rPr>
  </w:style>
  <w:style w:type="paragraph" w:styleId="Heading1">
    <w:name w:val="heading 1"/>
    <w:basedOn w:val="Normal"/>
    <w:next w:val="Normal"/>
    <w:qFormat/>
    <w:rsid w:val="005D791A"/>
    <w:pPr>
      <w:keepNext/>
      <w:jc w:val="both"/>
      <w:outlineLvl w:val="0"/>
    </w:pPr>
    <w:rPr>
      <w:rFonts w:ascii="Arial" w:hAnsi="Arial" w:cs="Arial"/>
      <w:i/>
      <w:iCs/>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5D791A"/>
    <w:pPr>
      <w:jc w:val="center"/>
    </w:pPr>
    <w:rPr>
      <w:rFonts w:ascii="Arial" w:hAnsi="Arial" w:cs="Arial"/>
      <w:sz w:val="36"/>
      <w:lang w:val="es-ES"/>
    </w:rPr>
  </w:style>
  <w:style w:type="paragraph" w:styleId="FootnoteText">
    <w:name w:val="footnote text"/>
    <w:basedOn w:val="Normal"/>
    <w:semiHidden/>
    <w:rsid w:val="005D791A"/>
    <w:rPr>
      <w:sz w:val="20"/>
      <w:szCs w:val="20"/>
    </w:rPr>
  </w:style>
  <w:style w:type="character" w:styleId="FootnoteReference">
    <w:name w:val="footnote reference"/>
    <w:basedOn w:val="DefaultParagraphFont"/>
    <w:semiHidden/>
    <w:rsid w:val="005D791A"/>
    <w:rPr>
      <w:vertAlign w:val="superscript"/>
    </w:rPr>
  </w:style>
  <w:style w:type="paragraph" w:styleId="BodyText2">
    <w:name w:val="Body Text 2"/>
    <w:basedOn w:val="Normal"/>
    <w:semiHidden/>
    <w:rsid w:val="005D791A"/>
    <w:pPr>
      <w:jc w:val="both"/>
    </w:pPr>
    <w:rPr>
      <w:rFonts w:ascii="Arial" w:hAnsi="Arial" w:cs="Arial"/>
      <w:i/>
      <w:iCs/>
      <w:sz w:val="22"/>
      <w:lang w:val="es-ES"/>
    </w:rPr>
  </w:style>
  <w:style w:type="paragraph" w:styleId="Footer">
    <w:name w:val="footer"/>
    <w:basedOn w:val="Normal"/>
    <w:semiHidden/>
    <w:rsid w:val="005D791A"/>
    <w:pPr>
      <w:tabs>
        <w:tab w:val="center" w:pos="4419"/>
        <w:tab w:val="right" w:pos="8838"/>
      </w:tabs>
    </w:pPr>
  </w:style>
  <w:style w:type="character" w:styleId="PageNumber">
    <w:name w:val="page number"/>
    <w:basedOn w:val="DefaultParagraphFont"/>
    <w:semiHidden/>
    <w:rsid w:val="005D791A"/>
  </w:style>
  <w:style w:type="paragraph" w:styleId="Header">
    <w:name w:val="header"/>
    <w:basedOn w:val="Normal"/>
    <w:semiHidden/>
    <w:rsid w:val="005D791A"/>
    <w:pPr>
      <w:tabs>
        <w:tab w:val="center" w:pos="4419"/>
        <w:tab w:val="right" w:pos="8838"/>
      </w:tabs>
    </w:pPr>
  </w:style>
  <w:style w:type="paragraph" w:styleId="BalloonText">
    <w:name w:val="Balloon Text"/>
    <w:basedOn w:val="Normal"/>
    <w:link w:val="BalloonTextChar"/>
    <w:uiPriority w:val="99"/>
    <w:semiHidden/>
    <w:unhideWhenUsed/>
    <w:rsid w:val="00461E39"/>
    <w:rPr>
      <w:rFonts w:ascii="Tahoma" w:hAnsi="Tahoma" w:cs="Tahoma"/>
      <w:sz w:val="16"/>
      <w:szCs w:val="16"/>
    </w:rPr>
  </w:style>
  <w:style w:type="character" w:customStyle="1" w:styleId="BalloonTextChar">
    <w:name w:val="Balloon Text Char"/>
    <w:basedOn w:val="DefaultParagraphFont"/>
    <w:link w:val="BalloonText"/>
    <w:uiPriority w:val="99"/>
    <w:semiHidden/>
    <w:rsid w:val="00461E39"/>
    <w:rPr>
      <w:rFonts w:ascii="Tahoma" w:hAnsi="Tahoma" w:cs="Tahoma"/>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5B4C4-387C-9A44-9A6E-2D332D534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2363</Words>
  <Characters>13470</Characters>
  <Application>Microsoft Macintosh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APLICACIÓN DE LA TEORIA DE JUEGOS EN EL ORIGEN DE LA REVISIÓN JUDICIAL D ELOS ESTADOS UNIDOS DE AMERICA</vt:lpstr>
    </vt:vector>
  </TitlesOfParts>
  <Company>PUCP</Company>
  <LinksUpToDate>false</LinksUpToDate>
  <CharactersWithSpaces>15802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LA TEORIA DE JUEGOS EN EL ORIGEN DE LA REVISIÓN JUDICIAL D ELOS ESTADOS UNIDOS DE AMERICA</dc:title>
  <dc:creator>Direccion de Informatica</dc:creator>
  <cp:lastModifiedBy>Jose M Magallanes</cp:lastModifiedBy>
  <cp:revision>2</cp:revision>
  <cp:lastPrinted>2012-05-03T17:04:00Z</cp:lastPrinted>
  <dcterms:created xsi:type="dcterms:W3CDTF">2019-10-30T02:19:00Z</dcterms:created>
  <dcterms:modified xsi:type="dcterms:W3CDTF">2019-10-30T02:19:00Z</dcterms:modified>
</cp:coreProperties>
</file>