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55B"/>
          <w:sz w:val="40"/>
        </w:rPr>
        <w:t>Informe Ejecutivo para la Dirección</w:t>
      </w:r>
    </w:p>
    <w:p>
      <w:pPr>
        <w:jc w:val="center"/>
      </w:pPr>
      <w:r>
        <w:rPr>
          <w:b/>
          <w:sz w:val="22"/>
        </w:rPr>
        <w:t>SPB-003.2 · Plataforma de Gobierno Documental</w:t>
      </w:r>
    </w:p>
    <w:p>
      <w:pPr>
        <w:pStyle w:val="Heading1"/>
      </w:pPr>
      <w:r>
        <w:t>Informe Ejecutivo para la Dirección — SPB-003.2</w:t>
      </w:r>
    </w:p>
    <w:p>
      <w:pPr>
        <w:pStyle w:val="Heading2"/>
      </w:pPr>
      <w:r>
        <w:t>Situación actual</w:t>
      </w:r>
    </w:p>
    <w:p>
      <w:r>
        <w:t>SGODA-PUINAVE cuenta con una línea base documental y técnica versionada. El PMO Digital se implementa como plataforma de gobierno documental para centralizar la información del proyecto.</w:t>
      </w:r>
    </w:p>
    <w:p>
      <w:pPr>
        <w:pStyle w:val="Heading2"/>
      </w:pPr>
      <w:r>
        <w:t>Avance</w:t>
      </w:r>
    </w:p>
    <w:p>
      <w:pPr>
        <w:pStyle w:val="ListBullet"/>
      </w:pPr>
      <w:r>
        <w:t>Avance promedio documentado: 96.67 %.</w:t>
      </w:r>
    </w:p>
    <w:p>
      <w:pPr>
        <w:pStyle w:val="ListBullet"/>
      </w:pPr>
      <w:r>
        <w:t>Entregables cerrados o declarados cerrados: 8 de 9.</w:t>
      </w:r>
    </w:p>
    <w:p>
      <w:pPr>
        <w:pStyle w:val="ListBullet"/>
      </w:pPr>
      <w:r>
        <w:t>Último commit documental conocido: eff59b7.</w:t>
      </w:r>
    </w:p>
    <w:p>
      <w:pPr>
        <w:pStyle w:val="ListBullet"/>
      </w:pPr>
      <w:r>
        <w:t>Última validación conocida: 595 passed.</w:t>
      </w:r>
    </w:p>
    <w:p>
      <w:pPr>
        <w:pStyle w:val="Heading2"/>
      </w:pPr>
      <w:r>
        <w:t>Decisión estratégica</w:t>
      </w:r>
    </w:p>
    <w:p>
      <w:r>
        <w:t>SPB-003.2 convierte el DMP, el Dashboard, los informes, la presentación institucional y el documento técnico en vistas generadas desde una única fuente de información.</w:t>
      </w:r>
    </w:p>
    <w:p>
      <w:pPr>
        <w:pStyle w:val="Heading2"/>
      </w:pPr>
      <w:r>
        <w:t>Riesgos prioritarios</w:t>
      </w:r>
    </w:p>
    <w:p>
      <w:pPr>
        <w:pStyle w:val="ListBullet"/>
      </w:pPr>
      <w:r>
        <w:t>Desactualización documental: Generar documentos desde el modelo único del PMO antes de cada cierre.</w:t>
      </w:r>
    </w:p>
    <w:p>
      <w:pPr>
        <w:pStyle w:val="ListBullet"/>
      </w:pPr>
      <w:r>
        <w:t>Evidencia histórica incompleta en expedientes SPB-001/SPB-004 a SPB-009: Vincular expedientes completos y registrar fuente de cada evidencia.</w:t>
      </w:r>
    </w:p>
    <w:p>
      <w:pPr>
        <w:pStyle w:val="ListBullet"/>
      </w:pPr>
      <w:r>
        <w:t>Duplicidad entre DMP y documentos ejecutivos: Usar una única fuente de datos y generadores automatizados.</w:t>
      </w:r>
    </w:p>
    <w:p>
      <w:pPr>
        <w:pStyle w:val="Heading2"/>
      </w:pPr>
      <w:r>
        <w:t>Próximos pasos</w:t>
      </w:r>
    </w:p>
    <w:p>
      <w:r>
        <w:t>1. Integrar el paquete en el repositorio.</w:t>
      </w:r>
    </w:p>
    <w:p>
      <w:r>
        <w:t>2. Ejecutar pruebas.</w:t>
      </w:r>
    </w:p>
    <w:p>
      <w:r>
        <w:t>3. Publicar SPB-003.2 en GitHub.</w:t>
      </w:r>
    </w:p>
    <w:p>
      <w:r>
        <w:t>4. Mantener el modelo PMO como fuente de actualización permanente.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SPB-003.2 · PMO Digital · SGODA-PUINAVE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