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2E" w:rsidRPr="0074072E" w:rsidRDefault="0074072E" w:rsidP="0074072E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Збірник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наукових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праць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Національної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академ</w:t>
      </w:r>
      <w:proofErr w:type="gram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ії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Д</w:t>
      </w:r>
      <w:proofErr w:type="gram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ержавної</w:t>
      </w:r>
      <w:proofErr w:type="spellEnd"/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прикордонної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служби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України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в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галузі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техн</w:t>
      </w:r>
      <w:proofErr w:type="gram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ічних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та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військових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наук.</w:t>
      </w:r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   2.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Наукове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видання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"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Військово-технічний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збірник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"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Академії</w:t>
      </w:r>
      <w:proofErr w:type="spellEnd"/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сухопутних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військ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імені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гетьмана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Петра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Сагайдачного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в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галузі</w:t>
      </w:r>
      <w:proofErr w:type="spellEnd"/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proofErr w:type="gram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техн</w:t>
      </w:r>
      <w:proofErr w:type="gram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ічних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наук.</w:t>
      </w:r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   3.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Науково-технічний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журнал "Наука і </w:t>
      </w:r>
      <w:proofErr w:type="spellStart"/>
      <w:proofErr w:type="gram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техн</w:t>
      </w:r>
      <w:proofErr w:type="gram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іка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Повітряних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Сил</w:t>
      </w:r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Збройних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Сил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України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"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Харківського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університету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Повітряних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Сил</w:t>
      </w:r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імені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Івана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Кожедуба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Міністерства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оборони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України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в  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галузі</w:t>
      </w:r>
      <w:proofErr w:type="spellEnd"/>
    </w:p>
    <w:p w:rsidR="0074072E" w:rsidRPr="0074072E" w:rsidRDefault="0074072E" w:rsidP="0074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proofErr w:type="gram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техн</w:t>
      </w:r>
      <w:proofErr w:type="gram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ічних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та </w:t>
      </w:r>
      <w:proofErr w:type="spellStart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військових</w:t>
      </w:r>
      <w:proofErr w:type="spellEnd"/>
      <w:r w:rsidRPr="0074072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наук.</w:t>
      </w:r>
    </w:p>
    <w:p w:rsidR="00D41C83" w:rsidRDefault="00D41C83">
      <w:r>
        <w:br w:type="page"/>
      </w:r>
    </w:p>
    <w:p w:rsidR="00D41C83" w:rsidRPr="00D41C83" w:rsidRDefault="00D41C83" w:rsidP="00D41C83">
      <w:pPr>
        <w:shd w:val="clear" w:color="auto" w:fill="EEEEEE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lastRenderedPageBreak/>
        <w:t xml:space="preserve">Схема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оформлення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статей у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фахові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наукові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видання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</w:t>
      </w:r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br/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Харківського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університету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Повітряних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Сил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ім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.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Івана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Кожедуба</w:t>
      </w:r>
      <w:proofErr w:type="spellEnd"/>
    </w:p>
    <w:p w:rsidR="00D41C83" w:rsidRPr="00D41C83" w:rsidRDefault="00D41C83" w:rsidP="00D41C83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УДК (кегль - 12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пт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:rsidR="00D41C83" w:rsidRPr="00D41C83" w:rsidRDefault="00D41C83" w:rsidP="00D41C83">
      <w:pPr>
        <w:shd w:val="clear" w:color="auto" w:fill="EEEEEE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&lt;–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пустий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рядок –</w:t>
      </w:r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10</w:t>
      </w: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пт</w:t>
      </w:r>
      <w:proofErr w:type="spellEnd"/>
    </w:p>
    <w:p w:rsidR="00D41C83" w:rsidRPr="00D41C83" w:rsidRDefault="00D41C83" w:rsidP="00D41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C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А.А. Іванов,</w:t>
      </w:r>
      <w:r w:rsidRPr="00D41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vertAlign w:val="superscript"/>
          <w:lang w:eastAsia="ru-RU"/>
        </w:rPr>
        <w:t>1</w:t>
      </w:r>
      <w:r w:rsidRPr="00D41C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</w:t>
      </w:r>
      <w:r w:rsidRPr="00D41C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Б.Б. Петров</w:t>
      </w:r>
      <w:proofErr w:type="gramStart"/>
      <w:r w:rsidRPr="00D41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vertAlign w:val="superscript"/>
          <w:lang w:eastAsia="ru-RU"/>
        </w:rPr>
        <w:t>2</w:t>
      </w:r>
      <w:proofErr w:type="gramEnd"/>
      <w:r w:rsidRPr="00D41C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 xml:space="preserve"> (кегль - 12 </w:t>
      </w:r>
      <w:proofErr w:type="spellStart"/>
      <w:r w:rsidRPr="00D41C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пт</w:t>
      </w:r>
      <w:proofErr w:type="spellEnd"/>
      <w:r w:rsidRPr="00D41C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)</w:t>
      </w:r>
    </w:p>
    <w:p w:rsidR="00D41C83" w:rsidRPr="00D41C83" w:rsidRDefault="00D41C83" w:rsidP="00D41C83">
      <w:pPr>
        <w:shd w:val="clear" w:color="auto" w:fill="EEEEEE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&lt;–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пустий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рядок –</w:t>
      </w:r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8 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пт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</w:p>
    <w:p w:rsidR="00D41C83" w:rsidRPr="00D41C83" w:rsidRDefault="00D41C83" w:rsidP="00D41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vertAlign w:val="superscript"/>
          <w:lang w:eastAsia="ru-RU"/>
        </w:rPr>
        <w:t>1</w:t>
      </w: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Харківський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університет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Повітряних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Сил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ім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. І.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Кожедуба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,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Харків</w:t>
      </w:r>
      <w:proofErr w:type="spellEnd"/>
      <w:r w:rsidRPr="00D41C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1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vertAlign w:val="superscript"/>
          <w:lang w:eastAsia="ru-RU"/>
        </w:rPr>
        <w:t>2</w:t>
      </w: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Національний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університет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оборони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України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,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Київ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(кегль – 12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пт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,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накреслення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– курсив)</w:t>
      </w:r>
    </w:p>
    <w:p w:rsidR="00D41C83" w:rsidRPr="00D41C83" w:rsidRDefault="00D41C83" w:rsidP="00D41C83">
      <w:pPr>
        <w:shd w:val="clear" w:color="auto" w:fill="EEEEEE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&lt;–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пустий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рядок –</w:t>
      </w:r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12</w:t>
      </w: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пт</w:t>
      </w:r>
      <w:proofErr w:type="spellEnd"/>
    </w:p>
    <w:p w:rsidR="00D41C83" w:rsidRPr="00D41C83" w:rsidRDefault="00D41C83" w:rsidP="00D41C8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НАЗВА СТАТТІ (КЕГЛЬ - 12 ПТ; НАКРЕСЛЕННЯ - "НАПІВЖИРНЕ"; ПО ЦЕНТРУ)</w:t>
      </w:r>
    </w:p>
    <w:p w:rsidR="00D41C83" w:rsidRPr="00D41C83" w:rsidRDefault="00D41C83" w:rsidP="00D41C83">
      <w:pPr>
        <w:shd w:val="clear" w:color="auto" w:fill="EEEEEE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&lt;–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пустий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рядок –</w:t>
      </w:r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12</w:t>
      </w: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пт</w:t>
      </w:r>
      <w:proofErr w:type="spellEnd"/>
    </w:p>
    <w:p w:rsidR="00D41C83" w:rsidRPr="00D41C83" w:rsidRDefault="00D41C83" w:rsidP="00D41C8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        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Анотація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мовою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основного тексту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статті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обсяг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– не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менше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500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знаків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): кегль – 10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пт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накреслення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– "курсив",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відступ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першого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рядка абзацу – 0,75 см;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вирівнювання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– за шириною).</w:t>
      </w:r>
    </w:p>
    <w:p w:rsidR="00D41C83" w:rsidRPr="00D41C83" w:rsidRDefault="00D41C83" w:rsidP="00D41C83">
      <w:pPr>
        <w:shd w:val="clear" w:color="auto" w:fill="EEEEEE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&lt;–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пустий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рядок –</w:t>
      </w:r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9</w:t>
      </w: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пт</w:t>
      </w:r>
      <w:proofErr w:type="spellEnd"/>
    </w:p>
    <w:p w:rsidR="00D41C83" w:rsidRPr="00D41C83" w:rsidRDefault="00D41C83" w:rsidP="00D41C8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       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Ключові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слова: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декілька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ключових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слів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мовою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статті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(кегль – 10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пт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накреслення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– "курсив",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вирівнювання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– за шириною).</w:t>
      </w:r>
    </w:p>
    <w:p w:rsidR="00D41C83" w:rsidRPr="00D41C83" w:rsidRDefault="00D41C83" w:rsidP="00D41C83">
      <w:pPr>
        <w:shd w:val="clear" w:color="auto" w:fill="EEEEEE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&lt;– 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пустий</w:t>
      </w:r>
      <w:proofErr w:type="spellEnd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рядок –</w:t>
      </w:r>
      <w:r w:rsidRPr="00D41C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12</w:t>
      </w:r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proofErr w:type="spellStart"/>
      <w:r w:rsidRPr="00D41C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пт</w:t>
      </w:r>
      <w:proofErr w:type="spellEnd"/>
    </w:p>
    <w:p w:rsidR="00D41C83" w:rsidRPr="00D41C83" w:rsidRDefault="00D41C83" w:rsidP="00D41C83">
      <w:pPr>
        <w:shd w:val="clear" w:color="auto" w:fill="EEEEEE"/>
        <w:tabs>
          <w:tab w:val="left" w:pos="1578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D41C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5000" w:type="pct"/>
        <w:tblCellSpacing w:w="7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3"/>
        <w:gridCol w:w="4070"/>
      </w:tblGrid>
      <w:tr w:rsidR="00D41C83" w:rsidRPr="00D41C83" w:rsidTr="00D41C83">
        <w:trPr>
          <w:trHeight w:val="15030"/>
          <w:tblCellSpacing w:w="7" w:type="dxa"/>
        </w:trPr>
        <w:tc>
          <w:tcPr>
            <w:tcW w:w="2792" w:type="pct"/>
            <w:shd w:val="clear" w:color="auto" w:fill="EEEEEE"/>
            <w:vAlign w:val="center"/>
            <w:hideMark/>
          </w:tcPr>
          <w:p w:rsidR="00D41C83" w:rsidRPr="00D41C83" w:rsidRDefault="00D41C83" w:rsidP="00D41C83">
            <w:pPr>
              <w:spacing w:after="0" w:line="285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 </w:t>
            </w:r>
          </w:p>
          <w:p w:rsidR="00D41C83" w:rsidRPr="00D41C83" w:rsidRDefault="00D41C83" w:rsidP="00D41C83">
            <w:pPr>
              <w:spacing w:after="0" w:line="285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 </w:t>
            </w:r>
          </w:p>
          <w:p w:rsidR="00D41C83" w:rsidRPr="00D41C83" w:rsidRDefault="00D41C83" w:rsidP="00D41C83">
            <w:pPr>
              <w:spacing w:after="0" w:line="285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Вимоги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до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набору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Формат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аркуша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: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А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(21 × 29,7 см).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Параметри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сторінки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(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відступи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краю):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зліва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 2,25 см; справа – 2,25 см;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зверху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2 см;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знизу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2,5 см.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Шрифт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статті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 –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Times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New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Roman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;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накреслення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пряме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; кегль – 10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пт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іжрядковий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інтервал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множник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 – 1,1.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Текст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статті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розташовується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два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стовпчики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однакової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ширини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8 см,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відстань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між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стовпчиками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0,5 см;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відступ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першого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рядка абзацу – 0,75 см;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вирівнювання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за шириною.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ідзаголовок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(кегль – 12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пт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):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накреслення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напів-жирне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;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відступів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немає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;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вирівнювання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центроване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;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зверху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та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знизу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відокремлюється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6 пунктами.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Не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використовуйте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для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форматування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тексту пропуски,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табуляцію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тощо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. Не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встановлюйте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ручне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перенесення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слі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</w:t>
            </w:r>
            <w:proofErr w:type="spellEnd"/>
            <w:proofErr w:type="gram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, не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використовуйте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колонтитули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.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Між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значенням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величини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та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одиницею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її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вимірювання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ставте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нерозривний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пропуск (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Ctrl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+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Shift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+ пропуск).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 xml:space="preserve">УВАГА!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>Остання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>сторінка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>статті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>заповнюється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 xml:space="preserve"> не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>менш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 xml:space="preserve">,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>ніж</w:t>
            </w:r>
            <w:proofErr w:type="spellEnd"/>
            <w:proofErr w:type="gram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u w:val="single"/>
                <w:lang w:eastAsia="ru-RU"/>
              </w:rPr>
              <w:t xml:space="preserve"> на 3/4.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Набі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</w:t>
            </w:r>
            <w:proofErr w:type="spellEnd"/>
            <w:proofErr w:type="gram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формул: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 редактор формул MS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Equation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 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  <w:lang w:eastAsia="ru-RU"/>
              </w:rPr>
              <w:t>Забороняється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використовувати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для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набору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формул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графічні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об'єкти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кадри й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таблиці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меню "Размер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→ О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пределить" ввести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такі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розміри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Обычный – 10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пт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; Крупный индекс – 8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пт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 xml:space="preserve">Мелкий индекс – 7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пт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; Крупный символ – 14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пт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Мелкий символ - 10 пт.</w:t>
            </w:r>
            <w:proofErr w:type="gramEnd"/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Стиль формул – "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прямий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",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тобто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 меню "Стиль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→ О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пределить" поля "Формат символов" –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пусті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Табличний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заголовок (10 кегль) –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обов'язковий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Рисунки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обов'язково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супроводжуються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центрованими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ідрисунковими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підписами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(кегль – 10) і (приклад на рис. 1).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5"/>
              <w:gridCol w:w="2037"/>
            </w:tblGrid>
            <w:tr w:rsidR="00D41C83" w:rsidRPr="00D41C83" w:rsidTr="00D41C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C83" w:rsidRPr="00D41C83" w:rsidRDefault="00D41C83" w:rsidP="00D41C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lastRenderedPageBreak/>
                    <w:drawing>
                      <wp:anchor distT="47625" distB="47625" distL="47625" distR="47625" simplePos="0" relativeHeight="251658240" behindDoc="0" locked="0" layoutInCell="1" allowOverlap="0" wp14:anchorId="08FAB5FF" wp14:editId="1524BC59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009775" cy="1323975"/>
                        <wp:effectExtent l="0" t="0" r="9525" b="9525"/>
                        <wp:wrapSquare wrapText="bothSides"/>
                        <wp:docPr id="1" name="Рисунок 1" descr="http://www.hups.mil.gov.ua/images/cxem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hups.mil.gov.ua/images/cxem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1323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1C83" w:rsidRPr="00D41C83" w:rsidRDefault="00D41C83" w:rsidP="00D41C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1C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Таблиця</w:t>
                  </w:r>
                  <w:proofErr w:type="spellEnd"/>
                  <w:r w:rsidRPr="00D41C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1</w:t>
                  </w:r>
                </w:p>
                <w:p w:rsidR="00D41C83" w:rsidRPr="00D41C83" w:rsidRDefault="00D41C83" w:rsidP="00D41C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1C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Динамика </w:t>
                  </w:r>
                  <w:proofErr w:type="spellStart"/>
                  <w:r w:rsidRPr="00D41C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змін</w:t>
                  </w:r>
                  <w:proofErr w:type="spellEnd"/>
                </w:p>
                <w:tbl>
                  <w:tblPr>
                    <w:tblW w:w="0" w:type="auto"/>
                    <w:jc w:val="right"/>
                    <w:tblCellSpacing w:w="7" w:type="dxa"/>
                    <w:tblBorders>
                      <w:top w:val="outset" w:sz="6" w:space="0" w:color="808080"/>
                      <w:left w:val="outset" w:sz="6" w:space="0" w:color="808080"/>
                      <w:bottom w:val="outset" w:sz="6" w:space="0" w:color="808080"/>
                      <w:right w:val="outset" w:sz="6" w:space="0" w:color="80808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1"/>
                    <w:gridCol w:w="434"/>
                    <w:gridCol w:w="441"/>
                  </w:tblGrid>
                  <w:tr w:rsidR="00D41C83" w:rsidRPr="00D41C83">
                    <w:trPr>
                      <w:trHeight w:val="600"/>
                      <w:tblCellSpacing w:w="7" w:type="dxa"/>
                      <w:jc w:val="right"/>
                    </w:trPr>
                    <w:tc>
                      <w:tcPr>
                        <w:tcW w:w="750" w:type="dxa"/>
                        <w:tcBorders>
                          <w:top w:val="outset" w:sz="6" w:space="0" w:color="808080"/>
                          <w:left w:val="outset" w:sz="6" w:space="0" w:color="808080"/>
                          <w:bottom w:val="outset" w:sz="6" w:space="0" w:color="808080"/>
                          <w:right w:val="outset" w:sz="6" w:space="0" w:color="808080"/>
                        </w:tcBorders>
                        <w:vAlign w:val="center"/>
                        <w:hideMark/>
                      </w:tcPr>
                      <w:p w:rsidR="00D41C83" w:rsidRPr="00D41C83" w:rsidRDefault="00D41C83" w:rsidP="00D41C8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D41C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Інтервал</w:t>
                        </w:r>
                        <w:proofErr w:type="spellEnd"/>
                      </w:p>
                    </w:tc>
                    <w:tc>
                      <w:tcPr>
                        <w:tcW w:w="450" w:type="dxa"/>
                        <w:tcBorders>
                          <w:top w:val="outset" w:sz="6" w:space="0" w:color="808080"/>
                          <w:left w:val="outset" w:sz="6" w:space="0" w:color="808080"/>
                          <w:bottom w:val="outset" w:sz="6" w:space="0" w:color="808080"/>
                          <w:right w:val="outset" w:sz="6" w:space="0" w:color="808080"/>
                        </w:tcBorders>
                        <w:vAlign w:val="center"/>
                        <w:hideMark/>
                      </w:tcPr>
                      <w:p w:rsidR="00D41C83" w:rsidRPr="00D41C83" w:rsidRDefault="00D41C83" w:rsidP="00D41C8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41C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outset" w:sz="6" w:space="0" w:color="808080"/>
                          <w:left w:val="outset" w:sz="6" w:space="0" w:color="808080"/>
                          <w:bottom w:val="outset" w:sz="6" w:space="0" w:color="808080"/>
                          <w:right w:val="outset" w:sz="6" w:space="0" w:color="808080"/>
                        </w:tcBorders>
                        <w:vAlign w:val="center"/>
                        <w:hideMark/>
                      </w:tcPr>
                      <w:p w:rsidR="00D41C83" w:rsidRPr="00D41C83" w:rsidRDefault="00D41C83" w:rsidP="00D41C8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41C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D41C83" w:rsidRPr="00D41C83">
                    <w:trPr>
                      <w:trHeight w:val="600"/>
                      <w:tblCellSpacing w:w="7" w:type="dxa"/>
                      <w:jc w:val="right"/>
                    </w:trPr>
                    <w:tc>
                      <w:tcPr>
                        <w:tcW w:w="750" w:type="dxa"/>
                        <w:tcBorders>
                          <w:top w:val="outset" w:sz="6" w:space="0" w:color="808080"/>
                          <w:left w:val="outset" w:sz="6" w:space="0" w:color="808080"/>
                          <w:bottom w:val="outset" w:sz="6" w:space="0" w:color="808080"/>
                          <w:right w:val="outset" w:sz="6" w:space="0" w:color="808080"/>
                        </w:tcBorders>
                        <w:vAlign w:val="center"/>
                        <w:hideMark/>
                      </w:tcPr>
                      <w:p w:rsidR="00D41C83" w:rsidRPr="00D41C83" w:rsidRDefault="00D41C83" w:rsidP="00D41C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41C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Параметр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outset" w:sz="6" w:space="0" w:color="808080"/>
                          <w:left w:val="outset" w:sz="6" w:space="0" w:color="808080"/>
                          <w:bottom w:val="outset" w:sz="6" w:space="0" w:color="808080"/>
                          <w:right w:val="outset" w:sz="6" w:space="0" w:color="808080"/>
                        </w:tcBorders>
                        <w:vAlign w:val="center"/>
                        <w:hideMark/>
                      </w:tcPr>
                      <w:p w:rsidR="00D41C83" w:rsidRPr="00D41C83" w:rsidRDefault="00D41C83" w:rsidP="00D41C8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41C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180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outset" w:sz="6" w:space="0" w:color="808080"/>
                          <w:left w:val="outset" w:sz="6" w:space="0" w:color="808080"/>
                          <w:bottom w:val="outset" w:sz="6" w:space="0" w:color="808080"/>
                          <w:right w:val="outset" w:sz="6" w:space="0" w:color="808080"/>
                        </w:tcBorders>
                        <w:vAlign w:val="center"/>
                        <w:hideMark/>
                      </w:tcPr>
                      <w:p w:rsidR="00D41C83" w:rsidRPr="00D41C83" w:rsidRDefault="00D41C83" w:rsidP="00D41C8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41C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168</w:t>
                        </w:r>
                      </w:p>
                    </w:tc>
                  </w:tr>
                </w:tbl>
                <w:p w:rsidR="00D41C83" w:rsidRPr="00D41C83" w:rsidRDefault="00D41C83" w:rsidP="00D41C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D41C83" w:rsidRPr="00D41C83" w:rsidRDefault="00D41C83" w:rsidP="00D41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      </w:t>
            </w: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  <w:lang w:eastAsia="ru-RU"/>
              </w:rPr>
              <w:t xml:space="preserve">Не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  <w:lang w:eastAsia="ru-RU"/>
              </w:rPr>
              <w:t>допускаються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кольорові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та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фонові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рисунки.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Допускається</w:t>
            </w:r>
            <w:proofErr w:type="spellEnd"/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розташування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великих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рисунків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фор-мул та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таблиць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 одну колонку (до 16,5 см).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 xml:space="preserve">Список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літератури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виділяється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ідзаголовком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"Список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літератури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"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 та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оформлюється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(кегль – 9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пт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курсив)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згідно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з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міждержавним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стандартом ДСТУ ГОСТ 7.1:2006.</w:t>
            </w:r>
          </w:p>
        </w:tc>
        <w:tc>
          <w:tcPr>
            <w:tcW w:w="2190" w:type="pct"/>
            <w:shd w:val="clear" w:color="auto" w:fill="EEEEEE"/>
            <w:vAlign w:val="center"/>
            <w:hideMark/>
          </w:tcPr>
          <w:p w:rsidR="00D41C83" w:rsidRPr="00D41C83" w:rsidRDefault="00D41C83" w:rsidP="00D41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 xml:space="preserve">Структура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рукопису</w:t>
            </w:r>
            <w:proofErr w:type="spellEnd"/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 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Відповідно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до постанови ВАК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України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15.01.2003 № 7-05/1 текст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статті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повинен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мати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таку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структуру: </w:t>
            </w:r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постановка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проблеми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 у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загальному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вигляді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та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її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зв'язок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із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важливими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науковими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чи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практичними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завданнями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;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аналіз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останніх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досл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іджень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і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публікацій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, на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які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спирається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автор;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формулювання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мети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статті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 (постановка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завдання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);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виклад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основного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матеріалу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досл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ідження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з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повним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обґрунтуванням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отриманих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наукових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результа-тів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;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висновки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 з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даного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дослідження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і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перспективи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подальших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розвідок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у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даному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напрямку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Текст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статті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розбивається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на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відповідні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розділи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із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ідзаголовками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які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виділені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напівжирним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шрифтом.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На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останньому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аркушу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статті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ісля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списку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літератури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наводяться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відомості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про рецензента,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авторів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та переклад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назви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статі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прізвищ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авторів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анотації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та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ключових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слів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на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українську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російську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та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англійську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мови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крім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основної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мови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статті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) за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зразком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(9 кегль,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міжрядковий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інтервал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1,0).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Рецензент: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 д-р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техн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. наук, проф. М.І. Сидоренко,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Інститут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радіофізики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та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електроніки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НАН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України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Харкі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</w:t>
            </w:r>
            <w:proofErr w:type="spellEnd"/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Автор: </w:t>
            </w:r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КЛІМЕНКО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Іван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Миколайович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Об'єднаний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науково-дослідний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інститут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Збройних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Сил,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Харків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, кандидат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техн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ічних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наук, доцент, начальник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відділу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Роб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т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ел. – 333-33-33, дом. тел. – </w:t>
            </w:r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lastRenderedPageBreak/>
              <w:t>777-77-77, E-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mail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 xml:space="preserve"> – </w:t>
            </w:r>
            <w:hyperlink r:id="rId7" w:history="1">
              <w:r w:rsidRPr="00D41C8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7"/>
                  <w:szCs w:val="27"/>
                  <w:u w:val="single"/>
                  <w:lang w:eastAsia="ru-RU"/>
                </w:rPr>
                <w:t>kim@іс.ua.</w:t>
              </w:r>
            </w:hyperlink>
            <w:hyperlink r:id="rId8" w:history="1">
              <w:r w:rsidRPr="00D41C83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ru-RU"/>
                </w:rPr>
                <w:br/>
              </w:r>
            </w:hyperlink>
          </w:p>
          <w:p w:rsidR="00D41C83" w:rsidRPr="00D41C83" w:rsidRDefault="00D41C83" w:rsidP="00D41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Анализ рисков </w:t>
            </w: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br/>
              <w:t>при обеспечении информационной безопасности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И.Н. Клименко 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Перевод текста аннотации.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Ключевые слова:</w:t>
            </w:r>
            <w:r w:rsidRPr="00D41C83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 перечень ключевых слов.</w:t>
            </w:r>
          </w:p>
          <w:p w:rsidR="00D41C83" w:rsidRPr="00D41C83" w:rsidRDefault="00D41C83" w:rsidP="00D41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Analysis of risks when ensuring information safety</w:t>
            </w:r>
          </w:p>
          <w:p w:rsidR="00D41C83" w:rsidRPr="00D41C83" w:rsidRDefault="00D41C83" w:rsidP="00D41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.N.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Klimenko</w:t>
            </w:r>
            <w:proofErr w:type="spellEnd"/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Text of annotation translation.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Keywords: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 list of keywords.</w:t>
            </w:r>
          </w:p>
          <w:p w:rsidR="00D41C83" w:rsidRPr="00D41C83" w:rsidRDefault="00D41C83" w:rsidP="00D41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Подання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матер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іалів</w:t>
            </w:r>
            <w:proofErr w:type="spellEnd"/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Обсяг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рукопису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–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3 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до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10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аркушів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українською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російською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або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англ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ійською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мовами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(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журналі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"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Системи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озброєння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та</w:t>
            </w: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військова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техніка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" –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тільки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українська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Для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публікації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необхідно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представити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статтю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у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електронній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формі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з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роздрукованим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екземпляром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ідписаним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всіма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авторами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статті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 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Рукопис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супроводжується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експертним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висновком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рецензією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доктора наук (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професора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),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витягом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з протоколу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засідання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кафедри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 xml:space="preserve"> (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відділу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ru-RU"/>
              </w:rPr>
              <w:t>).</w:t>
            </w:r>
          </w:p>
          <w:p w:rsidR="00D41C83" w:rsidRPr="00D41C83" w:rsidRDefault="00D41C83" w:rsidP="00D41C8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Подан</w:t>
            </w:r>
            <w:proofErr w:type="gram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і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матеріали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автору не </w:t>
            </w:r>
            <w:proofErr w:type="spellStart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повертаються</w:t>
            </w:r>
            <w:proofErr w:type="spellEnd"/>
            <w:r w:rsidRPr="00D41C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</w:tbl>
    <w:p w:rsidR="004E0B41" w:rsidRDefault="004E0B41"/>
    <w:sectPr w:rsidR="004E0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6EC6"/>
    <w:multiLevelType w:val="hybridMultilevel"/>
    <w:tmpl w:val="00AE5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72E"/>
    <w:rsid w:val="004C2645"/>
    <w:rsid w:val="004E0B41"/>
    <w:rsid w:val="006A7D4B"/>
    <w:rsid w:val="006B4BF9"/>
    <w:rsid w:val="006C1A08"/>
    <w:rsid w:val="0074072E"/>
    <w:rsid w:val="00BD148D"/>
    <w:rsid w:val="00CF35A5"/>
    <w:rsid w:val="00D41C83"/>
    <w:rsid w:val="00F4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0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7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7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1C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D4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1C83"/>
  </w:style>
  <w:style w:type="character" w:styleId="a5">
    <w:name w:val="Hyperlink"/>
    <w:basedOn w:val="a0"/>
    <w:uiPriority w:val="99"/>
    <w:semiHidden/>
    <w:unhideWhenUsed/>
    <w:rsid w:val="00D41C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0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7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7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1C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D4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1C83"/>
  </w:style>
  <w:style w:type="character" w:styleId="a5">
    <w:name w:val="Hyperlink"/>
    <w:basedOn w:val="a0"/>
    <w:uiPriority w:val="99"/>
    <w:semiHidden/>
    <w:unhideWhenUsed/>
    <w:rsid w:val="00D41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@%D1%96%D1%81.ua.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im@%D1%96%D1%81.ua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2013-02-06T13:36:00Z</dcterms:created>
  <dcterms:modified xsi:type="dcterms:W3CDTF">2013-02-06T13:51:00Z</dcterms:modified>
</cp:coreProperties>
</file>