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Foundry Citadel Platform — README résumé</w:t>
      </w:r>
    </w:p>
    <w:p>
      <w:pPr>
        <w:jc w:val="center"/>
      </w:pPr>
      <w:r>
        <w:rPr>
          <w:i/>
          <w:color w:val="5B6573"/>
          <w:sz w:val="22"/>
        </w:rPr>
        <w:t>Vysvetlenie konceptu tak, aby si vedel pochopiť architektúru a reagovať na otázky</w:t>
      </w:r>
    </w:p>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F4E79"/>
                <w:sz w:val="21"/>
              </w:rPr>
              <w:t>Hlavná pointa</w:t>
              <w:br/>
            </w:r>
            <w:r>
              <w:t>Citadel nie je jeden Azure produkt. Je to referenčná enterprise architektúra pre bezpečné a riadené používanie AI. Rozdeľuje governance do štyroch vrstiev, aby sa dali samostatne rozvíjať runtime pravidlá, observability/compliance, identity agentov a security, ale zároveň spolu tvorili jeden systém.</w:t>
            </w:r>
          </w:p>
        </w:tc>
      </w:tr>
    </w:tbl>
    <w:p>
      <w:pPr>
        <w:spacing w:after="20"/>
      </w:pPr>
    </w:p>
    <w:p>
      <w:pPr>
        <w:pStyle w:val="Heading1"/>
      </w:pPr>
      <w:r>
        <w:t>1. Prečo Citadel vôbec vznikol</w:t>
      </w:r>
    </w:p>
    <w:p>
      <w:r>
        <w:t>Pri malom AI pilote môže aplikácia volať model priamo a tím si sám rieši prístup, limity, logovanie a bezpečnosť. Pri desiatkach tímov a stovkách agentov tento prístup prestáva fungovať: každý používa iné pravidlá, náklady sú ťažko sledovateľné, vznikajú neoverené AI riešenia a je problém dokázať, čo agent robil a k čomu mal prístup.</w:t>
      </w:r>
    </w:p>
    <w:p>
      <w:pPr>
        <w:pStyle w:val="ListBullet"/>
        <w:spacing w:after="40"/>
      </w:pPr>
      <w:r>
        <w:t>Citadel preto centralizuje veci, ktoré majú byť spoločné pre celú organizáciu: governance, identity, observability a security.</w:t>
      </w:r>
    </w:p>
    <w:p>
      <w:pPr>
        <w:pStyle w:val="ListBullet"/>
        <w:spacing w:after="40"/>
      </w:pPr>
      <w:r>
        <w:t>Zároveň necháva jednotlivým tímom vlastné prostredia a slobodu vyvíjať konkrétne AI riešenia.</w:t>
      </w:r>
    </w:p>
    <w:p>
      <w:pPr>
        <w:pStyle w:val="ListBullet"/>
        <w:spacing w:after="40"/>
      </w:pPr>
      <w:r>
        <w:t>Cieľ nie je AI vývoj spomaliť, ale vytvoriť opakovateľné pravidlá, aby sa AI dalo bezpečne škálovať.</w:t>
      </w:r>
    </w:p>
    <w:tbl>
      <w:tblPr>
        <w:tblW w:type="auto" w:w="0"/>
        <w:jc w:val="center"/>
        <w:tblLayout w:type="autofit"/>
        <w:tblLook w:firstColumn="1" w:firstRow="1" w:lastColumn="0" w:lastRow="0" w:noHBand="0" w:noVBand="1" w:val="04A0"/>
      </w:tblPr>
      <w:tblGrid>
        <w:gridCol w:w="10166"/>
      </w:tblGrid>
      <w:tr>
        <w:tc>
          <w:tcPr>
            <w:tcW w:type="dxa" w:w="10166"/>
            <w:shd w:fill="E8F5E9"/>
            <w:tcMar>
              <w:top w:w="120" w:type="dxa"/>
              <w:start w:w="140" w:type="dxa"/>
              <w:bottom w:w="120" w:type="dxa"/>
              <w:end w:w="140" w:type="dxa"/>
            </w:tcMar>
          </w:tcPr>
          <w:p>
            <w:r>
              <w:rPr>
                <w:b/>
                <w:color w:val="1F4E79"/>
                <w:sz w:val="21"/>
              </w:rPr>
              <w:t>Mentálny model</w:t>
              <w:br/>
            </w:r>
            <w:r>
              <w:t>Citadel = „platformové pravidlá a spoločné služby okolo AI“. Samotný agent alebo model je workload; Citadel rieši, ako sa tento workload bezpečne používa, sleduje a spravuje.</w:t>
            </w:r>
          </w:p>
        </w:tc>
      </w:tr>
    </w:tbl>
    <w:p>
      <w:pPr>
        <w:spacing w:after="20"/>
      </w:pPr>
    </w:p>
    <w:p>
      <w:pPr>
        <w:pStyle w:val="Heading1"/>
      </w:pPr>
      <w:r>
        <w:t>2. Základná architektúra: 4 vrstvy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Mar>
              <w:top w:w="90" w:type="dxa"/>
              <w:start w:w="90" w:type="dxa"/>
              <w:bottom w:w="90" w:type="dxa"/>
              <w:end w:w="90" w:type="dxa"/>
            </w:tcMar>
          </w:tcPr>
          <w:p>
            <w:r>
              <w:rPr>
                <w:b/>
                <w:color w:val="FFFFFF"/>
                <w:sz w:val="18"/>
              </w:rPr>
              <w:t>Vrstva</w:t>
            </w:r>
          </w:p>
        </w:tc>
        <w:tc>
          <w:tcPr>
            <w:tcW w:type="dxa" w:w="3389"/>
            <w:shd w:fill="1F4E79"/>
            <w:vAlign w:val="center"/>
            <w:tcMar>
              <w:top w:w="90" w:type="dxa"/>
              <w:start w:w="90" w:type="dxa"/>
              <w:bottom w:w="90" w:type="dxa"/>
              <w:end w:w="90" w:type="dxa"/>
            </w:tcMar>
          </w:tcPr>
          <w:p>
            <w:r>
              <w:rPr>
                <w:b/>
                <w:color w:val="FFFFFF"/>
                <w:sz w:val="18"/>
              </w:rPr>
              <w:t>Jednoducho povedané</w:t>
            </w:r>
          </w:p>
        </w:tc>
        <w:tc>
          <w:tcPr>
            <w:tcW w:type="dxa" w:w="3389"/>
            <w:shd w:fill="1F4E79"/>
            <w:vAlign w:val="center"/>
            <w:tcMar>
              <w:top w:w="90" w:type="dxa"/>
              <w:start w:w="90" w:type="dxa"/>
              <w:bottom w:w="90" w:type="dxa"/>
              <w:end w:w="90" w:type="dxa"/>
            </w:tcMar>
          </w:tcPr>
          <w:p>
            <w:r>
              <w:rPr>
                <w:b/>
                <w:color w:val="FFFFFF"/>
                <w:sz w:val="18"/>
              </w:rPr>
              <w:t>Hlavná otázka</w:t>
            </w:r>
          </w:p>
        </w:tc>
      </w:tr>
      <w:tr>
        <w:trPr>
          <w:cantSplit/>
        </w:trPr>
        <w:tc>
          <w:tcPr>
            <w:tcW w:type="dxa" w:w="3389"/>
            <w:tcMar>
              <w:top w:w="90" w:type="dxa"/>
              <w:start w:w="90" w:type="dxa"/>
              <w:bottom w:w="90" w:type="dxa"/>
              <w:end w:w="90" w:type="dxa"/>
            </w:tcMar>
            <w:vAlign w:val="top"/>
          </w:tcPr>
          <w:p>
            <w:pPr>
              <w:spacing w:after="0"/>
            </w:pPr>
            <w:r>
              <w:t>1. Governance Hub</w:t>
            </w:r>
          </w:p>
        </w:tc>
        <w:tc>
          <w:tcPr>
            <w:tcW w:type="dxa" w:w="3389"/>
            <w:tcMar>
              <w:top w:w="90" w:type="dxa"/>
              <w:start w:w="90" w:type="dxa"/>
              <w:bottom w:w="90" w:type="dxa"/>
              <w:end w:w="90" w:type="dxa"/>
            </w:tcMar>
            <w:vAlign w:val="top"/>
          </w:tcPr>
          <w:p>
            <w:pPr>
              <w:spacing w:after="0"/>
            </w:pPr>
            <w:r>
              <w:t>Brána pred AI službami, ktorá vynucuje pravidlá pri každom requeste.</w:t>
            </w:r>
          </w:p>
        </w:tc>
        <w:tc>
          <w:tcPr>
            <w:tcW w:type="dxa" w:w="3389"/>
            <w:tcMar>
              <w:top w:w="90" w:type="dxa"/>
              <w:start w:w="90" w:type="dxa"/>
              <w:bottom w:w="90" w:type="dxa"/>
              <w:end w:w="90" w:type="dxa"/>
            </w:tcMar>
            <w:vAlign w:val="top"/>
          </w:tcPr>
          <w:p>
            <w:pPr>
              <w:spacing w:after="0"/>
            </w:pPr>
            <w:r>
              <w:t>Kto môže čo volať a za akých podmienok?</w:t>
            </w:r>
          </w:p>
        </w:tc>
      </w:tr>
      <w:tr>
        <w:trPr>
          <w:cantSplit/>
        </w:trPr>
        <w:tc>
          <w:tcPr>
            <w:tcW w:type="dxa" w:w="3389"/>
            <w:tcMar>
              <w:top w:w="90" w:type="dxa"/>
              <w:start w:w="90" w:type="dxa"/>
              <w:bottom w:w="90" w:type="dxa"/>
              <w:end w:w="90" w:type="dxa"/>
            </w:tcMar>
            <w:vAlign w:val="top"/>
          </w:tcPr>
          <w:p>
            <w:pPr>
              <w:spacing w:after="0"/>
            </w:pPr>
            <w:r>
              <w:t>2. AI Control Plane</w:t>
            </w:r>
          </w:p>
        </w:tc>
        <w:tc>
          <w:tcPr>
            <w:tcW w:type="dxa" w:w="3389"/>
            <w:tcMar>
              <w:top w:w="90" w:type="dxa"/>
              <w:start w:w="90" w:type="dxa"/>
              <w:bottom w:w="90" w:type="dxa"/>
              <w:end w:w="90" w:type="dxa"/>
            </w:tcMar>
            <w:vAlign w:val="top"/>
          </w:tcPr>
          <w:p>
            <w:pPr>
              <w:spacing w:after="0"/>
            </w:pPr>
            <w:r>
              <w:t>Centrálne sledovanie, evaluácie a governance nad tým, ako sa AI/agent správa.</w:t>
            </w:r>
          </w:p>
        </w:tc>
        <w:tc>
          <w:tcPr>
            <w:tcW w:type="dxa" w:w="3389"/>
            <w:tcMar>
              <w:top w:w="90" w:type="dxa"/>
              <w:start w:w="90" w:type="dxa"/>
              <w:bottom w:w="90" w:type="dxa"/>
              <w:end w:w="90" w:type="dxa"/>
            </w:tcMar>
            <w:vAlign w:val="top"/>
          </w:tcPr>
          <w:p>
            <w:pPr>
              <w:spacing w:after="0"/>
            </w:pPr>
            <w:r>
              <w:t>Čo sa v AI systéme deje a je to v poriadku?</w:t>
            </w:r>
          </w:p>
        </w:tc>
      </w:tr>
      <w:tr>
        <w:trPr>
          <w:cantSplit/>
        </w:trPr>
        <w:tc>
          <w:tcPr>
            <w:tcW w:type="dxa" w:w="3389"/>
            <w:tcMar>
              <w:top w:w="90" w:type="dxa"/>
              <w:start w:w="90" w:type="dxa"/>
              <w:bottom w:w="90" w:type="dxa"/>
              <w:end w:w="90" w:type="dxa"/>
            </w:tcMar>
            <w:vAlign w:val="top"/>
          </w:tcPr>
          <w:p>
            <w:pPr>
              <w:spacing w:after="0"/>
            </w:pPr>
            <w:r>
              <w:t>3. Agent Identity</w:t>
            </w:r>
          </w:p>
        </w:tc>
        <w:tc>
          <w:tcPr>
            <w:tcW w:type="dxa" w:w="3389"/>
            <w:tcMar>
              <w:top w:w="90" w:type="dxa"/>
              <w:start w:w="90" w:type="dxa"/>
              <w:bottom w:w="90" w:type="dxa"/>
              <w:end w:w="90" w:type="dxa"/>
            </w:tcMar>
            <w:vAlign w:val="top"/>
          </w:tcPr>
          <w:p>
            <w:pPr>
              <w:spacing w:after="0"/>
            </w:pPr>
            <w:r>
              <w:t>Každý agent má spravovateľnú enterprise identitu, vlastníka a oprávnenia.</w:t>
            </w:r>
          </w:p>
        </w:tc>
        <w:tc>
          <w:tcPr>
            <w:tcW w:type="dxa" w:w="3389"/>
            <w:tcMar>
              <w:top w:w="90" w:type="dxa"/>
              <w:start w:w="90" w:type="dxa"/>
              <w:bottom w:w="90" w:type="dxa"/>
              <w:end w:w="90" w:type="dxa"/>
            </w:tcMar>
            <w:vAlign w:val="top"/>
          </w:tcPr>
          <w:p>
            <w:pPr>
              <w:spacing w:after="0"/>
            </w:pPr>
            <w:r>
              <w:t>Kto je tento agent a čo smie robiť?</w:t>
            </w:r>
          </w:p>
        </w:tc>
      </w:tr>
      <w:tr>
        <w:trPr>
          <w:cantSplit/>
        </w:trPr>
        <w:tc>
          <w:tcPr>
            <w:tcW w:type="dxa" w:w="3389"/>
            <w:tcMar>
              <w:top w:w="90" w:type="dxa"/>
              <w:start w:w="90" w:type="dxa"/>
              <w:bottom w:w="90" w:type="dxa"/>
              <w:end w:w="90" w:type="dxa"/>
            </w:tcMar>
            <w:vAlign w:val="top"/>
          </w:tcPr>
          <w:p>
            <w:pPr>
              <w:spacing w:after="0"/>
            </w:pPr>
            <w:r>
              <w:t>4. Security Fabric</w:t>
            </w:r>
          </w:p>
        </w:tc>
        <w:tc>
          <w:tcPr>
            <w:tcW w:type="dxa" w:w="3389"/>
            <w:tcMar>
              <w:top w:w="90" w:type="dxa"/>
              <w:start w:w="90" w:type="dxa"/>
              <w:bottom w:w="90" w:type="dxa"/>
              <w:end w:w="90" w:type="dxa"/>
            </w:tcMar>
            <w:vAlign w:val="top"/>
          </w:tcPr>
          <w:p>
            <w:pPr>
              <w:spacing w:after="0"/>
            </w:pPr>
            <w:r>
              <w:t>Defender, Purview a Entra poskytujú threat, data a identity ochranu naprieč ostatnými vrstvami.</w:t>
            </w:r>
          </w:p>
        </w:tc>
        <w:tc>
          <w:tcPr>
            <w:tcW w:type="dxa" w:w="3389"/>
            <w:tcMar>
              <w:top w:w="90" w:type="dxa"/>
              <w:start w:w="90" w:type="dxa"/>
              <w:bottom w:w="90" w:type="dxa"/>
              <w:end w:w="90" w:type="dxa"/>
            </w:tcMar>
            <w:vAlign w:val="top"/>
          </w:tcPr>
          <w:p>
            <w:pPr>
              <w:spacing w:after="0"/>
            </w:pPr>
            <w:r>
              <w:t>Je systém a jeho práca s dátami bezpečná?</w:t>
            </w:r>
          </w:p>
        </w:tc>
      </w:tr>
    </w:tbl>
    <w:p>
      <w:pPr>
        <w:spacing w:after="40"/>
      </w:pPr>
    </w:p>
    <w:p>
      <w:r>
        <w:t>Dôležité: vrstvy nie sú štyri oddelené aplikácie. Ide o rozdelenie zodpovedností. Request môže prejsť Layer 1, byť identifikovaný cez Layer 3, telemetry sa vyhodnotia v Layer 2 a security signály dodáva Layer 4.</w:t>
      </w:r>
    </w:p>
    <w:p>
      <w:pPr>
        <w:pStyle w:val="Heading1"/>
      </w:pPr>
      <w:r>
        <w:t>3. Layer 1 — Governance Hub</w:t>
      </w:r>
    </w:p>
    <w:p>
      <w:r>
        <w:t>Governance Hub je runtime enforcement vrstva: leží medzi klientom/agentom a AI backendmi. Microsoft v dokumente rozlišuje tri druhy assetov, ktoré treba riadiť: LLM modely, tools/knowledge a ďalších agentov.</w:t>
      </w:r>
    </w:p>
    <w:p>
      <w:pPr>
        <w:pStyle w:val="Heading2"/>
      </w:pPr>
      <w:r>
        <w:t>Čo v tejto vrstve robia hlavné komponenty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Mar>
              <w:top w:w="90" w:type="dxa"/>
              <w:start w:w="90" w:type="dxa"/>
              <w:bottom w:w="90" w:type="dxa"/>
              <w:end w:w="90" w:type="dxa"/>
            </w:tcMar>
          </w:tcPr>
          <w:p>
            <w:r>
              <w:rPr>
                <w:b/>
                <w:color w:val="FFFFFF"/>
                <w:sz w:val="18"/>
              </w:rPr>
              <w:t>Komponent</w:t>
            </w:r>
          </w:p>
        </w:tc>
        <w:tc>
          <w:tcPr>
            <w:tcW w:type="dxa" w:w="3389"/>
            <w:shd w:fill="1F4E79"/>
            <w:vAlign w:val="center"/>
            <w:tcMar>
              <w:top w:w="90" w:type="dxa"/>
              <w:start w:w="90" w:type="dxa"/>
              <w:bottom w:w="90" w:type="dxa"/>
              <w:end w:w="90" w:type="dxa"/>
            </w:tcMar>
          </w:tcPr>
          <w:p>
            <w:r>
              <w:rPr>
                <w:b/>
                <w:color w:val="FFFFFF"/>
                <w:sz w:val="18"/>
              </w:rPr>
              <w:t>Úloha</w:t>
            </w:r>
          </w:p>
        </w:tc>
        <w:tc>
          <w:tcPr>
            <w:tcW w:type="dxa" w:w="3389"/>
            <w:shd w:fill="1F4E79"/>
            <w:vAlign w:val="center"/>
            <w:tcMar>
              <w:top w:w="90" w:type="dxa"/>
              <w:start w:w="90" w:type="dxa"/>
              <w:bottom w:w="90" w:type="dxa"/>
              <w:end w:w="90" w:type="dxa"/>
            </w:tcMar>
          </w:tcPr>
          <w:p>
            <w:r>
              <w:rPr>
                <w:b/>
                <w:color w:val="FFFFFF"/>
                <w:sz w:val="18"/>
              </w:rPr>
              <w:t>Príklad</w:t>
            </w:r>
          </w:p>
        </w:tc>
      </w:tr>
      <w:tr>
        <w:trPr>
          <w:cantSplit/>
        </w:trPr>
        <w:tc>
          <w:tcPr>
            <w:tcW w:type="dxa" w:w="3389"/>
            <w:tcMar>
              <w:top w:w="90" w:type="dxa"/>
              <w:start w:w="90" w:type="dxa"/>
              <w:bottom w:w="90" w:type="dxa"/>
              <w:end w:w="90" w:type="dxa"/>
            </w:tcMar>
            <w:vAlign w:val="top"/>
          </w:tcPr>
          <w:p>
            <w:pPr>
              <w:spacing w:after="0"/>
            </w:pPr>
            <w:r>
              <w:t>Azure API Management (APIM)</w:t>
            </w:r>
          </w:p>
        </w:tc>
        <w:tc>
          <w:tcPr>
            <w:tcW w:type="dxa" w:w="3389"/>
            <w:tcMar>
              <w:top w:w="90" w:type="dxa"/>
              <w:start w:w="90" w:type="dxa"/>
              <w:bottom w:w="90" w:type="dxa"/>
              <w:end w:w="90" w:type="dxa"/>
            </w:tcMar>
            <w:vAlign w:val="top"/>
          </w:tcPr>
          <w:p>
            <w:pPr>
              <w:spacing w:after="0"/>
            </w:pPr>
            <w:r>
              <w:t>Jednotný gateway endpoint. Aplikuje auth, limity, routing, safety a ďalšie policies.</w:t>
            </w:r>
          </w:p>
        </w:tc>
        <w:tc>
          <w:tcPr>
            <w:tcW w:type="dxa" w:w="3389"/>
            <w:tcMar>
              <w:top w:w="90" w:type="dxa"/>
              <w:start w:w="90" w:type="dxa"/>
              <w:bottom w:w="90" w:type="dxa"/>
              <w:end w:w="90" w:type="dxa"/>
            </w:tcMar>
            <w:vAlign w:val="top"/>
          </w:tcPr>
          <w:p>
            <w:pPr>
              <w:spacing w:after="0"/>
            </w:pPr>
            <w:r>
              <w:t>Aplikácia nevolá GPT endpoint priamo; volá APIM.</w:t>
            </w:r>
          </w:p>
        </w:tc>
      </w:tr>
      <w:tr>
        <w:trPr>
          <w:cantSplit/>
        </w:trPr>
        <w:tc>
          <w:tcPr>
            <w:tcW w:type="dxa" w:w="3389"/>
            <w:tcMar>
              <w:top w:w="90" w:type="dxa"/>
              <w:start w:w="90" w:type="dxa"/>
              <w:bottom w:w="90" w:type="dxa"/>
              <w:end w:w="90" w:type="dxa"/>
            </w:tcMar>
            <w:vAlign w:val="top"/>
          </w:tcPr>
          <w:p>
            <w:pPr>
              <w:spacing w:after="0"/>
            </w:pPr>
            <w:r>
              <w:t>Azure API Center / Registry</w:t>
            </w:r>
          </w:p>
        </w:tc>
        <w:tc>
          <w:tcPr>
            <w:tcW w:type="dxa" w:w="3389"/>
            <w:tcMar>
              <w:top w:w="90" w:type="dxa"/>
              <w:start w:w="90" w:type="dxa"/>
              <w:bottom w:w="90" w:type="dxa"/>
              <w:end w:w="90" w:type="dxa"/>
            </w:tcMar>
            <w:vAlign w:val="top"/>
          </w:tcPr>
          <w:p>
            <w:pPr>
              <w:spacing w:after="0"/>
            </w:pPr>
            <w:r>
              <w:t>Katalóg schválených AI endpointov, tools/MCP a ďalších assetov.</w:t>
            </w:r>
          </w:p>
        </w:tc>
        <w:tc>
          <w:tcPr>
            <w:tcW w:type="dxa" w:w="3389"/>
            <w:tcMar>
              <w:top w:w="90" w:type="dxa"/>
              <w:start w:w="90" w:type="dxa"/>
              <w:bottom w:w="90" w:type="dxa"/>
              <w:end w:w="90" w:type="dxa"/>
            </w:tcMar>
            <w:vAlign w:val="top"/>
          </w:tcPr>
          <w:p>
            <w:pPr>
              <w:spacing w:after="0"/>
            </w:pPr>
            <w:r>
              <w:t>Tím vie zistiť, ktoré modely alebo nástroje môže používať.</w:t>
            </w:r>
          </w:p>
        </w:tc>
      </w:tr>
      <w:tr>
        <w:trPr>
          <w:cantSplit/>
        </w:trPr>
        <w:tc>
          <w:tcPr>
            <w:tcW w:type="dxa" w:w="3389"/>
            <w:tcMar>
              <w:top w:w="90" w:type="dxa"/>
              <w:start w:w="90" w:type="dxa"/>
              <w:bottom w:w="90" w:type="dxa"/>
              <w:end w:w="90" w:type="dxa"/>
            </w:tcMar>
            <w:vAlign w:val="top"/>
          </w:tcPr>
          <w:p>
            <w:pPr>
              <w:spacing w:after="0"/>
            </w:pPr>
            <w:r>
              <w:t>Policies / guardrails</w:t>
            </w:r>
          </w:p>
        </w:tc>
        <w:tc>
          <w:tcPr>
            <w:tcW w:type="dxa" w:w="3389"/>
            <w:tcMar>
              <w:top w:w="90" w:type="dxa"/>
              <w:start w:w="90" w:type="dxa"/>
              <w:bottom w:w="90" w:type="dxa"/>
              <w:end w:w="90" w:type="dxa"/>
            </w:tcMar>
            <w:vAlign w:val="top"/>
          </w:tcPr>
          <w:p>
            <w:pPr>
              <w:spacing w:after="0"/>
            </w:pPr>
            <w:r>
              <w:t>Pravidlá, ktoré sa technicky vynútia pri requeste.</w:t>
            </w:r>
          </w:p>
        </w:tc>
        <w:tc>
          <w:tcPr>
            <w:tcW w:type="dxa" w:w="3389"/>
            <w:tcMar>
              <w:top w:w="90" w:type="dxa"/>
              <w:start w:w="90" w:type="dxa"/>
              <w:bottom w:w="90" w:type="dxa"/>
              <w:end w:w="90" w:type="dxa"/>
            </w:tcMar>
            <w:vAlign w:val="top"/>
          </w:tcPr>
          <w:p>
            <w:pPr>
              <w:spacing w:after="0"/>
            </w:pPr>
            <w:r>
              <w:t>Token quota, rate limit, content filter, PII kontrola, routing.</w:t>
            </w:r>
          </w:p>
        </w:tc>
      </w:tr>
      <w:tr>
        <w:trPr>
          <w:cantSplit/>
        </w:trPr>
        <w:tc>
          <w:tcPr>
            <w:tcW w:type="dxa" w:w="3389"/>
            <w:tcMar>
              <w:top w:w="90" w:type="dxa"/>
              <w:start w:w="90" w:type="dxa"/>
              <w:bottom w:w="90" w:type="dxa"/>
              <w:end w:w="90" w:type="dxa"/>
            </w:tcMar>
            <w:vAlign w:val="top"/>
          </w:tcPr>
          <w:p>
            <w:pPr>
              <w:spacing w:after="0"/>
            </w:pPr>
            <w:r>
              <w:t>Cost / usage governance</w:t>
            </w:r>
          </w:p>
        </w:tc>
        <w:tc>
          <w:tcPr>
            <w:tcW w:type="dxa" w:w="3389"/>
            <w:tcMar>
              <w:top w:w="90" w:type="dxa"/>
              <w:start w:w="90" w:type="dxa"/>
              <w:bottom w:w="90" w:type="dxa"/>
              <w:end w:w="90" w:type="dxa"/>
            </w:tcMar>
            <w:vAlign w:val="top"/>
          </w:tcPr>
          <w:p>
            <w:pPr>
              <w:spacing w:after="0"/>
            </w:pPr>
            <w:r>
              <w:t>Meranie spotreby a priradenie nákladov.</w:t>
            </w:r>
          </w:p>
        </w:tc>
        <w:tc>
          <w:tcPr>
            <w:tcW w:type="dxa" w:w="3389"/>
            <w:tcMar>
              <w:top w:w="90" w:type="dxa"/>
              <w:start w:w="90" w:type="dxa"/>
              <w:bottom w:w="90" w:type="dxa"/>
              <w:end w:w="90" w:type="dxa"/>
            </w:tcMar>
            <w:vAlign w:val="top"/>
          </w:tcPr>
          <w:p>
            <w:pPr>
              <w:spacing w:after="0"/>
            </w:pPr>
            <w:r>
              <w:t>Koľko tokenov spotreboval konkrétny tím alebo use case.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4E5"/>
            <w:tcMar>
              <w:top w:w="120" w:type="dxa"/>
              <w:start w:w="140" w:type="dxa"/>
              <w:bottom w:w="120" w:type="dxa"/>
              <w:end w:w="140" w:type="dxa"/>
            </w:tcMar>
          </w:tcPr>
          <w:p>
            <w:r>
              <w:rPr>
                <w:b/>
                <w:color w:val="1F4E79"/>
                <w:sz w:val="21"/>
              </w:rPr>
              <w:t>Pre tvoju úlohu</w:t>
              <w:br/>
            </w:r>
            <w:r>
              <w:t>AI Hub Gateway Solution Accelerator je praktická referenčná implementácia tejto vrstvy. Preto pri Bicep/Citadel tikete analyzuješ hlavne tento repo, nie iba architektonický README.</w:t>
            </w:r>
          </w:p>
        </w:tc>
      </w:tr>
    </w:tbl>
    <w:p>
      <w:pPr>
        <w:spacing w:after="20"/>
      </w:pPr>
    </w:p>
    <w:p>
      <w:pPr>
        <w:pStyle w:val="Heading1"/>
      </w:pPr>
      <w:r>
        <w:t>4. Hub-and-spoke — prečo je to dôležité</w:t>
      </w:r>
    </w:p>
    <w:p>
      <w:r>
        <w:t>Citadel používa princíp centrálneho hubu a viacerých spoke prostredí. Hub obsahuje spoločnú governance vrstvu; spoke je prostredie konkrétneho tímu alebo use case.</w:t>
      </w:r>
    </w:p>
    <w:p>
      <w:pPr>
        <w:spacing w:after="40"/>
        <w:ind w:left="317" w:hanging="259"/>
      </w:pPr>
      <w:r>
        <w:rPr>
          <w:b/>
        </w:rPr>
        <w:t xml:space="preserve">1.  </w:t>
      </w:r>
      <w:r>
        <w:t>Tím vytvorí vlastnú AI aplikáciu alebo agenta vo svojom spoke prostredí.</w:t>
      </w:r>
    </w:p>
    <w:p>
      <w:pPr>
        <w:spacing w:after="40"/>
        <w:ind w:left="317" w:hanging="259"/>
      </w:pPr>
      <w:r>
        <w:rPr>
          <w:b/>
        </w:rPr>
        <w:t xml:space="preserve">2.  </w:t>
      </w:r>
      <w:r>
        <w:t>Keď potrebuje model/tool/iného agenta, request smeruje cez spoločný Governance Hub.</w:t>
      </w:r>
    </w:p>
    <w:p>
      <w:pPr>
        <w:spacing w:after="40"/>
        <w:ind w:left="317" w:hanging="259"/>
      </w:pPr>
      <w:r>
        <w:rPr>
          <w:b/>
        </w:rPr>
        <w:t xml:space="preserve">3.  </w:t>
      </w:r>
      <w:r>
        <w:t>Hub aplikuje spoločné identity, security, quota a monitoring pravidlá.</w:t>
      </w:r>
    </w:p>
    <w:p>
      <w:pPr>
        <w:spacing w:after="40"/>
        <w:ind w:left="317" w:hanging="259"/>
      </w:pPr>
      <w:r>
        <w:rPr>
          <w:b/>
        </w:rPr>
        <w:t xml:space="preserve">4.  </w:t>
      </w:r>
      <w:r>
        <w:t>Tím má lokálnu autonómiu, ale neobchádza enterprise guardrails.</w:t>
      </w:r>
    </w:p>
    <w:p>
      <w:r>
        <w:t>Výsledok: centrálne sa spravujú veci, ktoré majú byť jednotné, a workloady sa nemusia navzájom miešať.</w:t>
      </w:r>
    </w:p>
    <w:p>
      <w:pPr>
        <w:pStyle w:val="Heading1"/>
      </w:pPr>
      <w:r>
        <w:t>5. Layer 2 — AI Control Plane</w:t>
      </w:r>
    </w:p>
    <w:p>
      <w:r>
        <w:t>Governance Hub rieši jednotlivý request v runtime. AI Control Plane sa pozerá na celý ekosystém zhora: zbiera telemetry, sleduje agentov, spúšťa evaluácie, upozorňuje na anomálie a pomáha dokazovať compliance.</w:t>
      </w:r>
    </w:p>
    <w:p>
      <w:pPr>
        <w:pStyle w:val="ListBullet"/>
        <w:spacing w:after="40"/>
      </w:pPr>
      <w:r>
        <w:t>Observability: execution traces, latencia, chyby, výkon a správanie agentov.</w:t>
      </w:r>
    </w:p>
    <w:p>
      <w:pPr>
        <w:pStyle w:val="ListBullet"/>
        <w:spacing w:after="40"/>
      </w:pPr>
      <w:r>
        <w:t>Evaluations: kvalita, safety a ďalšie metriky počas vývoja aj v produkcii.</w:t>
      </w:r>
    </w:p>
    <w:p>
      <w:pPr>
        <w:pStyle w:val="ListBullet"/>
        <w:spacing w:after="40"/>
      </w:pPr>
      <w:r>
        <w:t>Fleet operations: prehľad nad registrovanými agentmi, ich stavom a lifecycle.</w:t>
      </w:r>
    </w:p>
    <w:p>
      <w:pPr>
        <w:pStyle w:val="ListBullet"/>
        <w:spacing w:after="40"/>
      </w:pPr>
      <w:r>
        <w:t>Red teaming a drift monitoring: kontrola nových rizík a zmien správania.</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F4E79"/>
                <w:sz w:val="21"/>
              </w:rPr>
              <w:t>Rozdiel Layer 1 vs. Layer 2</w:t>
              <w:br/>
            </w:r>
            <w:r>
              <w:t>Layer 1 = „zastav alebo povoľ tento request podľa pravidiel“. Layer 2 = „sleduj dlhodobo, ako sa celé AI prostredie správa, vyhodnocuj ho a hľadaj problémy“.</w:t>
            </w:r>
          </w:p>
        </w:tc>
      </w:tr>
    </w:tbl>
    <w:p>
      <w:pPr>
        <w:spacing w:after="20"/>
      </w:pPr>
    </w:p>
    <w:p>
      <w:pPr>
        <w:pStyle w:val="Heading1"/>
      </w:pPr>
      <w:r>
        <w:t>6. Layer 3 — Agent Identity</w:t>
      </w:r>
    </w:p>
    <w:p>
      <w:r>
        <w:t>Citadel počíta s tým, že agent je enterprise aktér podobne ako aplikácia alebo service principal. Nemá byť anonymný proces s náhodným API key.</w:t>
      </w:r>
    </w:p>
    <w:p>
      <w:pPr>
        <w:pStyle w:val="ListBullet"/>
        <w:spacing w:after="40"/>
      </w:pPr>
      <w:r>
        <w:t>Agent dostane vlastnú identitu cez Microsoft Entra/Agent 365.</w:t>
      </w:r>
    </w:p>
    <w:p>
      <w:pPr>
        <w:pStyle w:val="ListBullet"/>
        <w:spacing w:after="40"/>
      </w:pPr>
      <w:r>
        <w:t>Má definovaného vlastníka alebo sponzora, takže existuje ľudská zodpovednosť.</w:t>
      </w:r>
    </w:p>
    <w:p>
      <w:pPr>
        <w:pStyle w:val="ListBullet"/>
        <w:spacing w:after="40"/>
      </w:pPr>
      <w:r>
        <w:t>Oprávnenia sa dajú priraďovať a odoberať cez štandardné identity/access mechanizmy.</w:t>
      </w:r>
    </w:p>
    <w:p>
      <w:pPr>
        <w:pStyle w:val="ListBullet"/>
        <w:spacing w:after="40"/>
      </w:pPr>
      <w:r>
        <w:t>Gateway môže rozhodovať podľa identity agenta a jeho rolí, nie iba podľa spoločného kľúča.</w:t>
      </w:r>
    </w:p>
    <w:p>
      <w:pPr>
        <w:pStyle w:val="Heading1"/>
      </w:pPr>
      <w:r>
        <w:t>7. Layer 4 — Security Fabric</w:t>
      </w:r>
    </w:p>
    <w:p>
      <w:r>
        <w:t>Security Fabric nie je ďalší samostatný gateway. Ide o spoločnú bezpečnostnú vrstvu zloženú najmä z Microsoft Defender, Purview a Entra, ktorá dodáva ochranu ostatným vrstvám.</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Mar>
              <w:top w:w="90" w:type="dxa"/>
              <w:start w:w="90" w:type="dxa"/>
              <w:bottom w:w="90" w:type="dxa"/>
              <w:end w:w="90" w:type="dxa"/>
            </w:tcMar>
          </w:tcPr>
          <w:p>
            <w:r>
              <w:rPr>
                <w:b/>
                <w:color w:val="FFFFFF"/>
                <w:sz w:val="18"/>
              </w:rPr>
              <w:t>Služba</w:t>
            </w:r>
          </w:p>
        </w:tc>
        <w:tc>
          <w:tcPr>
            <w:tcW w:type="dxa" w:w="5083"/>
            <w:shd w:fill="1F4E79"/>
            <w:vAlign w:val="center"/>
            <w:tcMar>
              <w:top w:w="90" w:type="dxa"/>
              <w:start w:w="90" w:type="dxa"/>
              <w:bottom w:w="90" w:type="dxa"/>
              <w:end w:w="90" w:type="dxa"/>
            </w:tcMar>
          </w:tcPr>
          <w:p>
            <w:r>
              <w:rPr>
                <w:b/>
                <w:color w:val="FFFFFF"/>
                <w:sz w:val="18"/>
              </w:rPr>
              <w:t>Čo prináša</w:t>
            </w:r>
          </w:p>
        </w:tc>
      </w:tr>
      <w:tr>
        <w:trPr>
          <w:cantSplit/>
        </w:trPr>
        <w:tc>
          <w:tcPr>
            <w:tcW w:type="dxa" w:w="5083"/>
            <w:tcMar>
              <w:top w:w="90" w:type="dxa"/>
              <w:start w:w="90" w:type="dxa"/>
              <w:bottom w:w="90" w:type="dxa"/>
              <w:end w:w="90" w:type="dxa"/>
            </w:tcMar>
            <w:vAlign w:val="top"/>
          </w:tcPr>
          <w:p>
            <w:pPr>
              <w:spacing w:after="0"/>
            </w:pPr>
            <w:r>
              <w:t>Microsoft Defender</w:t>
            </w:r>
          </w:p>
        </w:tc>
        <w:tc>
          <w:tcPr>
            <w:tcW w:type="dxa" w:w="5083"/>
            <w:tcMar>
              <w:top w:w="90" w:type="dxa"/>
              <w:start w:w="90" w:type="dxa"/>
              <w:bottom w:w="90" w:type="dxa"/>
              <w:end w:w="90" w:type="dxa"/>
            </w:tcMar>
            <w:vAlign w:val="top"/>
          </w:tcPr>
          <w:p>
            <w:pPr>
              <w:spacing w:after="0"/>
            </w:pPr>
            <w:r>
              <w:t>Threat intelligence, ochrana API/AI workloadov, detekcia jailbreak/prompt-injection a ďalších útokov.</w:t>
            </w:r>
          </w:p>
        </w:tc>
      </w:tr>
      <w:tr>
        <w:trPr>
          <w:cantSplit/>
        </w:trPr>
        <w:tc>
          <w:tcPr>
            <w:tcW w:type="dxa" w:w="5083"/>
            <w:tcMar>
              <w:top w:w="90" w:type="dxa"/>
              <w:start w:w="90" w:type="dxa"/>
              <w:bottom w:w="90" w:type="dxa"/>
              <w:end w:w="90" w:type="dxa"/>
            </w:tcMar>
            <w:vAlign w:val="top"/>
          </w:tcPr>
          <w:p>
            <w:pPr>
              <w:spacing w:after="0"/>
            </w:pPr>
            <w:r>
              <w:t>Microsoft Purview</w:t>
            </w:r>
          </w:p>
        </w:tc>
        <w:tc>
          <w:tcPr>
            <w:tcW w:type="dxa" w:w="5083"/>
            <w:tcMar>
              <w:top w:w="90" w:type="dxa"/>
              <w:start w:w="90" w:type="dxa"/>
              <w:bottom w:w="90" w:type="dxa"/>
              <w:end w:w="90" w:type="dxa"/>
            </w:tcMar>
            <w:vAlign w:val="top"/>
          </w:tcPr>
          <w:p>
            <w:pPr>
              <w:spacing w:after="0"/>
            </w:pPr>
            <w:r>
              <w:t>Data governance, sensitivity/PII, pravidlá práce s citlivými dátami a compliance.</w:t>
            </w:r>
          </w:p>
        </w:tc>
      </w:tr>
      <w:tr>
        <w:trPr>
          <w:cantSplit/>
        </w:trPr>
        <w:tc>
          <w:tcPr>
            <w:tcW w:type="dxa" w:w="5083"/>
            <w:tcMar>
              <w:top w:w="90" w:type="dxa"/>
              <w:start w:w="90" w:type="dxa"/>
              <w:bottom w:w="90" w:type="dxa"/>
              <w:end w:w="90" w:type="dxa"/>
            </w:tcMar>
            <w:vAlign w:val="top"/>
          </w:tcPr>
          <w:p>
            <w:pPr>
              <w:spacing w:after="0"/>
            </w:pPr>
            <w:r>
              <w:t>Microsoft Entra</w:t>
            </w:r>
          </w:p>
        </w:tc>
        <w:tc>
          <w:tcPr>
            <w:tcW w:type="dxa" w:w="5083"/>
            <w:tcMar>
              <w:top w:w="90" w:type="dxa"/>
              <w:start w:w="90" w:type="dxa"/>
              <w:bottom w:w="90" w:type="dxa"/>
              <w:end w:w="90" w:type="dxa"/>
            </w:tcMar>
            <w:vAlign w:val="top"/>
          </w:tcPr>
          <w:p>
            <w:pPr>
              <w:spacing w:after="0"/>
            </w:pPr>
            <w:r>
              <w:t>Identity, autentifikácia, autorizácia a lifecycle používateľov/aplikácií/agentov.</w:t>
            </w:r>
          </w:p>
        </w:tc>
      </w:tr>
    </w:tbl>
    <w:p>
      <w:pPr>
        <w:spacing w:after="40"/>
      </w:pPr>
    </w:p>
    <w:p>
      <w:pPr>
        <w:pStyle w:val="Heading1"/>
      </w:pPr>
      <w:r>
        <w:t>8. Ako všetko spolupracuje — jeden request</w:t>
      </w:r>
    </w:p>
    <w:p>
      <w:pPr>
        <w:spacing w:after="40"/>
        <w:ind w:left="317" w:hanging="259"/>
      </w:pPr>
      <w:r>
        <w:rPr>
          <w:b/>
        </w:rPr>
        <w:t xml:space="preserve">1.  </w:t>
      </w:r>
      <w:r>
        <w:t>Agent alebo aplikácia má identitu a chce použiť AI asset.</w:t>
      </w:r>
    </w:p>
    <w:p>
      <w:pPr>
        <w:spacing w:after="40"/>
        <w:ind w:left="317" w:hanging="259"/>
      </w:pPr>
      <w:r>
        <w:rPr>
          <w:b/>
        </w:rPr>
        <w:t xml:space="preserve">2.  </w:t>
      </w:r>
      <w:r>
        <w:t>Request ide cez Governance Hub/APIM namiesto priameho volania backendu.</w:t>
      </w:r>
    </w:p>
    <w:p>
      <w:pPr>
        <w:spacing w:after="40"/>
        <w:ind w:left="317" w:hanging="259"/>
      </w:pPr>
      <w:r>
        <w:rPr>
          <w:b/>
        </w:rPr>
        <w:t xml:space="preserve">3.  </w:t>
      </w:r>
      <w:r>
        <w:t>APIM overí prístup a aplikuje policies: limity, routing, safety, cost/usage pravidlá.</w:t>
      </w:r>
    </w:p>
    <w:p>
      <w:pPr>
        <w:spacing w:after="40"/>
        <w:ind w:left="317" w:hanging="259"/>
      </w:pPr>
      <w:r>
        <w:rPr>
          <w:b/>
        </w:rPr>
        <w:t xml:space="preserve">4.  </w:t>
      </w:r>
      <w:r>
        <w:t>Request sa pošle na schválený model, tool alebo iného agenta.</w:t>
      </w:r>
    </w:p>
    <w:p>
      <w:pPr>
        <w:spacing w:after="40"/>
        <w:ind w:left="317" w:hanging="259"/>
      </w:pPr>
      <w:r>
        <w:rPr>
          <w:b/>
        </w:rPr>
        <w:t xml:space="preserve">5.  </w:t>
      </w:r>
      <w:r>
        <w:t>Telemetry z requestu a workloadu sa zbiera pre observability a evaluácie.</w:t>
      </w:r>
    </w:p>
    <w:p>
      <w:pPr>
        <w:spacing w:after="40"/>
        <w:ind w:left="317" w:hanging="259"/>
      </w:pPr>
      <w:r>
        <w:rPr>
          <w:b/>
        </w:rPr>
        <w:t xml:space="preserve">6.  </w:t>
      </w:r>
      <w:r>
        <w:t>AI Control Plane z telemetry vytvára fleet/compliance pohľad.</w:t>
      </w:r>
    </w:p>
    <w:p>
      <w:pPr>
        <w:spacing w:after="40"/>
        <w:ind w:left="317" w:hanging="259"/>
      </w:pPr>
      <w:r>
        <w:rPr>
          <w:b/>
        </w:rPr>
        <w:t xml:space="preserve">7.  </w:t>
      </w:r>
      <w:r>
        <w:t>Defender, Purview a Entra poskytujú security, data a identity signály naprieč celým flow.</w:t>
      </w:r>
    </w:p>
    <w:p>
      <w:pPr>
        <w:pStyle w:val="Heading1"/>
      </w:pPr>
      <w:r>
        <w:t>9. Extensibility — Citadel nie je uzavretý produkt</w:t>
      </w:r>
    </w:p>
    <w:p>
      <w:r>
        <w:t>README zdôrazňuje, že architektúra sa má rozširovať. Jednotlivé vrstvy majú jasné hranice, takže môžeš meniť alebo dopĺňať konkrétnu capability bez potreby prerobiť celý systém. Ako príklad dokument uvádza Agent Governance Toolkit ako rozšírenie Layer 2, ktoré vie robiť jemnejšie policy rozhodnutia priamo v agent runtime.</w:t>
      </w:r>
    </w:p>
    <w:tbl>
      <w:tblPr>
        <w:tblW w:type="auto" w:w="0"/>
        <w:jc w:val="center"/>
        <w:tblLayout w:type="autofit"/>
        <w:tblLook w:firstColumn="1" w:firstRow="1" w:lastColumn="0" w:lastRow="0" w:noHBand="0" w:noVBand="1" w:val="04A0"/>
      </w:tblPr>
      <w:tblGrid>
        <w:gridCol w:w="10166"/>
      </w:tblGrid>
      <w:tr>
        <w:tc>
          <w:tcPr>
            <w:tcW w:type="dxa" w:w="10166"/>
            <w:shd w:fill="E8F5E9"/>
            <w:tcMar>
              <w:top w:w="120" w:type="dxa"/>
              <w:start w:w="140" w:type="dxa"/>
              <w:bottom w:w="120" w:type="dxa"/>
              <w:end w:w="140" w:type="dxa"/>
            </w:tcMar>
          </w:tcPr>
          <w:p>
            <w:r>
              <w:rPr>
                <w:b/>
                <w:color w:val="1F4E79"/>
                <w:sz w:val="21"/>
              </w:rPr>
              <w:t>Čo si z toho odniesť</w:t>
              <w:br/>
            </w:r>
            <w:r>
              <w:t>Citadel je skôr stavebný plán než produkt. Microsoft dáva odporúčanú skladbu a integračné body; organizácia si ju prispôsobí vlastnému Azure, security a governance prostrediu.</w:t>
            </w:r>
          </w:p>
        </w:tc>
      </w:tr>
    </w:tbl>
    <w:p>
      <w:pPr>
        <w:spacing w:after="20"/>
      </w:pPr>
    </w:p>
    <w:p>
      <w:pPr>
        <w:pStyle w:val="Heading1"/>
      </w:pPr>
      <w:r>
        <w:t>10. Čo README naozaj chce povedať</w:t>
      </w:r>
    </w:p>
    <w:p>
      <w:pPr>
        <w:pStyle w:val="ListBullet"/>
        <w:spacing w:after="40"/>
      </w:pPr>
      <w:r>
        <w:t>AI governance sa nemá riešiť jedným nástrojom, ale vrstvami s jasnými zodpovednosťami.</w:t>
      </w:r>
    </w:p>
    <w:p>
      <w:pPr>
        <w:pStyle w:val="ListBullet"/>
        <w:spacing w:after="40"/>
      </w:pPr>
      <w:r>
        <w:t>Najdôležitejší runtime bod je Governance Hub, pretože cez neho prechádza používanie AI assetov.</w:t>
      </w:r>
    </w:p>
    <w:p>
      <w:pPr>
        <w:pStyle w:val="ListBullet"/>
        <w:spacing w:after="40"/>
      </w:pPr>
      <w:r>
        <w:t>Observability/compliance musí byť centrálne, inak organizácia nevie AI systém auditovať ani zlepšovať.</w:t>
      </w:r>
    </w:p>
    <w:p>
      <w:pPr>
        <w:pStyle w:val="ListBullet"/>
        <w:spacing w:after="40"/>
      </w:pPr>
      <w:r>
        <w:t>Agenti potrebujú identity a lifecycle podobne ako ostatné enterprise aplikácie.</w:t>
      </w:r>
    </w:p>
    <w:p>
      <w:pPr>
        <w:pStyle w:val="ListBullet"/>
        <w:spacing w:after="40"/>
      </w:pPr>
      <w:r>
        <w:t>Security a data governance majú pôsobiť naprieč celým riešením, nie až dodatočne.</w:t>
      </w:r>
    </w:p>
    <w:p>
      <w:pPr>
        <w:pStyle w:val="ListBullet"/>
        <w:spacing w:after="40"/>
      </w:pPr>
      <w:r>
        <w:t>Hub-and-spoke umožňuje centralizovať pravidlá a pritom nechať tímom samostatné workload prostredia.</w:t>
      </w:r>
    </w:p>
    <w:p>
      <w:pPr>
        <w:pStyle w:val="ListBullet"/>
        <w:spacing w:after="40"/>
      </w:pPr>
      <w:r>
        <w:t>Architektúra má byť modularizovaná a rozšíriteľná.</w:t>
      </w:r>
    </w:p>
    <w:p>
      <w:pPr>
        <w:pStyle w:val="Heading1"/>
      </w:pPr>
      <w:r>
        <w:t>11. Minimum na meeting</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Mar>
              <w:top w:w="90" w:type="dxa"/>
              <w:start w:w="90" w:type="dxa"/>
              <w:bottom w:w="90" w:type="dxa"/>
              <w:end w:w="90" w:type="dxa"/>
            </w:tcMar>
          </w:tcPr>
          <w:p>
            <w:r>
              <w:rPr>
                <w:b/>
                <w:color w:val="FFFFFF"/>
                <w:sz w:val="18"/>
              </w:rPr>
              <w:t>Otázka</w:t>
            </w:r>
          </w:p>
        </w:tc>
        <w:tc>
          <w:tcPr>
            <w:tcW w:type="dxa" w:w="5083"/>
            <w:shd w:fill="1F4E79"/>
            <w:vAlign w:val="center"/>
            <w:tcMar>
              <w:top w:w="90" w:type="dxa"/>
              <w:start w:w="90" w:type="dxa"/>
              <w:bottom w:w="90" w:type="dxa"/>
              <w:end w:w="90" w:type="dxa"/>
            </w:tcMar>
          </w:tcPr>
          <w:p>
            <w:r>
              <w:rPr>
                <w:b/>
                <w:color w:val="FFFFFF"/>
                <w:sz w:val="18"/>
              </w:rPr>
              <w:t>Odpoveď, ktorú máš vedieť povedať</w:t>
            </w:r>
          </w:p>
        </w:tc>
      </w:tr>
      <w:tr>
        <w:trPr>
          <w:cantSplit/>
        </w:trPr>
        <w:tc>
          <w:tcPr>
            <w:tcW w:type="dxa" w:w="5083"/>
            <w:tcMar>
              <w:top w:w="90" w:type="dxa"/>
              <w:start w:w="90" w:type="dxa"/>
              <w:bottom w:w="90" w:type="dxa"/>
              <w:end w:w="90" w:type="dxa"/>
            </w:tcMar>
            <w:vAlign w:val="top"/>
          </w:tcPr>
          <w:p>
            <w:pPr>
              <w:spacing w:after="0"/>
            </w:pPr>
            <w:r>
              <w:t>Čo je Citadel?</w:t>
            </w:r>
          </w:p>
        </w:tc>
        <w:tc>
          <w:tcPr>
            <w:tcW w:type="dxa" w:w="5083"/>
            <w:tcMar>
              <w:top w:w="90" w:type="dxa"/>
              <w:start w:w="90" w:type="dxa"/>
              <w:bottom w:w="90" w:type="dxa"/>
              <w:end w:w="90" w:type="dxa"/>
            </w:tcMar>
            <w:vAlign w:val="top"/>
          </w:tcPr>
          <w:p>
            <w:pPr>
              <w:spacing w:after="0"/>
            </w:pPr>
            <w:r>
              <w:t>Referenčná enterprise architektúra pre bezpečné a riadené AI, nie jeden Azure produkt.</w:t>
            </w:r>
          </w:p>
        </w:tc>
      </w:tr>
      <w:tr>
        <w:trPr>
          <w:cantSplit/>
        </w:trPr>
        <w:tc>
          <w:tcPr>
            <w:tcW w:type="dxa" w:w="5083"/>
            <w:tcMar>
              <w:top w:w="90" w:type="dxa"/>
              <w:start w:w="90" w:type="dxa"/>
              <w:bottom w:w="90" w:type="dxa"/>
              <w:end w:w="90" w:type="dxa"/>
            </w:tcMar>
            <w:vAlign w:val="top"/>
          </w:tcPr>
          <w:p>
            <w:pPr>
              <w:spacing w:after="0"/>
            </w:pPr>
            <w:r>
              <w:t>Prečo 4 vrstvy?</w:t>
            </w:r>
          </w:p>
        </w:tc>
        <w:tc>
          <w:tcPr>
            <w:tcW w:type="dxa" w:w="5083"/>
            <w:tcMar>
              <w:top w:w="90" w:type="dxa"/>
              <w:start w:w="90" w:type="dxa"/>
              <w:bottom w:w="90" w:type="dxa"/>
              <w:end w:w="90" w:type="dxa"/>
            </w:tcMar>
            <w:vAlign w:val="top"/>
          </w:tcPr>
          <w:p>
            <w:pPr>
              <w:spacing w:after="0"/>
            </w:pPr>
            <w:r>
              <w:t>Každá rieši inú zodpovednosť: runtime governance, observability/compliance, identity agentov a security.</w:t>
            </w:r>
          </w:p>
        </w:tc>
      </w:tr>
      <w:tr>
        <w:trPr>
          <w:cantSplit/>
        </w:trPr>
        <w:tc>
          <w:tcPr>
            <w:tcW w:type="dxa" w:w="5083"/>
            <w:tcMar>
              <w:top w:w="90" w:type="dxa"/>
              <w:start w:w="90" w:type="dxa"/>
              <w:bottom w:w="90" w:type="dxa"/>
              <w:end w:w="90" w:type="dxa"/>
            </w:tcMar>
            <w:vAlign w:val="top"/>
          </w:tcPr>
          <w:p>
            <w:pPr>
              <w:spacing w:after="0"/>
            </w:pPr>
            <w:r>
              <w:t>Čo je Governance Hub?</w:t>
            </w:r>
          </w:p>
        </w:tc>
        <w:tc>
          <w:tcPr>
            <w:tcW w:type="dxa" w:w="5083"/>
            <w:tcMar>
              <w:top w:w="90" w:type="dxa"/>
              <w:start w:w="90" w:type="dxa"/>
              <w:bottom w:w="90" w:type="dxa"/>
              <w:end w:w="90" w:type="dxa"/>
            </w:tcMar>
            <w:vAlign w:val="top"/>
          </w:tcPr>
          <w:p>
            <w:pPr>
              <w:spacing w:after="0"/>
            </w:pPr>
            <w:r>
              <w:t>Centrálna gateway a runtime enforcement vrstva pred modelmi, tools a agentmi.</w:t>
            </w:r>
          </w:p>
        </w:tc>
      </w:tr>
      <w:tr>
        <w:trPr>
          <w:cantSplit/>
        </w:trPr>
        <w:tc>
          <w:tcPr>
            <w:tcW w:type="dxa" w:w="5083"/>
            <w:tcMar>
              <w:top w:w="90" w:type="dxa"/>
              <w:start w:w="90" w:type="dxa"/>
              <w:bottom w:w="90" w:type="dxa"/>
              <w:end w:w="90" w:type="dxa"/>
            </w:tcMar>
            <w:vAlign w:val="top"/>
          </w:tcPr>
          <w:p>
            <w:pPr>
              <w:spacing w:after="0"/>
            </w:pPr>
            <w:r>
              <w:t>Ako súvisí AI Hub Gateway?</w:t>
            </w:r>
          </w:p>
        </w:tc>
        <w:tc>
          <w:tcPr>
            <w:tcW w:type="dxa" w:w="5083"/>
            <w:tcMar>
              <w:top w:w="90" w:type="dxa"/>
              <w:start w:w="90" w:type="dxa"/>
              <w:bottom w:w="90" w:type="dxa"/>
              <w:end w:w="90" w:type="dxa"/>
            </w:tcMar>
            <w:vAlign w:val="top"/>
          </w:tcPr>
          <w:p>
            <w:pPr>
              <w:spacing w:after="0"/>
            </w:pPr>
            <w:r>
              <w:t>Je referenčná implementácia Governance Hubu/Layer 1.</w:t>
            </w:r>
          </w:p>
        </w:tc>
      </w:tr>
      <w:tr>
        <w:trPr>
          <w:cantSplit/>
        </w:trPr>
        <w:tc>
          <w:tcPr>
            <w:tcW w:type="dxa" w:w="5083"/>
            <w:tcMar>
              <w:top w:w="90" w:type="dxa"/>
              <w:start w:w="90" w:type="dxa"/>
              <w:bottom w:w="90" w:type="dxa"/>
              <w:end w:w="90" w:type="dxa"/>
            </w:tcMar>
            <w:vAlign w:val="top"/>
          </w:tcPr>
          <w:p>
            <w:pPr>
              <w:spacing w:after="0"/>
            </w:pPr>
            <w:r>
              <w:t>Čo je hub-and-spoke?</w:t>
            </w:r>
          </w:p>
        </w:tc>
        <w:tc>
          <w:tcPr>
            <w:tcW w:type="dxa" w:w="5083"/>
            <w:tcMar>
              <w:top w:w="90" w:type="dxa"/>
              <w:start w:w="90" w:type="dxa"/>
              <w:bottom w:w="90" w:type="dxa"/>
              <w:end w:w="90" w:type="dxa"/>
            </w:tcMar>
            <w:vAlign w:val="top"/>
          </w:tcPr>
          <w:p>
            <w:pPr>
              <w:spacing w:after="0"/>
            </w:pPr>
            <w:r>
              <w:t>Spoločný centrálne spravovaný governance hub + oddelené workload prostredia tímov.</w:t>
            </w:r>
          </w:p>
        </w:tc>
      </w:tr>
      <w:tr>
        <w:trPr>
          <w:cantSplit/>
        </w:trPr>
        <w:tc>
          <w:tcPr>
            <w:tcW w:type="dxa" w:w="5083"/>
            <w:tcMar>
              <w:top w:w="90" w:type="dxa"/>
              <w:start w:w="90" w:type="dxa"/>
              <w:bottom w:w="90" w:type="dxa"/>
              <w:end w:w="90" w:type="dxa"/>
            </w:tcMar>
            <w:vAlign w:val="top"/>
          </w:tcPr>
          <w:p>
            <w:pPr>
              <w:spacing w:after="0"/>
            </w:pPr>
            <w:r>
              <w:t>Čo je Control Plane?</w:t>
            </w:r>
          </w:p>
        </w:tc>
        <w:tc>
          <w:tcPr>
            <w:tcW w:type="dxa" w:w="5083"/>
            <w:tcMar>
              <w:top w:w="90" w:type="dxa"/>
              <w:start w:w="90" w:type="dxa"/>
              <w:bottom w:w="90" w:type="dxa"/>
              <w:end w:w="90" w:type="dxa"/>
            </w:tcMar>
            <w:vAlign w:val="top"/>
          </w:tcPr>
          <w:p>
            <w:pPr>
              <w:spacing w:after="0"/>
            </w:pPr>
            <w:r>
              <w:t>Centrálny pohľad nad správaním a kvalitou agentov: telemetry, evaluácie, compliance, fleet operations.</w:t>
            </w:r>
          </w:p>
        </w:tc>
      </w:tr>
      <w:tr>
        <w:trPr>
          <w:cantSplit/>
        </w:trPr>
        <w:tc>
          <w:tcPr>
            <w:tcW w:type="dxa" w:w="5083"/>
            <w:tcMar>
              <w:top w:w="90" w:type="dxa"/>
              <w:start w:w="90" w:type="dxa"/>
              <w:bottom w:w="90" w:type="dxa"/>
              <w:end w:w="90" w:type="dxa"/>
            </w:tcMar>
            <w:vAlign w:val="top"/>
          </w:tcPr>
          <w:p>
            <w:pPr>
              <w:spacing w:after="0"/>
            </w:pPr>
            <w:r>
              <w:t>Prečo Agent Identity?</w:t>
            </w:r>
          </w:p>
        </w:tc>
        <w:tc>
          <w:tcPr>
            <w:tcW w:type="dxa" w:w="5083"/>
            <w:tcMar>
              <w:top w:w="90" w:type="dxa"/>
              <w:start w:w="90" w:type="dxa"/>
              <w:bottom w:w="90" w:type="dxa"/>
              <w:end w:w="90" w:type="dxa"/>
            </w:tcMar>
            <w:vAlign w:val="top"/>
          </w:tcPr>
          <w:p>
            <w:pPr>
              <w:spacing w:after="0"/>
            </w:pPr>
            <w:r>
              <w:t>Aby každý agent mal enterprise identitu, vlastníka, audit a riadené oprávnenia.</w:t>
            </w:r>
          </w:p>
        </w:tc>
      </w:tr>
      <w:tr>
        <w:trPr>
          <w:cantSplit/>
        </w:trPr>
        <w:tc>
          <w:tcPr>
            <w:tcW w:type="dxa" w:w="5083"/>
            <w:tcMar>
              <w:top w:w="90" w:type="dxa"/>
              <w:start w:w="90" w:type="dxa"/>
              <w:bottom w:w="90" w:type="dxa"/>
              <w:end w:w="90" w:type="dxa"/>
            </w:tcMar>
            <w:vAlign w:val="top"/>
          </w:tcPr>
          <w:p>
            <w:pPr>
              <w:spacing w:after="0"/>
            </w:pPr>
            <w:r>
              <w:t>Čo je Security Fabric?</w:t>
            </w:r>
          </w:p>
        </w:tc>
        <w:tc>
          <w:tcPr>
            <w:tcW w:type="dxa" w:w="5083"/>
            <w:tcMar>
              <w:top w:w="90" w:type="dxa"/>
              <w:start w:w="90" w:type="dxa"/>
              <w:bottom w:w="90" w:type="dxa"/>
              <w:end w:w="90" w:type="dxa"/>
            </w:tcMar>
            <w:vAlign w:val="top"/>
          </w:tcPr>
          <w:p>
            <w:pPr>
              <w:spacing w:after="0"/>
            </w:pPr>
            <w:r>
              <w:t>Defender + Purview + Entra ako priečna security/data/identity vrstva.</w:t>
            </w:r>
          </w:p>
        </w:tc>
      </w:tr>
    </w:tbl>
    <w:p>
      <w:pPr>
        <w:spacing w:after="40"/>
      </w:pPr>
    </w:p>
    <w:p>
      <w:pPr>
        <w:pStyle w:val="Heading1"/>
      </w:pPr>
      <w:r>
        <w:t>12. Zdroj</w:t>
      </w:r>
    </w:p>
    <w:p>
      <w:pPr>
        <w:spacing w:before="80" w:after="20"/>
      </w:pPr>
      <w:r>
        <w:rPr>
          <w:b/>
        </w:rPr>
        <w:t xml:space="preserve">Originál: </w:t>
      </w:r>
      <w:r>
        <w:t>https://github.com/Azure-Samples/foundry-citadel-platform/blob/main/README.md</w:t>
      </w:r>
    </w:p>
    <w:p>
      <w:r>
        <w:t>Poznámka: résumé vysvetľuje architektonický koncept. Marketingové štatistiky a trhové porovnania z originálu nie sú rozpisované, pretože nemenia technický mentálny model Citadelu.</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