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Foundry Citadel Platform — Technical Guide briefing</w:t>
      </w:r>
    </w:p>
    <w:p>
      <w:pPr>
        <w:spacing w:after="160"/>
        <w:pBdr>
          <w:bottom w:val="single" w:sz="8" w:space="4" w:color="D9E2F3"/>
        </w:pBdr>
      </w:pPr>
      <w:r>
        <w:rPr>
          <w:color w:val="5A5A5A"/>
          <w:sz w:val="23"/>
        </w:rPr>
        <w:t>Technické zhrnutie architektúry, komponentov, observability, deploymentu a Citadel Agent Spoke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1F4E79"/>
              </w:rPr>
              <w:t xml:space="preserve">30-sekundové résumé: </w:t>
            </w:r>
            <w:r>
              <w:t>Technical Guide opisuje Citadel ako AI landing-zone/reference architecture zloženú z Azure služieb. Prakticky rieši tri výsledky: governance &amp; security, observability &amp; compliance a rýchlosť vývoja/deploymentu. Nie je monolit — komponenty sa skladajú modulárne a môžu používať existujúce enterprise služby.</w:t>
            </w:r>
          </w:p>
        </w:tc>
      </w:tr>
    </w:tbl>
    <w:p>
      <w:pPr>
        <w:spacing w:after="0"/>
      </w:pPr>
    </w:p>
    <w:p>
      <w:pPr>
        <w:pStyle w:val="Heading1"/>
      </w:pPr>
      <w:r>
        <w:t>1. Ako čítať Technical Guide vs. README</w:t>
      </w:r>
    </w:p>
    <w:p>
      <w:r>
        <w:t xml:space="preserve">README používa hlavne </w:t>
      </w:r>
      <w:r>
        <w:rPr>
          <w:b/>
        </w:rPr>
        <w:t>4 vrstvy</w:t>
      </w:r>
      <w:r>
        <w:t xml:space="preserve"> (Governance Hub, AI Control Plane, Agent Identity, Security Fabric). Technical Guide organizuje platformu skôr podľa </w:t>
      </w:r>
      <w:r>
        <w:rPr>
          <w:b/>
        </w:rPr>
        <w:t>3 praktických pilierov</w:t>
      </w:r>
      <w:r>
        <w:t>: Governance &amp; Security, Observability &amp; Compliance a AI Development Velocity. Nejde o rozpor — vrstvy opisujú architektúru, piliere opisujú výsledné schopnosti platformy.</w:t>
      </w:r>
    </w:p>
    <w:p>
      <w:pPr>
        <w:pStyle w:val="Heading1"/>
      </w:pPr>
      <w:r>
        <w:t>2. Governance &amp; Security — čo sa deje pri AI calle</w:t>
      </w:r>
    </w:p>
    <w:p>
      <w:pPr>
        <w:pStyle w:val="ListBullet"/>
        <w:spacing w:after="40"/>
      </w:pPr>
      <w:r>
        <w:t>Unified AI Gateway je centrálny entrypoint založený na Azure API Management. Aplikácie nemajú volať každý model/backend napriamo.</w:t>
      </w:r>
    </w:p>
    <w:p>
      <w:pPr>
        <w:pStyle w:val="ListBullet"/>
        <w:spacing w:after="40"/>
      </w:pPr>
      <w:r>
        <w:t>Gateway uplatňuje jednotné policies: authentication/authorization, request a token limity, routing, caching, content safety a observability.</w:t>
      </w:r>
    </w:p>
    <w:p>
      <w:pPr>
        <w:pStyle w:val="ListBullet"/>
        <w:spacing w:after="40"/>
      </w:pPr>
      <w:r>
        <w:t>Managed credentials/Key Vault/managed identity znižujú potrebu distribuovať master API keys do aplikačného kódu.</w:t>
      </w:r>
    </w:p>
    <w:p>
      <w:pPr>
        <w:pStyle w:val="ListBullet"/>
        <w:spacing w:after="40"/>
      </w:pPr>
      <w:r>
        <w:t>API Center/registry dáva discovery vrstvu pre AI endpointy, agents a MCP/tools.</w:t>
      </w:r>
    </w:p>
    <w:p>
      <w:pPr>
        <w:pStyle w:val="ListBullet"/>
        <w:spacing w:after="40"/>
      </w:pPr>
      <w:r>
        <w:t>Koncept je multi-backend/multi-cloud: rovnaké governance rozhranie môže sprostredkovať Azure aj iné AI backendy.</w:t>
      </w:r>
    </w:p>
    <w:p>
      <w:pPr>
        <w:pStyle w:val="Heading1"/>
      </w:pPr>
      <w:r>
        <w:t>3. Technický request flow</w:t>
      </w:r>
    </w:p>
    <w:p>
      <w:pPr>
        <w:spacing w:after="40"/>
        <w:ind w:left="317" w:hanging="259"/>
      </w:pPr>
      <w:r>
        <w:rPr>
          <w:b/>
        </w:rPr>
        <w:t xml:space="preserve">1.  </w:t>
      </w:r>
      <w:r>
        <w:t>Client/agent získa oprávnenie alebo gateway credential/identity token.</w:t>
      </w:r>
    </w:p>
    <w:p>
      <w:pPr>
        <w:spacing w:after="40"/>
        <w:ind w:left="317" w:hanging="259"/>
      </w:pPr>
      <w:r>
        <w:rPr>
          <w:b/>
        </w:rPr>
        <w:t xml:space="preserve">2.  </w:t>
      </w:r>
      <w:r>
        <w:t>Pošle request na gateway endpoint namiesto priameho model endpointu.</w:t>
      </w:r>
    </w:p>
    <w:p>
      <w:pPr>
        <w:spacing w:after="40"/>
        <w:ind w:left="317" w:hanging="259"/>
      </w:pPr>
      <w:r>
        <w:rPr>
          <w:b/>
        </w:rPr>
        <w:t xml:space="preserve">3.  </w:t>
      </w:r>
      <w:r>
        <w:t>APIM overí identity/access pravidlá a aplikuje gateway policies.</w:t>
      </w:r>
    </w:p>
    <w:p>
      <w:pPr>
        <w:spacing w:after="40"/>
        <w:ind w:left="317" w:hanging="259"/>
      </w:pPr>
      <w:r>
        <w:rPr>
          <w:b/>
        </w:rPr>
        <w:t xml:space="preserve">4.  </w:t>
      </w:r>
      <w:r>
        <w:t>Request sa routuje na povolený model, tool alebo agent backend.</w:t>
      </w:r>
    </w:p>
    <w:p>
      <w:pPr>
        <w:spacing w:after="40"/>
        <w:ind w:left="317" w:hanging="259"/>
      </w:pPr>
      <w:r>
        <w:rPr>
          <w:b/>
        </w:rPr>
        <w:t xml:space="preserve">5.  </w:t>
      </w:r>
      <w:r>
        <w:t>Gateway a platforma emitujú telemetry (usage, tokeny, latency, errors, policy výsledky).</w:t>
      </w:r>
    </w:p>
    <w:p>
      <w:pPr>
        <w:spacing w:after="40"/>
        <w:ind w:left="317" w:hanging="259"/>
      </w:pPr>
      <w:r>
        <w:rPr>
          <w:b/>
        </w:rPr>
        <w:t xml:space="preserve">6.  </w:t>
      </w:r>
      <w:r>
        <w:t>Observability/evaluation vrstva tieto dáta používa na dashboards, alerts, quality a compliance evaluácie.</w:t>
      </w:r>
    </w:p>
    <w:p>
      <w:pPr>
        <w:pStyle w:val="Heading1"/>
      </w:pPr>
      <w:r>
        <w:t>4. Observability &amp; Compliance</w:t>
      </w:r>
    </w:p>
    <w:p>
      <w:pPr>
        <w:pStyle w:val="ListBullet"/>
        <w:spacing w:after="40"/>
      </w:pPr>
      <w:r>
        <w:t>Platform-level monitoring používa Azure Monitor/Application Insights na health, latency, errors a resource metrics.</w:t>
      </w:r>
    </w:p>
    <w:p>
      <w:pPr>
        <w:pStyle w:val="ListBullet"/>
        <w:spacing w:after="40"/>
      </w:pPr>
      <w:r>
        <w:t>Usage tracking má umožniť segmentáciu podľa team/use case/agent — token consumption, request volume a cost allocation.</w:t>
      </w:r>
    </w:p>
    <w:p>
      <w:pPr>
        <w:pStyle w:val="ListBullet"/>
        <w:spacing w:after="40"/>
      </w:pPr>
      <w:r>
        <w:t>Agent-level observability pracuje s execution traces, tool/model calls, latency a token usage; cieľ je debug a auditovateľnosť, nie prístup k internému skrytému reasoning modelu.</w:t>
      </w:r>
    </w:p>
    <w:p>
      <w:pPr>
        <w:pStyle w:val="ListBullet"/>
        <w:spacing w:after="40"/>
      </w:pPr>
      <w:r>
        <w:t>Foundry evaluácie môžu byť súčasťou CI/CD quality gate a v produkcii continuous evaluation/monitoring.</w:t>
      </w:r>
    </w:p>
    <w:p>
      <w:pPr>
        <w:pStyle w:val="ListBullet"/>
        <w:spacing w:after="40"/>
      </w:pPr>
      <w:r>
        <w:t>Alerting a red-team/evaluation signály majú umožniť reagovať na performance, safety alebo compliance regresie.</w:t>
      </w:r>
    </w:p>
    <w:p>
      <w:pPr>
        <w:pStyle w:val="Heading1"/>
      </w:pPr>
      <w:r>
        <w:t>5. AI Development Velocity</w:t>
      </w:r>
    </w:p>
    <w:p>
      <w:pPr>
        <w:pStyle w:val="ListBullet"/>
        <w:spacing w:after="40"/>
      </w:pPr>
      <w:r>
        <w:t>Managed AI access: developer dostáva prístup k schváleným modelom a tools cez centrálny governance model namiesto ad-hoc endpointov.</w:t>
      </w:r>
    </w:p>
    <w:p>
      <w:pPr>
        <w:pStyle w:val="ListBullet"/>
        <w:spacing w:after="40"/>
      </w:pPr>
      <w:r>
        <w:t>Publishing: tímy môžu publikovať vlastné tools/agents do centrálneho registry, aby boli discoverable a znovupoužiteľné.</w:t>
      </w:r>
    </w:p>
    <w:p>
      <w:pPr>
        <w:pStyle w:val="ListBullet"/>
        <w:spacing w:after="40"/>
      </w:pPr>
      <w:r>
        <w:t>Reusable blueprints a Bicep deployment templates skracujú setup infraštruktúry.</w:t>
      </w:r>
    </w:p>
    <w:p>
      <w:pPr>
        <w:pStyle w:val="ListBullet"/>
        <w:spacing w:after="40"/>
      </w:pPr>
      <w:r>
        <w:t>Podporovaný je low-code aj pro-code svet: Copilot Studio, Foundry agent runtime aj custom orchestrátory/frameworky.</w:t>
      </w:r>
    </w:p>
    <w:p>
      <w:pPr>
        <w:pStyle w:val="ListBullet"/>
        <w:spacing w:after="40"/>
      </w:pPr>
      <w:r>
        <w:t>DevOps princíp zostáva rovnaký ako pri klasickom softvéri: Git, CI/CD, test/eval gate, staged deployment a observability feedback loop.</w:t>
      </w:r>
    </w:p>
    <w:p>
      <w:pPr>
        <w:pStyle w:val="Heading1"/>
      </w:pPr>
      <w:r>
        <w:t>6. Citadel ako AI Landing Zone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1F4E79"/>
              </w:rPr>
              <w:t xml:space="preserve">Kľúčová veta: </w:t>
            </w:r>
            <w:r>
              <w:t>Citadel nie je monolitický produkt. Je to kolekcia Azure služieb zapojených do referenčného dizajnu, ktorý sa má integrovať s existujúcim networkingom, identity a governance základom organizácie.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To umožňuje nahradiť alebo reuse-núť niektoré komponenty podľa enterprise štandardov.</w:t>
      </w:r>
    </w:p>
    <w:p>
      <w:pPr>
        <w:pStyle w:val="ListBullet"/>
        <w:spacing w:after="40"/>
      </w:pPr>
      <w:r>
        <w:t>IaC/Bicep je prirodzený mechanizmus, pretože celý landing-zone setup musí byť opakovateľný, auditovateľný a environment-specific.</w:t>
      </w:r>
    </w:p>
    <w:p>
      <w:pPr>
        <w:pStyle w:val="Heading1"/>
      </w:pPr>
      <w:r>
        <w:t>7. Citadel Agent Spoke (CAS)</w:t>
      </w:r>
    </w:p>
    <w:p>
      <w:r>
        <w:t xml:space="preserve">Technical Guide rozlišuje centrálny Governance Hub a </w:t>
      </w:r>
      <w:r>
        <w:rPr>
          <w:b/>
        </w:rPr>
        <w:t>Citadel Agent Spoke (CAS)</w:t>
      </w:r>
      <w:r>
        <w:t xml:space="preserve"> — workload/domain prostredie pre konkrétne agent riešenia. CAS je postavený na Azure Verified Modules a počíta s private networkingom, managed identities a enterprise security.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202020"/>
              </w:rPr>
              <w:t>Komponent</w:t>
            </w:r>
          </w:p>
        </w:tc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202020"/>
              </w:rPr>
              <w:t>Úloha v spoke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Azure AI Foundry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Vývoj/hosting agent capabilities a projektov.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API Management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Gateway/service orchestration pre workload.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Azure AI Search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Vector/hybrid search pre RAG.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Cosmos DB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Agent state a conversation data.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Storage Account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Dokumenty a model/app artefakty.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Key Vault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Secrets/certifikáty; integrácia s managed identities.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Container Apps + ACR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Custom aplikácie/microservices a images.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Application Insights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Telemetry, tracing a alerting.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VNet + private endpoints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Network isolation a private connectivity.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Application Gateway/WAF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Voliteľná ingress/WAF vrstva.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Build/Jump VM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Voliteľné DevOps alebo secure-access komponenty.</w:t>
            </w:r>
          </w:p>
        </w:tc>
      </w:tr>
    </w:tbl>
    <w:p>
      <w:pPr>
        <w:pStyle w:val="Heading1"/>
      </w:pPr>
      <w:r>
        <w:t>8. Deployment flexibilita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202020"/>
              </w:rPr>
              <w:t>Model</w:t>
            </w:r>
          </w:p>
        </w:tc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202020"/>
              </w:rPr>
              <w:t>Čo znamená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Create New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Všetky požadované komponenty sa provisionujú ako nové resources.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Reuse Existing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Template sa napojí na existujúce VNet/DNS/shared services.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Hybrid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Časť resources sa vytvorí, časť sa reuse-ne podľa enterprise architektúry.</w:t>
            </w:r>
          </w:p>
        </w:tc>
      </w:tr>
    </w:tbl>
    <w:p>
      <w:pPr>
        <w:pStyle w:val="ListBullet"/>
        <w:spacing w:after="40"/>
      </w:pPr>
      <w:r>
        <w:t>Toto je dôležité pre Bicep: moduly potrebujú vedieť pracovať s create/use-existing toggles a prenášať IDs/outputs medzi modulmi.</w:t>
      </w:r>
    </w:p>
    <w:p>
      <w:pPr>
        <w:pStyle w:val="Heading1"/>
      </w:pPr>
      <w:r>
        <w:t>9. Ako Technical Guide súvisí s tvojím Bicep/Citadel tiketom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1F4E79"/>
              </w:rPr>
              <w:t xml:space="preserve">Praktická interpretácia: </w:t>
            </w:r>
            <w:r>
              <w:t>Guide ti hovorí ČO má platforma schopnostne a architektonicky obsahovať. AI Hub Gateway Solution Accelerator a jeho Bicep/scripts ti ukážu AKO Microsoft konkrétne implementoval Governance Hub a deployment flow.</w:t>
            </w:r>
          </w:p>
        </w:tc>
      </w:tr>
    </w:tbl>
    <w:p>
      <w:pPr>
        <w:spacing w:after="0"/>
      </w:pPr>
    </w:p>
    <w:p>
      <w:pPr>
        <w:spacing w:after="40"/>
        <w:ind w:left="317" w:hanging="259"/>
      </w:pPr>
      <w:r>
        <w:rPr>
          <w:b/>
        </w:rPr>
        <w:t xml:space="preserve">1.  </w:t>
      </w:r>
      <w:r>
        <w:t>Najprv identifikuj core entrypoint (`main.bicep`) a environment `.bicepparam` súbory.</w:t>
      </w:r>
    </w:p>
    <w:p>
      <w:pPr>
        <w:spacing w:after="40"/>
        <w:ind w:left="317" w:hanging="259"/>
      </w:pPr>
      <w:r>
        <w:rPr>
          <w:b/>
        </w:rPr>
        <w:t xml:space="preserve">2.  </w:t>
      </w:r>
      <w:r>
        <w:t>Sleduj `main.bicep` ako orchestrátor: ktoré moduly volá, aké `params` posiela a aké `outputs` používa.</w:t>
      </w:r>
    </w:p>
    <w:p>
      <w:pPr>
        <w:spacing w:after="40"/>
        <w:ind w:left="317" w:hanging="259"/>
      </w:pPr>
      <w:r>
        <w:rPr>
          <w:b/>
        </w:rPr>
        <w:t xml:space="preserve">3.  </w:t>
      </w:r>
      <w:r>
        <w:t>Rozlišuj platform provisioning od následných onboarding/contract flows pre modely, agents/tools a access.</w:t>
      </w:r>
    </w:p>
    <w:p>
      <w:pPr>
        <w:spacing w:after="40"/>
        <w:ind w:left="317" w:hanging="259"/>
      </w:pPr>
      <w:r>
        <w:rPr>
          <w:b/>
        </w:rPr>
        <w:t xml:space="preserve">4.  </w:t>
      </w:r>
      <w:r>
        <w:t>Pri vlastných assetoch hľadaj existujúci extension point; až keď chýba, navrhuj samostatný modul/overlay/post-deployment krok.</w:t>
      </w:r>
    </w:p>
    <w:p>
      <w:pPr>
        <w:spacing w:after="40"/>
        <w:ind w:left="317" w:hanging="259"/>
      </w:pPr>
      <w:r>
        <w:rPr>
          <w:b/>
        </w:rPr>
        <w:t xml:space="preserve">5.  </w:t>
      </w:r>
      <w:r>
        <w:t>Minimalizuj modifikácie Microsoft core, aby bolo možné preberať upstream revízie s malým množstvom merge konfliktov.</w:t>
      </w:r>
    </w:p>
    <w:p>
      <w:pPr>
        <w:pStyle w:val="Heading1"/>
      </w:pPr>
      <w:r>
        <w:t>10. Čo potrebuješ vedieť pri čítaní Bicepu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202020"/>
              </w:rPr>
              <w:t>Bicep prvok</w:t>
            </w:r>
          </w:p>
        </w:tc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202020"/>
              </w:rPr>
              <w:t>Ako ho čítať v Citadel repozitári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param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Vstup modulu/template; často environment-specific hodnota.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var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Odvodená lokálna hodnota použitá pri skladaní konfigurácie.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resource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Konkrétny Azure resource alebo child resource.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module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Samostatný Bicep deployment blok; `main.bicep` ním skladá platformu.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existing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Referencia na resource, ktorý už existuje a nemá sa vytvoriť.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output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ID/endpoint/názov, ktorý modul poskytne orchestrátoru alebo ďalšiemu modulu.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.bicepparam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Hodnoty pre konkrétne prostredie, napr. DEV/PROD.</w:t>
            </w:r>
          </w:p>
        </w:tc>
      </w:tr>
    </w:tbl>
    <w:p>
      <w:pPr>
        <w:pStyle w:val="Heading1"/>
      </w:pPr>
      <w:r>
        <w:t>11. Meeting Q&amp;A — technické otázky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202020"/>
              </w:rPr>
              <w:t>Otázka</w:t>
            </w:r>
          </w:p>
        </w:tc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202020"/>
              </w:rPr>
              <w:t>Krátka odpoveď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Je Citadel samostatný Azure service?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Nie. Je to reference architecture/landing-zone pattern zložený z Azure služieb.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Prečo je APIM taký dôležitý?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Je centrálny runtime boundary, kde možno jednotne aplikovať access, limity, routing, safety a observability policies.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Kde sa evidujú AI assety?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Registry/catalog vrstva používa API Center/Foundry inventory podľa konkrétnej implementácie.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Ako sa sledujú náklady?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Gateway/platform telemetry umožňuje token/request usage a cost attribution podľa tímu/use case/agent.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Čo je CAS?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Citadel Agent Spoke — izolované workload prostredie pre konkrétnu AI/agent doménu, napojené na centrálne governance schopnosti.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Musí CAS vytvoriť všetky resources?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Nie. Guide podporuje create-new, reuse-existing aj hybrid prístup.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Ako sa platforma automatizuje?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IaC/Bicep + scripts/CI/CD; environment differences idú cez parametre a konfiguračné súbory.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Čo je hlavný cieľ upstream stratégie?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Oddeliť VzdelAI-specific rozšírenia od Microsoft core tak, aby sa nové revízie dali preberať s minimom konfliktov.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Čo je extension point?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Microsoftom predpokladané miesto na onboarding/config rozšírenie — contract, samostatný Bicep modul alebo operation flow.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Čo mám čítať ako prvé v implementácii?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`main.bicep` → volané moduly → parameter files → onboarding/contracts/scripts → CI/CD entrypoint.</w:t>
            </w:r>
          </w:p>
        </w:tc>
      </w:tr>
    </w:tbl>
    <w:p>
      <w:pPr>
        <w:pStyle w:val="Heading1"/>
      </w:pPr>
      <w:r>
        <w:t>12. Jedna mapa do hlavy</w:t>
      </w:r>
    </w:p>
    <w:p>
      <w:pPr>
        <w:jc w:val="center"/>
      </w:pPr>
      <w:r>
        <w:rPr>
          <w:b/>
        </w:rPr>
        <w:t>Klient/Agent → AI Gateway/APIM → Model/Tool/Agent backend → Telemetry → Foundry/Monitor/Evaluations</w:t>
      </w:r>
    </w:p>
    <w:p>
      <w:pPr>
        <w:jc w:val="center"/>
      </w:pPr>
      <w:r>
        <w:rPr>
          <w:i/>
        </w:rPr>
        <w:t>Identity (Entra/Agent 365) + Security/Data Governance (Defender/Purview) pôsobia naprieč celým flow.</w:t>
      </w:r>
    </w:p>
    <w:p>
      <w:pPr>
        <w:pStyle w:val="Heading1"/>
      </w:pPr>
      <w:r>
        <w:t>Zdroje a overenie</w:t>
      </w:r>
    </w:p>
    <w:p>
      <w:pPr>
        <w:spacing w:after="40"/>
      </w:pPr>
      <w:r>
        <w:rPr>
          <w:b/>
        </w:rPr>
        <w:t xml:space="preserve">Primárny zdroj: </w:t>
      </w:r>
      <w:hyperlink r:id="rId10">
        <w:r>
          <w:rPr>
            <w:color w:val="1F4E79"/>
            <w:u w:val="single"/>
          </w:rPr>
          <w:t>GitHub dokument</w:t>
        </w:r>
      </w:hyperlink>
    </w:p>
    <w:p>
      <w:pPr>
        <w:pStyle w:val="ListBullet"/>
        <w:spacing w:after="20"/>
        <w:ind w:left="288"/>
      </w:pPr>
      <w:hyperlink r:id="rId11">
        <w:r>
          <w:rPr>
            <w:color w:val="1F4E79"/>
            <w:u w:val="single"/>
          </w:rPr>
          <w:t>Microsoft Learn — AI gateway capabilities</w:t>
        </w:r>
      </w:hyperlink>
    </w:p>
    <w:p>
      <w:pPr>
        <w:pStyle w:val="ListBullet"/>
        <w:spacing w:after="20"/>
        <w:ind w:left="288"/>
      </w:pPr>
      <w:hyperlink r:id="rId12">
        <w:r>
          <w:rPr>
            <w:color w:val="1F4E79"/>
            <w:u w:val="single"/>
          </w:rPr>
          <w:t>Microsoft Learn — APIM AI gateway policies</w:t>
        </w:r>
      </w:hyperlink>
    </w:p>
    <w:p>
      <w:pPr>
        <w:pStyle w:val="ListBullet"/>
        <w:spacing w:after="20"/>
        <w:ind w:left="288"/>
      </w:pPr>
      <w:hyperlink r:id="rId13">
        <w:r>
          <w:rPr>
            <w:color w:val="1F4E79"/>
            <w:u w:val="single"/>
          </w:rPr>
          <w:t>Microsoft Learn — Foundry agent monitoring</w:t>
        </w:r>
      </w:hyperlink>
    </w:p>
    <w:p>
      <w:pPr>
        <w:pStyle w:val="ListBullet"/>
        <w:spacing w:after="20"/>
        <w:ind w:left="288"/>
      </w:pPr>
      <w:hyperlink r:id="rId14">
        <w:r>
          <w:rPr>
            <w:color w:val="1F4E79"/>
            <w:u w:val="single"/>
          </w:rPr>
          <w:t>Microsoft Learn — Evaluate agents</w:t>
        </w:r>
      </w:hyperlink>
    </w:p>
    <w:p>
      <w:pPr>
        <w:pStyle w:val="ListBullet"/>
        <w:spacing w:after="20"/>
        <w:ind w:left="288"/>
      </w:pPr>
      <w:hyperlink r:id="rId15">
        <w:r>
          <w:rPr>
            <w:color w:val="1F4E79"/>
            <w:u w:val="single"/>
          </w:rPr>
          <w:t>Microsoft Learn — Agent 365 identity</w:t>
        </w:r>
      </w:hyperlink>
    </w:p>
    <w:p>
      <w:pPr>
        <w:spacing w:before="60" w:after="0"/>
      </w:pPr>
      <w:r>
        <w:rPr>
          <w:b/>
        </w:rPr>
        <w:t xml:space="preserve">Poznámka: </w:t>
      </w:r>
      <w:r>
        <w:t>Briefing nenahrádza oficiálnu dokumentáciu. Pri implementácii over aktuálny stav zdrojov a preview/GA status funkcií.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A5A5A"/>
        <w:sz w:val="16"/>
      </w:rPr>
      <w:t>Foundry Citadel briefing notes | pripravené 30. 8. 2026</w:t>
    </w:r>
  </w:p>
  <w:p>
    <w:pPr>
      <w:jc w:val="right"/>
    </w:pPr>
    <w:r>
      <w:rPr>
        <w:color w:val="5A5A5A"/>
        <w:sz w:val="16"/>
      </w:rPr>
      <w:t xml:space="preserve">Strana </w:t>
    </w:r>
    <w:fldSimple w:instr="PAGE">
      <w:r>
        <w:rPr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color w:val="20202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20202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0202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after="0"/>
    </w:pPr>
    <w:rPr>
      <w:rFonts w:ascii="Aptos" w:hAnsi="Aptos"/>
      <w:color w:val="20202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Azure-Samples/foundry-citadel-platform/blob/main/CITADEL-TECHNICAL-GUIDE.md" TargetMode="External"/><Relationship Id="rId11" Type="http://schemas.openxmlformats.org/officeDocument/2006/relationships/hyperlink" Target="https://learn.microsoft.com/en-us/azure/api-management/genai-gateway-capabilities" TargetMode="External"/><Relationship Id="rId12" Type="http://schemas.openxmlformats.org/officeDocument/2006/relationships/hyperlink" Target="https://learn.microsoft.com/en-us/azure/api-management/api-management-policies" TargetMode="External"/><Relationship Id="rId13" Type="http://schemas.openxmlformats.org/officeDocument/2006/relationships/hyperlink" Target="https://learn.microsoft.com/en-us/azure/foundry/observability/how-to/how-to-monitor-agents-dashboard" TargetMode="External"/><Relationship Id="rId14" Type="http://schemas.openxmlformats.org/officeDocument/2006/relationships/hyperlink" Target="https://learn.microsoft.com/en-us/azure/foundry/observability/how-to/evaluate-agent" TargetMode="External"/><Relationship Id="rId15" Type="http://schemas.openxmlformats.org/officeDocument/2006/relationships/hyperlink" Target="https://learn.microsoft.com/en-us/microsoft-agent-365/developer/ident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