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9B4BA8">
      <w:pPr>
        <w:pStyle w:val="Title"/>
        <w:framePr w:wrap="notBeside"/>
      </w:pPr>
      <w:r>
        <w:t>Wireless Security</w:t>
      </w:r>
    </w:p>
    <w:p w:rsidR="00E97402" w:rsidRDefault="00387371">
      <w:pPr>
        <w:pStyle w:val="Authors"/>
        <w:framePr w:wrap="notBeside"/>
      </w:pPr>
      <w:r>
        <w:t>Kevin Kuo</w:t>
      </w:r>
      <w:r w:rsidR="00392DBA">
        <w:t xml:space="preserve">, </w:t>
      </w:r>
      <w:r>
        <w:rPr>
          <w:i/>
        </w:rPr>
        <w:t>MS Computer Science Candidate</w:t>
      </w:r>
      <w:r w:rsidR="00392DBA" w:rsidRPr="00392DBA">
        <w:rPr>
          <w:i/>
        </w:rPr>
        <w:t xml:space="preserve">, </w:t>
      </w:r>
      <w:r>
        <w:rPr>
          <w:i/>
        </w:rPr>
        <w:t>Towson University</w:t>
      </w:r>
    </w:p>
    <w:p w:rsidR="00E97402" w:rsidRDefault="00E97402" w:rsidP="000C46E7">
      <w:pPr>
        <w:pStyle w:val="Abstract"/>
      </w:pPr>
      <w:r>
        <w:rPr>
          <w:i/>
          <w:iCs/>
        </w:rPr>
        <w:t>Abstract</w:t>
      </w:r>
      <w:r>
        <w:t>—</w:t>
      </w:r>
      <w:r w:rsidR="00812331">
        <w:t xml:space="preserve"> There has been an increased demand for wireless networks due to the proliferation of laptop computers and mobile devices such as smart phones, tablets, and watches.  With the development and release of new wireless devices</w:t>
      </w:r>
      <w:r w:rsidR="000C46E7">
        <w:t xml:space="preserve"> as well as improvements in wireless technology, wireless security has been increasingly important.  This survey paper will explore the improvement made to wireless security and m</w:t>
      </w:r>
      <w:bookmarkStart w:id="0" w:name="_GoBack"/>
      <w:bookmarkEnd w:id="0"/>
      <w:r w:rsidR="000C46E7">
        <w:t>ake suggestions where future effort should be directed.</w:t>
      </w:r>
    </w:p>
    <w:p w:rsidR="00E97402" w:rsidRDefault="00E97402"/>
    <w:p w:rsidR="00E97402" w:rsidRDefault="00E97402">
      <w:pPr>
        <w:pStyle w:val="IndexTerms"/>
      </w:pPr>
      <w:bookmarkStart w:id="1" w:name="PointTmp"/>
      <w:r>
        <w:rPr>
          <w:i/>
          <w:iCs/>
        </w:rPr>
        <w:t>Index Terms</w:t>
      </w:r>
      <w:r>
        <w:t>—</w:t>
      </w:r>
      <w:proofErr w:type="gramStart"/>
      <w:r w:rsidR="00D5536F">
        <w:t>Enter</w:t>
      </w:r>
      <w:proofErr w:type="gramEnd"/>
      <w:r w:rsidR="00D5536F">
        <w:t xml:space="preserve">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proofErr w:type="gramStart"/>
      <w:r>
        <w:t>,</w:t>
      </w:r>
      <w:proofErr w:type="gramEnd"/>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proofErr w:type="spellStart"/>
      <w:r w:rsidR="003D1EBF">
        <w:t>LaTeX</w:t>
      </w:r>
      <w:proofErr w:type="spellEnd"/>
      <w:r>
        <w:t xml:space="preserve">, download IEEE’s </w:t>
      </w:r>
      <w:proofErr w:type="spellStart"/>
      <w:r w:rsidR="003D1EBF">
        <w:t>LaTeX</w:t>
      </w:r>
      <w:proofErr w:type="spellEnd"/>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 xml:space="preserve">Define abbreviations and acronyms the first time they are </w:t>
      </w:r>
      <w:proofErr w:type="gramStart"/>
      <w:r>
        <w:t>used</w:t>
      </w:r>
      <w:proofErr w:type="gramEnd"/>
      <w:r>
        <w:t xml:space="preserve">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E97B99" w:rsidRDefault="00E97B99" w:rsidP="00E97B99">
      <w:pPr>
        <w:pStyle w:val="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w:t>
      </w:r>
      <w:r>
        <w:lastRenderedPageBreak/>
        <w:t>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t>
      </w:r>
      <w:r>
        <w:t xml:space="preserve">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pt;height:6.25pt" o:ole="" fillcolor="window">
            <v:imagedata r:id="rId15" o:title=""/>
          </v:shape>
          <o:OLEObject Type="Embed" ProgID="Equation.3" ShapeID="_x0000_i1025" DrawAspect="Content" ObjectID="_1553956908"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 xml:space="preserve">Referencing a Figure or Table </w:t>
      </w:r>
      <w:proofErr w:type="gramStart"/>
      <w:r w:rsidRPr="00113F26">
        <w:rPr>
          <w:rStyle w:val="BodyText2"/>
          <w:rFonts w:ascii="Cambria" w:hAnsi="Cambria" w:cs="Times New Roman"/>
          <w:color w:val="auto"/>
          <w:sz w:val="20"/>
          <w:szCs w:val="20"/>
        </w:rPr>
        <w:t>Within</w:t>
      </w:r>
      <w:proofErr w:type="gramEnd"/>
      <w:r w:rsidRPr="00113F26">
        <w:rPr>
          <w:rStyle w:val="BodyText2"/>
          <w:rFonts w:ascii="Cambria" w:hAnsi="Cambria" w:cs="Times New Roman"/>
          <w:color w:val="auto"/>
          <w:sz w:val="20"/>
          <w:szCs w:val="20"/>
        </w:rPr>
        <w:t xml:space="preserve">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F63E27"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proofErr w:type="gramStart"/>
      <w:r w:rsidR="00C621D6" w:rsidRPr="001C50D7">
        <w:rPr>
          <w:color w:val="000000"/>
        </w:rPr>
        <w:t>First</w:t>
      </w:r>
      <w:proofErr w:type="gramEnd"/>
      <w:r w:rsidR="00C621D6" w:rsidRPr="001C50D7">
        <w:rPr>
          <w:color w:val="000000"/>
        </w:rPr>
        <w:t xml:space="preserve">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F63E27"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w:t>
      </w:r>
      <w:proofErr w:type="gramStart"/>
      <w:r>
        <w:t xml:space="preserve">Publishing </w:t>
      </w:r>
      <w:r w:rsidR="005D72BB">
        <w:t xml:space="preserve"> Policy</w:t>
      </w:r>
      <w:proofErr w:type="gramEnd"/>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w:t>
      </w:r>
      <w:proofErr w:type="gramStart"/>
      <w:r w:rsidR="00C11E83" w:rsidRPr="00D716BA">
        <w:rPr>
          <w:sz w:val="16"/>
          <w:szCs w:val="16"/>
        </w:rPr>
        <w:t>of</w:t>
      </w:r>
      <w:proofErr w:type="gramEnd"/>
      <w:r w:rsidR="00C11E83" w:rsidRPr="00D716BA">
        <w:rPr>
          <w:sz w:val="16"/>
          <w:szCs w:val="16"/>
        </w:rPr>
        <w:t xml:space="preserve">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proofErr w:type="gramStart"/>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proofErr w:type="gramStart"/>
      <w:r w:rsidR="00D716BA" w:rsidRPr="00D716BA">
        <w:rPr>
          <w:sz w:val="16"/>
          <w:szCs w:val="16"/>
        </w:rPr>
        <w:t>.</w:t>
      </w:r>
      <w:r w:rsidR="00D716BA" w:rsidRPr="00D716BA">
        <w:rPr>
          <w:i/>
          <w:sz w:val="16"/>
          <w:szCs w:val="16"/>
        </w:rPr>
        <w:t>XXX</w:t>
      </w:r>
      <w:r w:rsidR="00D716BA" w:rsidRPr="00D716BA">
        <w:rPr>
          <w:sz w:val="16"/>
          <w:szCs w:val="16"/>
        </w:rPr>
        <w:t>.123456</w:t>
      </w:r>
      <w:proofErr w:type="gramEnd"/>
      <w:r w:rsidR="00D716BA" w:rsidRPr="00D716BA">
        <w:rPr>
          <w:sz w:val="16"/>
          <w:szCs w:val="16"/>
        </w:rPr>
        <w:t>.</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proofErr w:type="gramStart"/>
      <w:r w:rsidRPr="00D716BA">
        <w:rPr>
          <w:i/>
          <w:iCs/>
          <w:sz w:val="16"/>
          <w:szCs w:val="16"/>
        </w:rPr>
        <w:t>xxx</w:t>
      </w:r>
      <w:proofErr w:type="gramEnd"/>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w:t>
      </w:r>
      <w:proofErr w:type="gramStart"/>
      <w:r w:rsidR="00ED1E14" w:rsidRPr="00ED1E14">
        <w:rPr>
          <w:color w:val="000000"/>
          <w:sz w:val="16"/>
          <w:szCs w:val="16"/>
        </w:rPr>
        <w:t>of</w:t>
      </w:r>
      <w:proofErr w:type="gramEnd"/>
      <w:r w:rsidR="00ED1E14" w:rsidRPr="00ED1E14">
        <w:rPr>
          <w:color w:val="000000"/>
          <w:sz w:val="16"/>
          <w:szCs w:val="16"/>
        </w:rPr>
        <w:t xml:space="preserve">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proofErr w:type="gramStart"/>
      <w:r>
        <w:rPr>
          <w:i/>
          <w:iCs/>
        </w:rPr>
        <w:t>The</w:t>
      </w:r>
      <w:proofErr w:type="gramEnd"/>
      <w:r>
        <w:rPr>
          <w:i/>
          <w:iCs/>
        </w:rPr>
        <w:t xml:space="preserv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proofErr w:type="gramStart"/>
      <w:r w:rsidR="001A60B1" w:rsidRPr="00D716BA">
        <w:rPr>
          <w:spacing w:val="-1"/>
          <w:sz w:val="16"/>
          <w:szCs w:val="16"/>
        </w:rPr>
        <w:t>y</w:t>
      </w:r>
      <w:r w:rsidR="001A60B1" w:rsidRPr="00D716BA">
        <w:rPr>
          <w:spacing w:val="1"/>
          <w:sz w:val="16"/>
          <w:szCs w:val="16"/>
        </w:rPr>
        <w:t>ear</w:t>
      </w:r>
      <w:proofErr w:type="gramEnd"/>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proofErr w:type="gramStart"/>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d</w:t>
      </w:r>
      <w:proofErr w:type="gramEnd"/>
      <w:r w:rsidR="001A60B1" w:rsidRPr="00D716BA">
        <w:rPr>
          <w:sz w:val="16"/>
          <w:szCs w:val="16"/>
        </w:rPr>
        <w:t xml:space="preserve">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proofErr w:type="gramStart"/>
      <w:r w:rsidRPr="00D716BA">
        <w:rPr>
          <w:spacing w:val="10"/>
          <w:sz w:val="16"/>
          <w:szCs w:val="16"/>
        </w:rPr>
        <w:t>c</w:t>
      </w:r>
      <w:r w:rsidR="001A60B1" w:rsidRPr="00D716BA">
        <w:rPr>
          <w:spacing w:val="10"/>
          <w:sz w:val="16"/>
          <w:szCs w:val="16"/>
        </w:rPr>
        <w:t>onferenc</w:t>
      </w:r>
      <w:r w:rsidR="001A60B1" w:rsidRPr="00D716BA">
        <w:rPr>
          <w:sz w:val="16"/>
          <w:szCs w:val="16"/>
        </w:rPr>
        <w:t>e</w:t>
      </w:r>
      <w:proofErr w:type="gramEnd"/>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J. K. Author. “Title of report,” Company. City, State, Country. Rep. no., (optional: vol</w:t>
      </w:r>
      <w:proofErr w:type="gramStart"/>
      <w:r w:rsidRPr="00735879">
        <w:rPr>
          <w:sz w:val="16"/>
          <w:szCs w:val="16"/>
        </w:rPr>
        <w:t>./</w:t>
      </w:r>
      <w:proofErr w:type="gramEnd"/>
      <w:r w:rsidRPr="00735879">
        <w:rPr>
          <w:sz w:val="16"/>
          <w:szCs w:val="16"/>
        </w:rPr>
        <w:t xml:space="preserve">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Legislative body. Number of Congress, Session. (</w:t>
      </w:r>
      <w:proofErr w:type="gramStart"/>
      <w:r w:rsidRPr="00735879">
        <w:rPr>
          <w:sz w:val="16"/>
          <w:szCs w:val="16"/>
        </w:rPr>
        <w:t>year</w:t>
      </w:r>
      <w:proofErr w:type="gramEnd"/>
      <w:r w:rsidRPr="00735879">
        <w:rPr>
          <w:sz w:val="16"/>
          <w:szCs w:val="16"/>
        </w:rPr>
        <w:t xml:space="preserve">,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ame of the invention, by inventor’s name. (</w:t>
      </w:r>
      <w:proofErr w:type="gramStart"/>
      <w:r w:rsidR="00C378A1" w:rsidRPr="00735879">
        <w:rPr>
          <w:sz w:val="16"/>
          <w:szCs w:val="16"/>
        </w:rPr>
        <w:t>year</w:t>
      </w:r>
      <w:proofErr w:type="gramEnd"/>
      <w:r w:rsidR="00C378A1" w:rsidRPr="00735879">
        <w:rPr>
          <w:sz w:val="16"/>
          <w:szCs w:val="16"/>
        </w:rPr>
        <w:t xml:space="preserve">,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t>.</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proofErr w:type="gramStart"/>
      <w:r w:rsidRPr="00735879">
        <w:rPr>
          <w:sz w:val="16"/>
          <w:szCs w:val="16"/>
        </w:rPr>
        <w:t>a</w:t>
      </w:r>
      <w:proofErr w:type="gramEnd"/>
      <w:r w:rsidRPr="00735879">
        <w:rPr>
          <w:sz w:val="16"/>
          <w:szCs w:val="16"/>
        </w:rPr>
        <w:t>)</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proofErr w:type="gramStart"/>
      <w:r>
        <w:rPr>
          <w:sz w:val="16"/>
          <w:szCs w:val="16"/>
        </w:rPr>
        <w:t>b</w:t>
      </w:r>
      <w:proofErr w:type="gramEnd"/>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xml:space="preserve">, vol. 91, no. 6, Aug. 2007, Art. </w:t>
      </w:r>
      <w:proofErr w:type="gramStart"/>
      <w:r w:rsidRPr="0076355A">
        <w:t>no</w:t>
      </w:r>
      <w:proofErr w:type="gramEnd"/>
      <w:r w:rsidRPr="0076355A">
        <w:t>.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xml:space="preserve">, Experimental demonstration of an impairment aware network planning and operation tool for </w:t>
      </w:r>
      <w:r w:rsidRPr="00F932B6">
        <w:t>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xml:space="preserve">.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w:t>
      </w:r>
      <w:proofErr w:type="gramStart"/>
      <w:r w:rsidR="00C75907">
        <w:rPr>
          <w:rFonts w:ascii="Times-Roman" w:hAnsi="Times-Roman" w:cs="Times-Roman"/>
        </w:rPr>
        <w:t>USA</w:t>
      </w:r>
      <w:proofErr w:type="gramEnd"/>
      <w:r w:rsidR="00C75907">
        <w:rPr>
          <w:rFonts w:ascii="Times-Roman" w:hAnsi="Times-Roman" w:cs="Times-Roman"/>
        </w:rPr>
        <w:t xml:space="preserve">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w:t>
      </w:r>
      <w:proofErr w:type="spellStart"/>
      <w:r w:rsidR="00693D5D" w:rsidRPr="00CD684F">
        <w:rPr>
          <w:rFonts w:ascii="Times-Roman" w:hAnsi="Times-Roman" w:cs="Times-Roman"/>
        </w:rPr>
        <w:t>Aeronomy</w:t>
      </w:r>
      <w:proofErr w:type="spellEnd"/>
      <w:r w:rsidR="00693D5D" w:rsidRPr="00CD684F">
        <w:rPr>
          <w:rFonts w:ascii="Times-Roman" w:hAnsi="Times-Roman" w:cs="Times-Roman"/>
        </w:rPr>
        <w:t xml:space="preserve">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4"/>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E27" w:rsidRDefault="00F63E27">
      <w:r>
        <w:separator/>
      </w:r>
    </w:p>
  </w:endnote>
  <w:endnote w:type="continuationSeparator" w:id="0">
    <w:p w:rsidR="00F63E27" w:rsidRDefault="00F63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E27" w:rsidRDefault="00F63E27"/>
  </w:footnote>
  <w:footnote w:type="continuationSeparator" w:id="0">
    <w:p w:rsidR="00F63E27" w:rsidRDefault="00F63E27">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0C46E7">
      <w:rPr>
        <w:noProof/>
      </w:rPr>
      <w:t>9</w:t>
    </w:r>
    <w:r>
      <w:fldChar w:fldCharType="end"/>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C46E7"/>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87371"/>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2331"/>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A6023"/>
    <w:rsid w:val="009B4BA8"/>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63D89"/>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3E27"/>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png"/><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image" Target="media/image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960BF-41FB-4DAA-BBE2-38763875B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19</TotalTime>
  <Pages>9</Pages>
  <Words>6110</Words>
  <Characters>34833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40862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Kevin Kuo</cp:lastModifiedBy>
  <cp:revision>5</cp:revision>
  <cp:lastPrinted>2012-08-02T18:53:00Z</cp:lastPrinted>
  <dcterms:created xsi:type="dcterms:W3CDTF">2017-04-17T21:36:00Z</dcterms:created>
  <dcterms:modified xsi:type="dcterms:W3CDTF">2017-04-17T21:55:00Z</dcterms:modified>
</cp:coreProperties>
</file>