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28"/>
          <w:szCs w:val="28"/>
        </w:rPr>
        <w:t xml:space="preserve">VANTYSE</w:t>
      </w:r>
    </w:p>
    <w:p>
      <w:pPr>
        <w:spacing w:after="300"/>
      </w:pPr>
      <w:r>
        <w:rPr>
          <w:i/>
          <w:iCs/>
          <w:color w:val="666666"/>
          <w:sz w:val="20"/>
          <w:szCs w:val="20"/>
        </w:rPr>
        <w:t xml:space="preserve">Conseil &amp; implémentation IA pour PME françaises</w:t>
      </w:r>
    </w:p>
    <w:p>
      <w:pPr>
        <w:pStyle w:val="Title"/>
        <w:spacing w:after="80"/>
      </w:pPr>
      <w:r>
        <w:t xml:space="preserve">Proposition commerciale</w:t>
      </w:r>
    </w:p>
    <w:p>
      <w:pPr>
        <w:spacing w:after="240"/>
      </w:pPr>
      <w:r>
        <w:rPr>
          <w:b/>
          <w:bCs/>
          <w:color w:val="1F3A5F"/>
          <w:sz w:val="24"/>
          <w:szCs w:val="24"/>
        </w:rPr>
        <w:t xml:space="preserve">Qualification et routage automatique des demandes entrantes</w:t>
      </w:r>
    </w:p>
    <w:p>
      <w:pPr>
        <w:spacing w:after="120"/>
      </w:pPr>
      <w:r>
        <w:rPr>
          <w:b/>
          <w:bCs/>
        </w:rPr>
        <w:t xml:space="preserve">Préparée pour : [Nom du cabinet]</w:t>
      </w:r>
    </w:p>
    <w:p>
      <w:pPr>
        <w:spacing w:after="120"/>
      </w:pPr>
      <w:r>
        <w:t xml:space="preserve">Préparée par : Vantyse</w:t>
      </w:r>
    </w:p>
    <w:p>
      <w:pPr>
        <w:spacing w:after="120"/>
      </w:pPr>
      <w:r>
        <w:t xml:space="preserve">Date : [Date]</w:t>
      </w:r>
    </w:p>
    <w:p>
      <w:pPr>
        <w:spacing w:after="120"/>
      </w:pPr>
      <w:r>
        <w:t xml:space="preserve">Validité de l'offre : 30 jours à compter de la date d'émission</w:t>
      </w:r>
    </w:p>
    <w:p>
      <w:pPr>
        <w:pBdr>
          <w:bottom w:val="single" w:color="999999" w:sz="6" w:space="1"/>
        </w:pBdr>
        <w:spacing w:after="200"/>
      </w:pPr>
    </w:p>
    <w:p>
      <w:pPr>
        <w:pStyle w:val="Heading1"/>
        <w:spacing w:after="150" w:before="300"/>
      </w:pPr>
      <w:r>
        <w:t xml:space="preserve">1. Contexte</w:t>
      </w:r>
    </w:p>
    <w:p>
      <w:pPr>
        <w:spacing w:after="120"/>
      </w:pPr>
      <w:r>
        <w:t xml:space="preserve">[Nom du cabinet] reçoit chaque semaine des demandes de mission par email (bornage, division parcellaire, implantation, copropriété, diagnostic) qui doivent aujourd'hui être lues, qualifiées et routées manuellement vers le bon géomètre associé par [nom du référent / secrétariat technique]. Ce traitement manuel retarde la réponse au client et représente une charge récurrente pour l'équipe administrative.</w:t>
      </w:r>
    </w:p>
    <w:p>
      <w:pPr>
        <w:spacing w:after="120"/>
      </w:pPr>
      <w:r>
        <w:t xml:space="preserve">Vantyse propose la mise en place d'un outil d'automatisation qui prend en charge la lecture, la qualification, le chiffrage indicatif et le routage de ces demandes entrantes, avec une réponse client accélérée.</w:t>
      </w:r>
    </w:p>
    <w:p>
      <w:pPr>
        <w:pStyle w:val="Heading1"/>
        <w:spacing w:after="150" w:before="300"/>
      </w:pPr>
      <w:r>
        <w:t xml:space="preserve">2. Périmètre inclus</w:t>
      </w:r>
    </w:p>
    <w:p>
      <w:pPr>
        <w:spacing w:after="120"/>
      </w:pPr>
      <w:r>
        <w:t xml:space="preserve">L'outil couvre l'ensemble du parcours d'une demande entrante, résumé ici en 12 étapes :</w:t>
      </w:r>
    </w:p>
    <w:p>
      <w:pPr>
        <w:spacing w:after="60"/>
      </w:pPr>
      <w:r>
        <w:t xml:space="preserve">1. Réception automatique de chaque nouvel email sur la boîte contact@ (ou boîte dédiée).</w:t>
      </w:r>
    </w:p>
    <w:p>
      <w:pPr>
        <w:spacing w:after="60"/>
      </w:pPr>
      <w:r>
        <w:t xml:space="preserve">2. Lecture et compréhension du contenu du message par intelligence artificielle.</w:t>
      </w:r>
    </w:p>
    <w:p>
      <w:pPr>
        <w:spacing w:after="60"/>
      </w:pPr>
      <w:r>
        <w:t xml:space="preserve">3. Extraction du type de prestation demandée (bornage, division, implantation, copropriété, diagnostic).</w:t>
      </w:r>
    </w:p>
    <w:p>
      <w:pPr>
        <w:spacing w:after="60"/>
      </w:pPr>
      <w:r>
        <w:t xml:space="preserve">4. Extraction de l'adresse et, si mentionnée, des références de parcelle.</w:t>
      </w:r>
    </w:p>
    <w:p>
      <w:pPr>
        <w:spacing w:after="60"/>
      </w:pPr>
      <w:r>
        <w:t xml:space="preserve">5. Détection du niveau d'urgence exprimé par le client.</w:t>
      </w:r>
    </w:p>
    <w:p>
      <w:pPr>
        <w:spacing w:after="60"/>
      </w:pPr>
      <w:r>
        <w:t xml:space="preserve">6. Extraction des coordonnées du client (nom, email, téléphone).</w:t>
      </w:r>
    </w:p>
    <w:p>
      <w:pPr>
        <w:spacing w:after="60"/>
      </w:pPr>
      <w:r>
        <w:t xml:space="preserve">7. Vérification que l'adresse est dans la zone d'intervention du cabinet.</w:t>
      </w:r>
    </w:p>
    <w:p>
      <w:pPr>
        <w:spacing w:after="60"/>
      </w:pPr>
      <w:r>
        <w:t xml:space="preserve">8. Calcul d'un devis indicatif à partir de la grille tarifaire interne du cabinet.</w:t>
      </w:r>
    </w:p>
    <w:p>
      <w:pPr>
        <w:spacing w:after="60"/>
      </w:pPr>
      <w:r>
        <w:t xml:space="preserve">9. Rédaction d'une réponse personnalisée : accusé de réception, devis indicatif, prochaines étapes.</w:t>
      </w:r>
    </w:p>
    <w:p>
      <w:pPr>
        <w:spacing w:after="60"/>
      </w:pPr>
      <w:r>
        <w:t xml:space="preserve">10. Envoi automatique de cette réponse au client.</w:t>
      </w:r>
    </w:p>
    <w:p>
      <w:pPr>
        <w:spacing w:after="60"/>
      </w:pPr>
      <w:r>
        <w:t xml:space="preserve">11. Journalisation de la demande dans un tableau de suivi partagé.</w:t>
      </w:r>
    </w:p>
    <w:p>
      <w:pPr>
        <w:spacing w:after="60"/>
      </w:pPr>
      <w:r>
        <w:t xml:space="preserve">12. Notification du géomètre associé concerné par la nouvelle demande.</w:t>
      </w:r>
    </w:p>
    <w:p>
      <w:pPr>
        <w:pStyle w:val="Heading1"/>
        <w:spacing w:after="150" w:before="300"/>
      </w:pPr>
      <w:r>
        <w:t xml:space="preserve">3. Périmètre exclu</w:t>
      </w:r>
    </w:p>
    <w:p>
      <w:pPr>
        <w:pStyle w:val="ListParagraph"/>
        <w:numPr>
          <w:ilvl w:val="0"/>
          <w:numId w:val="1"/>
        </w:numPr>
        <w:spacing w:after="60"/>
      </w:pPr>
      <w:r>
        <w:t xml:space="preserve">Refonte ou création du site web du cabinet.</w:t>
      </w:r>
    </w:p>
    <w:p>
      <w:pPr>
        <w:pStyle w:val="ListParagraph"/>
        <w:numPr>
          <w:ilvl w:val="0"/>
          <w:numId w:val="1"/>
        </w:numPr>
        <w:spacing w:after="60"/>
      </w:pPr>
      <w:r>
        <w:t xml:space="preserve">Reprise de l'historique des emails antérieurs à la mise en production.</w:t>
      </w:r>
    </w:p>
    <w:p>
      <w:pPr>
        <w:pStyle w:val="ListParagraph"/>
        <w:numPr>
          <w:ilvl w:val="0"/>
          <w:numId w:val="1"/>
        </w:numPr>
        <w:spacing w:after="60"/>
      </w:pPr>
      <w:r>
        <w:t xml:space="preserve">Négociation ou signature des devis définitifs (l'outil produit un chiffrage indicatif, pas un devis contractuel).</w:t>
      </w:r>
    </w:p>
    <w:p>
      <w:pPr>
        <w:pStyle w:val="ListParagraph"/>
        <w:numPr>
          <w:ilvl w:val="0"/>
          <w:numId w:val="1"/>
        </w:numPr>
        <w:spacing w:after="60"/>
      </w:pPr>
      <w:r>
        <w:t xml:space="preserve">Intégration à un logiciel métier autre que ceux listés en prérequis, sauf avenant.</w:t>
      </w:r>
    </w:p>
    <w:p>
      <w:pPr>
        <w:pStyle w:val="Heading1"/>
        <w:spacing w:after="150" w:before="300"/>
      </w:pPr>
      <w:r>
        <w:t xml:space="preserve">4. Livrables</w:t>
      </w:r>
    </w:p>
    <w:p>
      <w:pPr>
        <w:pStyle w:val="ListParagraph"/>
        <w:numPr>
          <w:ilvl w:val="0"/>
          <w:numId w:val="1"/>
        </w:numPr>
        <w:spacing w:after="60"/>
      </w:pPr>
      <w:r>
        <w:t xml:space="preserve">Outil d'automatisation configuré et déployé sur la boîte contact@ du cabinet.</w:t>
      </w:r>
    </w:p>
    <w:p>
      <w:pPr>
        <w:pStyle w:val="ListParagraph"/>
        <w:numPr>
          <w:ilvl w:val="0"/>
          <w:numId w:val="1"/>
        </w:numPr>
        <w:spacing w:after="60"/>
      </w:pPr>
      <w:r>
        <w:t xml:space="preserve">Tableau de suivi des demandes (Google Sheets) mis à jour automatiquement.</w:t>
      </w:r>
    </w:p>
    <w:p>
      <w:pPr>
        <w:pStyle w:val="ListParagraph"/>
        <w:numPr>
          <w:ilvl w:val="0"/>
          <w:numId w:val="1"/>
        </w:numPr>
        <w:spacing w:after="60"/>
      </w:pPr>
      <w:r>
        <w:t xml:space="preserve">Grille tarifaire indicative intégrée à l'outil.</w:t>
      </w:r>
    </w:p>
    <w:p>
      <w:pPr>
        <w:pStyle w:val="ListParagraph"/>
        <w:numPr>
          <w:ilvl w:val="0"/>
          <w:numId w:val="1"/>
        </w:numPr>
        <w:spacing w:after="60"/>
      </w:pPr>
      <w:r>
        <w:t xml:space="preserve">Documentation d'utilisation courte à destination du secrétariat technique.</w:t>
      </w:r>
    </w:p>
    <w:p>
      <w:pPr>
        <w:pStyle w:val="ListParagraph"/>
        <w:numPr>
          <w:ilvl w:val="0"/>
          <w:numId w:val="1"/>
        </w:numPr>
        <w:spacing w:after="60"/>
      </w:pPr>
      <w:r>
        <w:t xml:space="preserve">Session de formation de l'équipe.</w:t>
      </w:r>
    </w:p>
    <w:p>
      <w:pPr>
        <w:pStyle w:val="Heading1"/>
        <w:spacing w:after="150" w:before="300"/>
      </w:pPr>
      <w:r>
        <w:t xml:space="preserve">5. Planning indicatif (J+0 à J+9)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3A5F" w:val="clear"/>
            <w:tcMar>
              <w:top w:type="dxa" w:w="80"/>
              <w:left w:type="dxa" w:w="100"/>
              <w:bottom w:type="dxa" w:w="80"/>
              <w:right w:type="dxa" w:w="100"/>
            </w:tcMar>
            <w:vAlign w:val="center"/>
          </w:tcPr>
          <w:p>
            <w:r>
              <w:rPr>
                <w:b/>
                <w:bCs/>
              </w:rPr>
              <w:t xml:space="preserve">Jour</w:t>
            </w:r>
          </w:p>
        </w:tc>
        <w:tc>
          <w:tcPr>
            <w:tcW w:type="dxa" w:w="7300"/>
            <w:shd w:fill="1F3A5F" w:val="clear"/>
            <w:tcMar>
              <w:top w:type="dxa" w:w="80"/>
              <w:left w:type="dxa" w:w="100"/>
              <w:bottom w:type="dxa" w:w="80"/>
              <w:right w:type="dxa" w:w="100"/>
            </w:tcMar>
            <w:vAlign w:val="center"/>
          </w:tcPr>
          <w:p>
            <w:r>
              <w:rPr>
                <w:b/>
                <w:bCs/>
              </w:rPr>
              <w:t xml:space="preserve">Étape</w:t>
            </w:r>
          </w:p>
        </w:tc>
      </w:tr>
      <w:tr>
        <w:tc>
          <w:tcPr>
            <w:tcW w:type="dxa" w:w="2200"/>
            <w:tcMar>
              <w:top w:type="dxa" w:w="80"/>
              <w:left w:type="dxa" w:w="100"/>
              <w:bottom w:type="dxa" w:w="80"/>
              <w:right w:type="dxa" w:w="100"/>
            </w:tcMar>
            <w:vAlign w:val="center"/>
          </w:tcPr>
          <w:p>
            <w:r>
              <w:rPr>
                <w:b w:val="false"/>
                <w:bCs w:val="false"/>
              </w:rPr>
              <w:t xml:space="preserve">J+0</w:t>
            </w:r>
          </w:p>
        </w:tc>
        <w:tc>
          <w:tcPr>
            <w:tcW w:type="dxa" w:w="7300"/>
            <w:tcMar>
              <w:top w:type="dxa" w:w="80"/>
              <w:left w:type="dxa" w:w="100"/>
              <w:bottom w:type="dxa" w:w="80"/>
              <w:right w:type="dxa" w:w="100"/>
            </w:tcMar>
            <w:vAlign w:val="center"/>
          </w:tcPr>
          <w:p>
            <w:r>
              <w:rPr>
                <w:b w:val="false"/>
                <w:bCs w:val="false"/>
              </w:rPr>
              <w:t xml:space="preserve">Lancement : accès boîte email, accès Google Workspace, recueil de la grille tarifaire et des zones d'intervention</w:t>
            </w:r>
          </w:p>
        </w:tc>
      </w:tr>
      <w:tr>
        <w:tc>
          <w:tcPr>
            <w:tcW w:type="dxa" w:w="2200"/>
            <w:shd w:fill="EAF0F6" w:val="clear"/>
            <w:tcMar>
              <w:top w:type="dxa" w:w="80"/>
              <w:left w:type="dxa" w:w="100"/>
              <w:bottom w:type="dxa" w:w="80"/>
              <w:right w:type="dxa" w:w="100"/>
            </w:tcMar>
            <w:vAlign w:val="center"/>
          </w:tcPr>
          <w:p>
            <w:r>
              <w:rPr>
                <w:b w:val="false"/>
                <w:bCs w:val="false"/>
              </w:rPr>
              <w:t xml:space="preserve">J+1 à J+3</w:t>
            </w:r>
          </w:p>
        </w:tc>
        <w:tc>
          <w:tcPr>
            <w:tcW w:type="dxa" w:w="7300"/>
            <w:shd w:fill="EAF0F6" w:val="clear"/>
            <w:tcMar>
              <w:top w:type="dxa" w:w="80"/>
              <w:left w:type="dxa" w:w="100"/>
              <w:bottom w:type="dxa" w:w="80"/>
              <w:right w:type="dxa" w:w="100"/>
            </w:tcMar>
            <w:vAlign w:val="center"/>
          </w:tcPr>
          <w:p>
            <w:r>
              <w:rPr>
                <w:b w:val="false"/>
                <w:bCs w:val="false"/>
              </w:rPr>
              <w:t xml:space="preserve">Construction du module d'extraction et de qualification des demandes</w:t>
            </w:r>
          </w:p>
        </w:tc>
      </w:tr>
      <w:tr>
        <w:tc>
          <w:tcPr>
            <w:tcW w:type="dxa" w:w="2200"/>
            <w:tcMar>
              <w:top w:type="dxa" w:w="80"/>
              <w:left w:type="dxa" w:w="100"/>
              <w:bottom w:type="dxa" w:w="80"/>
              <w:right w:type="dxa" w:w="100"/>
            </w:tcMar>
            <w:vAlign w:val="center"/>
          </w:tcPr>
          <w:p>
            <w:r>
              <w:rPr>
                <w:b w:val="false"/>
                <w:bCs w:val="false"/>
              </w:rPr>
              <w:t xml:space="preserve">J+4 à J+5</w:t>
            </w:r>
          </w:p>
        </w:tc>
        <w:tc>
          <w:tcPr>
            <w:tcW w:type="dxa" w:w="7300"/>
            <w:tcMar>
              <w:top w:type="dxa" w:w="80"/>
              <w:left w:type="dxa" w:w="100"/>
              <w:bottom w:type="dxa" w:w="80"/>
              <w:right w:type="dxa" w:w="100"/>
            </w:tcMar>
            <w:vAlign w:val="center"/>
          </w:tcPr>
          <w:p>
            <w:r>
              <w:rPr>
                <w:b w:val="false"/>
                <w:bCs w:val="false"/>
              </w:rPr>
              <w:t xml:space="preserve">Construction du module de chiffrage indicatif et de rédaction de réponse</w:t>
            </w:r>
          </w:p>
        </w:tc>
      </w:tr>
      <w:tr>
        <w:tc>
          <w:tcPr>
            <w:tcW w:type="dxa" w:w="2200"/>
            <w:shd w:fill="EAF0F6" w:val="clear"/>
            <w:tcMar>
              <w:top w:type="dxa" w:w="80"/>
              <w:left w:type="dxa" w:w="100"/>
              <w:bottom w:type="dxa" w:w="80"/>
              <w:right w:type="dxa" w:w="100"/>
            </w:tcMar>
            <w:vAlign w:val="center"/>
          </w:tcPr>
          <w:p>
            <w:r>
              <w:rPr>
                <w:b w:val="false"/>
                <w:bCs w:val="false"/>
              </w:rPr>
              <w:t xml:space="preserve">J+6 à J+7</w:t>
            </w:r>
          </w:p>
        </w:tc>
        <w:tc>
          <w:tcPr>
            <w:tcW w:type="dxa" w:w="7300"/>
            <w:shd w:fill="EAF0F6" w:val="clear"/>
            <w:tcMar>
              <w:top w:type="dxa" w:w="80"/>
              <w:left w:type="dxa" w:w="100"/>
              <w:bottom w:type="dxa" w:w="80"/>
              <w:right w:type="dxa" w:w="100"/>
            </w:tcMar>
            <w:vAlign w:val="center"/>
          </w:tcPr>
          <w:p>
            <w:r>
              <w:rPr>
                <w:b w:val="false"/>
                <w:bCs w:val="false"/>
              </w:rPr>
              <w:t xml:space="preserve">Construction du routage vers les géomètres et de la journalisation</w:t>
            </w:r>
          </w:p>
        </w:tc>
      </w:tr>
      <w:tr>
        <w:tc>
          <w:tcPr>
            <w:tcW w:type="dxa" w:w="2200"/>
            <w:tcMar>
              <w:top w:type="dxa" w:w="80"/>
              <w:left w:type="dxa" w:w="100"/>
              <w:bottom w:type="dxa" w:w="80"/>
              <w:right w:type="dxa" w:w="100"/>
            </w:tcMar>
            <w:vAlign w:val="center"/>
          </w:tcPr>
          <w:p>
            <w:r>
              <w:rPr>
                <w:b w:val="false"/>
                <w:bCs w:val="false"/>
              </w:rPr>
              <w:t xml:space="preserve">J+8</w:t>
            </w:r>
          </w:p>
        </w:tc>
        <w:tc>
          <w:tcPr>
            <w:tcW w:type="dxa" w:w="7300"/>
            <w:tcMar>
              <w:top w:type="dxa" w:w="80"/>
              <w:left w:type="dxa" w:w="100"/>
              <w:bottom w:type="dxa" w:w="80"/>
              <w:right w:type="dxa" w:w="100"/>
            </w:tcMar>
            <w:vAlign w:val="center"/>
          </w:tcPr>
          <w:p>
            <w:r>
              <w:rPr>
                <w:b w:val="false"/>
                <w:bCs w:val="false"/>
              </w:rPr>
              <w:t xml:space="preserve">Tests et recette avec le cabinet</w:t>
            </w:r>
          </w:p>
        </w:tc>
      </w:tr>
      <w:tr>
        <w:tc>
          <w:tcPr>
            <w:tcW w:type="dxa" w:w="2200"/>
            <w:shd w:fill="EAF0F6" w:val="clear"/>
            <w:tcMar>
              <w:top w:type="dxa" w:w="80"/>
              <w:left w:type="dxa" w:w="100"/>
              <w:bottom w:type="dxa" w:w="80"/>
              <w:right w:type="dxa" w:w="100"/>
            </w:tcMar>
            <w:vAlign w:val="center"/>
          </w:tcPr>
          <w:p>
            <w:r>
              <w:rPr>
                <w:b w:val="false"/>
                <w:bCs w:val="false"/>
              </w:rPr>
              <w:t xml:space="preserve">J+9</w:t>
            </w:r>
          </w:p>
        </w:tc>
        <w:tc>
          <w:tcPr>
            <w:tcW w:type="dxa" w:w="7300"/>
            <w:shd w:fill="EAF0F6" w:val="clear"/>
            <w:tcMar>
              <w:top w:type="dxa" w:w="80"/>
              <w:left w:type="dxa" w:w="100"/>
              <w:bottom w:type="dxa" w:w="80"/>
              <w:right w:type="dxa" w:w="100"/>
            </w:tcMar>
            <w:vAlign w:val="center"/>
          </w:tcPr>
          <w:p>
            <w:r>
              <w:rPr>
                <w:b w:val="false"/>
                <w:bCs w:val="false"/>
              </w:rPr>
              <w:t xml:space="preserve">Mise en production et formation de l'équipe</w:t>
            </w:r>
          </w:p>
        </w:tc>
      </w:tr>
    </w:tbl>
    <w:p>
      <w:pPr>
        <w:spacing w:after="200"/>
      </w:pPr>
    </w:p>
    <w:p>
      <w:pPr>
        <w:pStyle w:val="Heading1"/>
        <w:spacing w:after="150" w:before="300"/>
      </w:pPr>
      <w:r>
        <w:t xml:space="preserve">6. Prix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shd w:fill="1F3A5F" w:val="clear"/>
            <w:tcMar>
              <w:top w:type="dxa" w:w="80"/>
              <w:left w:type="dxa" w:w="100"/>
              <w:bottom w:type="dxa" w:w="80"/>
              <w:right w:type="dxa" w:w="100"/>
            </w:tcMar>
            <w:vAlign w:val="center"/>
          </w:tcPr>
          <w:p>
            <w:r>
              <w:rPr>
                <w:b/>
                <w:bCs/>
              </w:rPr>
              <w:t xml:space="preserve">Poste</w:t>
            </w:r>
          </w:p>
        </w:tc>
        <w:tc>
          <w:tcPr>
            <w:tcW w:type="dxa" w:w="3500"/>
            <w:shd w:fill="1F3A5F" w:val="clear"/>
            <w:tcMar>
              <w:top w:type="dxa" w:w="80"/>
              <w:left w:type="dxa" w:w="100"/>
              <w:bottom w:type="dxa" w:w="80"/>
              <w:right w:type="dxa" w:w="100"/>
            </w:tcMar>
            <w:vAlign w:val="center"/>
          </w:tcPr>
          <w:p>
            <w:r>
              <w:rPr>
                <w:b/>
                <w:bCs/>
              </w:rPr>
              <w:t xml:space="preserve">Montant HT</w:t>
            </w:r>
          </w:p>
        </w:tc>
      </w:tr>
      <w:tr>
        <w:tc>
          <w:tcPr>
            <w:tcW w:type="dxa" w:w="6000"/>
            <w:tcMar>
              <w:top w:type="dxa" w:w="80"/>
              <w:left w:type="dxa" w:w="100"/>
              <w:bottom w:type="dxa" w:w="80"/>
              <w:right w:type="dxa" w:w="100"/>
            </w:tcMar>
            <w:vAlign w:val="center"/>
          </w:tcPr>
          <w:p>
            <w:r>
              <w:rPr>
                <w:b w:val="false"/>
                <w:bCs w:val="false"/>
              </w:rPr>
              <w:t xml:space="preserve">Mise en place complète (one-shot)</w:t>
            </w:r>
          </w:p>
        </w:tc>
        <w:tc>
          <w:tcPr>
            <w:tcW w:type="dxa" w:w="3500"/>
            <w:tcMar>
              <w:top w:type="dxa" w:w="80"/>
              <w:left w:type="dxa" w:w="100"/>
              <w:bottom w:type="dxa" w:w="80"/>
              <w:right w:type="dxa" w:w="100"/>
            </w:tcMar>
            <w:vAlign w:val="center"/>
          </w:tcPr>
          <w:p>
            <w:r>
              <w:rPr>
                <w:b/>
                <w:bCs/>
              </w:rPr>
              <w:t xml:space="preserve">7 500 €</w:t>
            </w:r>
          </w:p>
        </w:tc>
      </w:tr>
      <w:tr>
        <w:tc>
          <w:tcPr>
            <w:tcW w:type="dxa" w:w="6000"/>
            <w:tcMar>
              <w:top w:type="dxa" w:w="80"/>
              <w:left w:type="dxa" w:w="100"/>
              <w:bottom w:type="dxa" w:w="80"/>
              <w:right w:type="dxa" w:w="100"/>
            </w:tcMar>
            <w:vAlign w:val="center"/>
          </w:tcPr>
          <w:p>
            <w:r>
              <w:rPr>
                <w:b w:val="false"/>
                <w:bCs w:val="false"/>
              </w:rPr>
              <w:t xml:space="preserve">Option run mensuel (monitoring, maintenance, évolutions mineures, support N1)</w:t>
            </w:r>
          </w:p>
        </w:tc>
        <w:tc>
          <w:tcPr>
            <w:tcW w:type="dxa" w:w="3500"/>
            <w:tcMar>
              <w:top w:type="dxa" w:w="80"/>
              <w:left w:type="dxa" w:w="100"/>
              <w:bottom w:type="dxa" w:w="80"/>
              <w:right w:type="dxa" w:w="100"/>
            </w:tcMar>
            <w:vAlign w:val="center"/>
          </w:tcPr>
          <w:p>
            <w:r>
              <w:rPr>
                <w:b/>
                <w:bCs/>
              </w:rPr>
              <w:t xml:space="preserve">750 €/mois</w:t>
            </w:r>
          </w:p>
        </w:tc>
      </w:tr>
      <w:tr>
        <w:tc>
          <w:tcPr>
            <w:tcW w:type="dxa" w:w="6000"/>
            <w:tcMar>
              <w:top w:type="dxa" w:w="80"/>
              <w:left w:type="dxa" w:w="100"/>
              <w:bottom w:type="dxa" w:w="80"/>
              <w:right w:type="dxa" w:w="100"/>
            </w:tcMar>
            <w:vAlign w:val="center"/>
          </w:tcPr>
          <w:p>
            <w:r>
              <w:rPr>
                <w:b w:val="false"/>
                <w:bCs w:val="false"/>
              </w:rPr>
              <w:t xml:space="preserve">Option MVP 7 jours (scope réduit, sans support post-livraison)</w:t>
            </w:r>
          </w:p>
        </w:tc>
        <w:tc>
          <w:tcPr>
            <w:tcW w:type="dxa" w:w="3500"/>
            <w:tcMar>
              <w:top w:type="dxa" w:w="80"/>
              <w:left w:type="dxa" w:w="100"/>
              <w:bottom w:type="dxa" w:w="80"/>
              <w:right w:type="dxa" w:w="100"/>
            </w:tcMar>
            <w:vAlign w:val="center"/>
          </w:tcPr>
          <w:p>
            <w:r>
              <w:rPr>
                <w:b/>
                <w:bCs/>
              </w:rPr>
              <w:t xml:space="preserve">2 600 €</w:t>
            </w:r>
          </w:p>
        </w:tc>
      </w:tr>
    </w:tbl>
    <w:p>
      <w:pPr>
        <w:spacing w:after="200" w:before="150"/>
      </w:pPr>
      <w:r>
        <w:rPr>
          <w:i/>
          <w:iCs/>
          <w:sz w:val="20"/>
          <w:szCs w:val="20"/>
        </w:rPr>
        <w:t xml:space="preserve">L'option MVP est une alternative au forfait one-shot, pas un complément : elle permet de tester l'outil sur un périmètre réduit avant d'engager le déploiement complet.</w:t>
      </w:r>
    </w:p>
    <w:p>
      <w:pPr>
        <w:pStyle w:val="Heading1"/>
        <w:spacing w:after="150" w:before="300"/>
      </w:pPr>
      <w:r>
        <w:t xml:space="preserve">7. Modalités de paiement</w:t>
      </w:r>
    </w:p>
    <w:p>
      <w:pPr>
        <w:pStyle w:val="ListParagraph"/>
        <w:numPr>
          <w:ilvl w:val="0"/>
          <w:numId w:val="1"/>
        </w:numPr>
        <w:spacing w:after="60"/>
      </w:pPr>
      <w:r>
        <w:t xml:space="preserve">30 % à la commande</w:t>
      </w:r>
    </w:p>
    <w:p>
      <w:pPr>
        <w:pStyle w:val="ListParagraph"/>
        <w:numPr>
          <w:ilvl w:val="0"/>
          <w:numId w:val="1"/>
        </w:numPr>
        <w:spacing w:after="60"/>
      </w:pPr>
      <w:r>
        <w:t xml:space="preserve">40 % à la livraison du MVP ou à mi-parcours</w:t>
      </w:r>
    </w:p>
    <w:p>
      <w:pPr>
        <w:pStyle w:val="ListParagraph"/>
        <w:numPr>
          <w:ilvl w:val="0"/>
          <w:numId w:val="1"/>
        </w:numPr>
        <w:spacing w:after="60"/>
      </w:pPr>
      <w:r>
        <w:t xml:space="preserve">30 % à la recette finale</w:t>
      </w:r>
    </w:p>
    <w:p>
      <w:pPr>
        <w:pStyle w:val="Heading1"/>
        <w:spacing w:after="150" w:before="300"/>
      </w:pPr>
      <w:r>
        <w:t xml:space="preserve">8. Prérequis côté client</w:t>
      </w:r>
    </w:p>
    <w:p>
      <w:pPr>
        <w:pStyle w:val="ListParagraph"/>
        <w:numPr>
          <w:ilvl w:val="0"/>
          <w:numId w:val="1"/>
        </w:numPr>
        <w:spacing w:after="60"/>
      </w:pPr>
      <w:r>
        <w:t xml:space="preserve">Accès à la boîte email contact@ (ou une boîte dédiée à cet usage).</w:t>
      </w:r>
    </w:p>
    <w:p>
      <w:pPr>
        <w:pStyle w:val="ListParagraph"/>
        <w:numPr>
          <w:ilvl w:val="0"/>
          <w:numId w:val="1"/>
        </w:numPr>
        <w:spacing w:after="60"/>
      </w:pPr>
      <w:r>
        <w:t xml:space="preserve">Accès à Google Workspace (Google Sheets) pour le tableau de suivi.</w:t>
      </w:r>
    </w:p>
    <w:p>
      <w:pPr>
        <w:pStyle w:val="ListParagraph"/>
        <w:numPr>
          <w:ilvl w:val="0"/>
          <w:numId w:val="1"/>
        </w:numPr>
        <w:spacing w:after="60"/>
      </w:pPr>
      <w:r>
        <w:t xml:space="preserve">Un référent désigné côté cabinet pour le cadrage et la recette.</w:t>
      </w:r>
    </w:p>
    <w:p>
      <w:pPr>
        <w:pStyle w:val="ListParagraph"/>
        <w:numPr>
          <w:ilvl w:val="0"/>
          <w:numId w:val="1"/>
        </w:numPr>
        <w:spacing w:after="60"/>
      </w:pPr>
      <w:r>
        <w:t xml:space="preserve">Une grille tarifaire indicative existante, ou à formaliser ensemble en phase de cadrage.</w:t>
      </w:r>
    </w:p>
    <w:p>
      <w:pPr>
        <w:pStyle w:val="Heading1"/>
        <w:spacing w:after="150" w:before="300"/>
      </w:pPr>
      <w:r>
        <w:t xml:space="preserve">9. Garanties</w:t>
      </w:r>
    </w:p>
    <w:p>
      <w:pPr>
        <w:pStyle w:val="ListParagraph"/>
        <w:numPr>
          <w:ilvl w:val="0"/>
          <w:numId w:val="1"/>
        </w:numPr>
        <w:spacing w:after="60"/>
      </w:pPr>
      <w:r>
        <w:t xml:space="preserve">Recette contradictoire à la livraison : l'outil est validé conjointement avant mise en production définitive.</w:t>
      </w:r>
    </w:p>
    <w:p>
      <w:pPr>
        <w:pStyle w:val="ListParagraph"/>
        <w:numPr>
          <w:ilvl w:val="0"/>
          <w:numId w:val="1"/>
        </w:numPr>
        <w:spacing w:after="60"/>
      </w:pPr>
      <w:r>
        <w:t xml:space="preserve">30 jours de support inclus après la livraison, sans surcoût.</w:t>
      </w:r>
    </w:p>
    <w:p>
      <w:pPr>
        <w:pStyle w:val="Heading1"/>
        <w:spacing w:after="150" w:before="300"/>
      </w:pPr>
      <w:r>
        <w:t xml:space="preserve">10. Validité</w:t>
      </w:r>
    </w:p>
    <w:p>
      <w:pPr>
        <w:spacing w:after="120"/>
      </w:pPr>
      <w:r>
        <w:t xml:space="preserve">Cette proposition est valable 30 jours à compter de sa date d'émission.</w:t>
      </w:r>
    </w:p>
    <w:p>
      <w:pPr>
        <w:pBdr>
          <w:bottom w:val="single" w:color="999999" w:sz="6" w:space="1"/>
        </w:pBdr>
        <w:spacing w:after="200"/>
      </w:pPr>
    </w:p>
    <w:p>
      <w:pPr>
        <w:pStyle w:val="Heading1"/>
        <w:spacing w:after="150" w:before="300"/>
      </w:pPr>
      <w:r>
        <w:t xml:space="preserve">Signatures</w:t>
      </w:r>
    </w:p>
    <w:p>
      <w:pPr>
        <w:spacing w:after="100" w:before="200"/>
      </w:pPr>
      <w:r>
        <w:rPr>
          <w:b/>
          <w:bCs/>
        </w:rPr>
        <w:t xml:space="preserve">Pour [Nom du cabinet]</w:t>
      </w:r>
    </w:p>
    <w:p>
      <w:pPr>
        <w:spacing w:after="120"/>
      </w:pPr>
      <w:r>
        <w:t xml:space="preserve">Nom : ______________________</w:t>
      </w:r>
    </w:p>
    <w:p>
      <w:pPr>
        <w:spacing w:after="120"/>
      </w:pPr>
      <w:r>
        <w:t xml:space="preserve">Date : ______________________</w:t>
      </w:r>
    </w:p>
    <w:p>
      <w:pPr>
        <w:spacing w:after="120"/>
      </w:pPr>
      <w:r>
        <w:t xml:space="preserve">Signature :</w:t>
      </w:r>
    </w:p>
    <w:p>
      <w:pPr>
        <w:spacing w:after="100" w:before="200"/>
      </w:pPr>
      <w:r>
        <w:rPr>
          <w:b/>
          <w:bCs/>
        </w:rPr>
        <w:t xml:space="preserve">Pour Vantyse</w:t>
      </w:r>
    </w:p>
    <w:p>
      <w:pPr>
        <w:spacing w:after="120"/>
      </w:pPr>
      <w:r>
        <w:t xml:space="preserve">Nom : ______________________</w:t>
      </w:r>
    </w:p>
    <w:p>
      <w:pPr>
        <w:spacing w:after="120"/>
      </w:pPr>
      <w:r>
        <w:t xml:space="preserve">Date : ______________________</w:t>
      </w:r>
    </w:p>
    <w:p>
      <w:pPr>
        <w:spacing w:after="120"/>
      </w:pPr>
      <w:r>
        <w:t xml:space="preserve">Signature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2026-08-12T07:22:06.640Z</dcterms:created>
  <dcterms:modified xsi:type="dcterms:W3CDTF">2026-08-12T07:22:06.641Z</dcterms:modified>
</cp:coreProperties>
</file>

<file path=docProps/custom.xml><?xml version="1.0" encoding="utf-8"?>
<Properties xmlns="http://schemas.openxmlformats.org/officeDocument/2006/custom-properties" xmlns:vt="http://schemas.openxmlformats.org/officeDocument/2006/docPropsVTypes"/>
</file>