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VANTYSE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Cabinet de conseil et implémentation IA pour PME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Proposition commerciale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Automatisation du traitement des factures fournisseurs de pièces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Document valable 30 jours à compter de sa date d'émission.</w:t>
      </w:r>
    </w:p>
    <w:p>
      <w:pPr>
        <w:pBdr>
          <w:bottom w:val="single" w:color="CCCCCC" w:sz="6"/>
        </w:pBdr>
        <w:spacing w:after="2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Contexte client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[Champ à personnaliser à l'audit — modèle générique de bibliothèque interne, ne pas envoyer tel quel.]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Garage indépendant de 10 à 50 salariés, recevant régulièrement des factures fournisseurs de pièces détachées par email (PDF) de plusieurs fournisseurs, actuellement ressaisies manuellement dans le logiciel de gestion d'atelier avant transmission à l'expert-comptable.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Périmètre inclus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Surveillance automatique d'une boîte email dédiée à la réception des factures fournisseurs (jusqu'à 5 fournisseurs sources)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Extraction automatique des champs clés de chaque facture (fournisseur, numéro, date, montant HT, TVA, montant TTC)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Contrôle de cohérence automatique (HT + TVA = TTC) avec alerte en cas d'écart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Enregistrement centralisé dans un registre (Google Sheets ou équivalent fourni par le client)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Classement et archivage automatique des PDF (par fournisseur / par mois)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Alerte email ou Slack pour les factures incohérentes ou dépassant un seuil de montant défini avec vous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1 export mensuel formaté, prêt à transmettre à votre comptable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Formation à l'usage (1 session, jusqu'à 2 personnes)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Documentation utilisateur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Périmètre exclu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Intégration directe avec le logiciel de gestion d'atelier (GIPA, EurêkaSOFT, Winbiz...) au-delà d'un export standard — possible en évolution ultérieure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Rapprochement bancaire automatique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Gestion des factures clients / devis (périmètre distinct)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Interfaçage direct avec un logiciel comptable tiers (export standardisé fourni, connexion directe hors périmètre)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Livrables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Workflow d'automatisation opérationnel (environnement n8n dédié)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Registre de suivi des factures (accès client)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Documentation d'architecture et guide utilisateur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1 session de formation (1h30)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Planning indicatif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600"/>
      </w:tblGrid>
      <w:tr>
        <w:trPr>
          <w:tblHeader/>
        </w:trPr>
        <w:tc>
          <w:tcPr>
            <w:tcW w:type="dxa" w:w="7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Jalon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Délai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Cadrage (accès boîte email, exemples de factures, seuils de validation)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J+0 à J+2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Construction du workflow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J+2 à J+6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Tests sur factures réelles + ajustements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J+6 à J+8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Livraison, formation, mise en production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J+8</w:t>
            </w:r>
          </w:p>
        </w:tc>
      </w:tr>
    </w:tbl>
    <w:p>
      <w:pPr>
        <w:spacing w:after="200" w:before="1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Délai total estimé : 8 jours ouvrés à compter de la validation du cadrage et de la mise à disposition des accès nécessaires.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Prix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600"/>
      </w:tblGrid>
      <w:tr>
        <w:trPr>
          <w:tblHeader/>
        </w:trPr>
        <w:tc>
          <w:tcPr>
            <w:tcW w:type="dxa" w:w="7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Montant HT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Prestation one-shot (mise en place complète)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7 200 €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Option run mensuel (monitoring, maintenance, évolutions mineures, support)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720 €/mois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Option MVP réduit 7 jours (scope restreint, sans support post-livraison)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2 520 €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Coût technique de fonctionnement estimé à la charge du client (API, hébergement) : environ 40 €/mois, inclus dans l'option run mensuel ou facturable séparément si le client héberge lui-même.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Modalités de paiement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30 % à la commande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40 % à la livraison du workflow testé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30 % à la validation finale (30 jours après mise en production)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Prérequis client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Accès à la boîte email de réception des factures fournisseurs (ou boîte dédiée créée pour l'occasion)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10 à 20 exemples de factures réelles anonymisables pour le calibrage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Un référent côté client disponible pour le cadrage et la recette (2-3h au total sur la mission)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Accès en écriture à un espace de stockage (Google Drive ou équivalent)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Garanties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Recette contradictoire avant validation finale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30 jours de support inclus après mise en production pour tout dysfonctionnement du périmètre livré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Code et configuration du workflow transmis au client (pas de dépendance propriétaire bloquante)</w:t>
      </w:r>
    </w:p>
    <w:p>
      <w:pPr>
        <w:pBdr>
          <w:bottom w:val="single" w:color="CCCCCC" w:sz="6"/>
        </w:pBdr>
        <w:spacing w:after="200" w:before="1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Validité de l'offre : 30 jours à compter de la date d'émission.</w:t>
      </w:r>
    </w:p>
    <w:p>
      <w:pPr>
        <w:spacing w:before="300"/>
      </w:pPr>
      <w:r>
        <w:rPr>
          <w:rFonts w:ascii="Calibri" w:cs="Calibri" w:eastAsia="Calibri" w:hAnsi="Calibri"/>
          <w:sz w:val="21"/>
          <w:szCs w:val="21"/>
        </w:rPr>
        <w:t xml:space="preserve">Fait à ______________, le ______________</w:t>
      </w:r>
    </w:p>
    <w:p>
      <w:pPr>
        <w:spacing w:after="60" w:before="300"/>
      </w:pPr>
      <w:r>
        <w:rPr>
          <w:rFonts w:ascii="Calibri" w:cs="Calibri" w:eastAsia="Calibri" w:hAnsi="Calibri"/>
          <w:sz w:val="21"/>
          <w:szCs w:val="21"/>
        </w:rPr>
        <w:t xml:space="preserve">Pour Vantyse : _____________________</w:t>
      </w:r>
    </w:p>
    <w:p>
      <w:r>
        <w:rPr>
          <w:rFonts w:ascii="Calibri" w:cs="Calibri" w:eastAsia="Calibri" w:hAnsi="Calibri"/>
          <w:sz w:val="21"/>
          <w:szCs w:val="21"/>
        </w:rPr>
        <w:t xml:space="preserve">Pour le client : _____________________ (signature précédée de la mention « bon pour accord »)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2026-08-09T22:19:55.647Z</dcterms:created>
  <dcterms:modified xsi:type="dcterms:W3CDTF">2026-08-09T22:19:55.647Z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