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Proposition commerciale</w:t>
      </w:r>
    </w:p>
    <w:p>
      <w:pPr>
        <w:spacing w:after="60"/>
      </w:pPr>
      <w:r>
        <w:rPr>
          <w:color w:val="555555"/>
          <w:sz w:val="24"/>
          <w:szCs w:val="24"/>
        </w:rPr>
        <w:t xml:space="preserve">Vantyse — Conseil et implémentation IA pour PME</w:t>
      </w:r>
    </w:p>
    <w:p>
      <w:pPr>
        <w:spacing w:after="120"/>
      </w:pPr>
      <w:r>
        <w:t xml:space="preserve">Objet : Automatisation de la relance des devis de mission</w:t>
      </w:r>
    </w:p>
    <w:p>
      <w:pPr>
        <w:spacing w:after="120"/>
      </w:pPr>
      <w:r>
        <w:t xml:space="preserve">Date de validité : 30 jours à compter de l'émission</w:t>
      </w:r>
    </w:p>
    <w:p>
      <w:pPr>
        <w:pStyle w:val="Heading1"/>
        <w:spacing w:after="150" w:before="300"/>
      </w:pPr>
      <w:r>
        <w:t xml:space="preserve">1. Contexte</w:t>
      </w:r>
    </w:p>
    <w:p>
      <w:pPr>
        <w:spacing w:after="120"/>
      </w:pPr>
      <w:r>
        <w:t xml:space="preserve">Votre bureau d'études envoie des devis de mission (structure, thermique, fluides) à des maîtres d'ouvrage et des architectes. Une partie significative reste sans réponse faute de relance systématique, ce qui représente des missions potentiellement perdues sans qu'aucune décision n'ait été prise côté client.</w:t>
      </w:r>
    </w:p>
    <w:p>
      <w:pPr>
        <w:pStyle w:val="Heading1"/>
        <w:spacing w:after="150" w:before="300"/>
      </w:pPr>
      <w:r>
        <w:t xml:space="preserve">2. Périmètre inclus</w:t>
      </w:r>
    </w:p>
    <w:p>
      <w:pPr>
        <w:pStyle w:val="ListParagraph"/>
        <w:numPr>
          <w:ilvl w:val="0"/>
          <w:numId w:val="1"/>
        </w:numPr>
        <w:spacing w:after="80"/>
      </w:pPr>
      <w:r>
        <w:t xml:space="preserve">Connexion à votre messagerie professionnelle (Gmail ou équivalent Google Workspace)</w:t>
      </w:r>
    </w:p>
    <w:p>
      <w:pPr>
        <w:pStyle w:val="ListParagraph"/>
        <w:numPr>
          <w:ilvl w:val="0"/>
          <w:numId w:val="1"/>
        </w:numPr>
        <w:spacing w:after="80"/>
      </w:pPr>
      <w:r>
        <w:t xml:space="preserve">Détection automatique des devis envoyés sans réponse à J+7 et J+15</w:t>
      </w:r>
    </w:p>
    <w:p>
      <w:pPr>
        <w:pStyle w:val="ListParagraph"/>
        <w:numPr>
          <w:ilvl w:val="0"/>
          <w:numId w:val="1"/>
        </w:numPr>
        <w:spacing w:after="80"/>
      </w:pPr>
      <w:r>
        <w:t xml:space="preserve">Génération et envoi de relances personnalisées (2 relances automatiques + 1 alerte humaine à J+25)</w:t>
      </w:r>
    </w:p>
    <w:p>
      <w:pPr>
        <w:pStyle w:val="ListParagraph"/>
        <w:numPr>
          <w:ilvl w:val="0"/>
          <w:numId w:val="1"/>
        </w:numPr>
        <w:spacing w:after="80"/>
      </w:pPr>
      <w:r>
        <w:t xml:space="preserve">Tableau de suivi des devis en cours (statut, dates, relances envoyées)</w:t>
      </w:r>
    </w:p>
    <w:p>
      <w:pPr>
        <w:pStyle w:val="ListParagraph"/>
        <w:numPr>
          <w:ilvl w:val="0"/>
          <w:numId w:val="1"/>
        </w:numPr>
        <w:spacing w:after="80"/>
      </w:pPr>
      <w:r>
        <w:t xml:space="preserve">Récapitulatif hebdomadaire par email</w:t>
      </w:r>
    </w:p>
    <w:p>
      <w:pPr>
        <w:pStyle w:val="ListParagraph"/>
        <w:numPr>
          <w:ilvl w:val="0"/>
          <w:numId w:val="1"/>
        </w:numPr>
        <w:spacing w:after="80"/>
      </w:pPr>
      <w:r>
        <w:t xml:space="preserve">Formation à l'usage (1 session, 1h)</w:t>
      </w:r>
    </w:p>
    <w:p>
      <w:pPr>
        <w:pStyle w:val="ListParagraph"/>
        <w:numPr>
          <w:ilvl w:val="0"/>
          <w:numId w:val="1"/>
        </w:numPr>
        <w:spacing w:after="80"/>
      </w:pPr>
      <w:r>
        <w:t xml:space="preserve">30 jours de support inclus après recette</w:t>
      </w:r>
    </w:p>
    <w:p>
      <w:pPr>
        <w:pStyle w:val="Heading1"/>
        <w:spacing w:after="150" w:before="300"/>
      </w:pPr>
      <w:r>
        <w:t xml:space="preserve">3. Périmètre exclu</w:t>
      </w:r>
    </w:p>
    <w:p>
      <w:pPr>
        <w:pStyle w:val="ListParagraph"/>
        <w:numPr>
          <w:ilvl w:val="0"/>
          <w:numId w:val="1"/>
        </w:numPr>
        <w:spacing w:after="80"/>
      </w:pPr>
      <w:r>
        <w:t xml:space="preserve">Intégration à un CRM ou ERP existant autre que la messagerie (sur devis complémentaire)</w:t>
      </w:r>
    </w:p>
    <w:p>
      <w:pPr>
        <w:pStyle w:val="ListParagraph"/>
        <w:numPr>
          <w:ilvl w:val="0"/>
          <w:numId w:val="1"/>
        </w:numPr>
        <w:spacing w:after="80"/>
      </w:pPr>
      <w:r>
        <w:t xml:space="preserve">Relance téléphonique automatisée</w:t>
      </w:r>
    </w:p>
    <w:p>
      <w:pPr>
        <w:pStyle w:val="ListParagraph"/>
        <w:numPr>
          <w:ilvl w:val="0"/>
          <w:numId w:val="1"/>
        </w:numPr>
        <w:spacing w:after="80"/>
      </w:pPr>
      <w:r>
        <w:t xml:space="preserve">Génération automatique des devis eux-mêmes (le devis reste rédigé par vos soins)</w:t>
      </w:r>
    </w:p>
    <w:p>
      <w:pPr>
        <w:pStyle w:val="ListParagraph"/>
        <w:numPr>
          <w:ilvl w:val="0"/>
          <w:numId w:val="1"/>
        </w:numPr>
        <w:spacing w:after="80"/>
      </w:pPr>
      <w:r>
        <w:t xml:space="preserve">Traduction ou relance en langue étrangère</w:t>
      </w:r>
    </w:p>
    <w:p>
      <w:pPr>
        <w:pStyle w:val="Heading1"/>
        <w:spacing w:after="150" w:before="300"/>
      </w:pPr>
      <w:r>
        <w:t xml:space="preserve">4. Livrables</w:t>
      </w:r>
    </w:p>
    <w:p>
      <w:pPr>
        <w:pStyle w:val="ListParagraph"/>
        <w:numPr>
          <w:ilvl w:val="0"/>
          <w:numId w:val="1"/>
        </w:numPr>
        <w:spacing w:after="80"/>
      </w:pPr>
      <w:r>
        <w:t xml:space="preserve">Workflow d'automatisation opérationnel et documenté</w:t>
      </w:r>
    </w:p>
    <w:p>
      <w:pPr>
        <w:pStyle w:val="ListParagraph"/>
        <w:numPr>
          <w:ilvl w:val="0"/>
          <w:numId w:val="1"/>
        </w:numPr>
        <w:spacing w:after="80"/>
      </w:pPr>
      <w:r>
        <w:t xml:space="preserve">Tableau de suivi des devis (Google Sheets)</w:t>
      </w:r>
    </w:p>
    <w:p>
      <w:pPr>
        <w:pStyle w:val="ListParagraph"/>
        <w:numPr>
          <w:ilvl w:val="0"/>
          <w:numId w:val="1"/>
        </w:numPr>
        <w:spacing w:after="80"/>
      </w:pPr>
      <w:r>
        <w:t xml:space="preserve">Documentation d'utilisation</w:t>
      </w:r>
    </w:p>
    <w:p>
      <w:pPr>
        <w:pStyle w:val="ListParagraph"/>
        <w:numPr>
          <w:ilvl w:val="0"/>
          <w:numId w:val="1"/>
        </w:numPr>
        <w:spacing w:after="80"/>
      </w:pPr>
      <w:r>
        <w:t xml:space="preserve">Session de formation</w:t>
      </w:r>
    </w:p>
    <w:p>
      <w:pPr>
        <w:pStyle w:val="Heading1"/>
        <w:spacing w:after="150" w:before="300"/>
      </w:pPr>
      <w:r>
        <w:t xml:space="preserve">5. Planning indicatif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2F5496" w:val="clear"/>
          </w:tcPr>
          <w:p>
            <w:r>
              <w:rPr>
                <w:b/>
                <w:bCs/>
                <w:color w:val="FFFFFF"/>
              </w:rPr>
              <w:t xml:space="preserve">Étape</w:t>
            </w:r>
          </w:p>
        </w:tc>
        <w:tc>
          <w:tcPr>
            <w:tcW w:type="dxa" w:w="6300"/>
            <w:shd w:fill="2F5496" w:val="clear"/>
          </w:tcPr>
          <w:p>
            <w:r>
              <w:rPr>
                <w:b/>
                <w:bCs/>
                <w:color w:val="FFFFFF"/>
              </w:rPr>
              <w:t xml:space="preserve">Délai</w:t>
            </w:r>
          </w:p>
        </w:tc>
      </w:tr>
      <w:tr>
        <w:tc>
          <w:tcPr>
            <w:tcW w:type="dxa" w:w="2700"/>
          </w:tcPr>
          <w:p>
            <w:r>
              <w:t xml:space="preserve">J+0</w:t>
            </w:r>
          </w:p>
        </w:tc>
        <w:tc>
          <w:tcPr>
            <w:tcW w:type="dxa" w:w="6300"/>
          </w:tcPr>
          <w:p>
            <w:r>
              <w:t xml:space="preserve">Cadrage technique, accès messagerie et outils</w:t>
            </w:r>
          </w:p>
        </w:tc>
      </w:tr>
      <w:tr>
        <w:tc>
          <w:tcPr>
            <w:tcW w:type="dxa" w:w="2700"/>
          </w:tcPr>
          <w:p>
            <w:r>
              <w:t xml:space="preserve">J+2 à J+10</w:t>
            </w:r>
          </w:p>
        </w:tc>
        <w:tc>
          <w:tcPr>
            <w:tcW w:type="dxa" w:w="6300"/>
          </w:tcPr>
          <w:p>
            <w:r>
              <w:t xml:space="preserve">Construction du workflow et des relances types</w:t>
            </w:r>
          </w:p>
        </w:tc>
      </w:tr>
      <w:tr>
        <w:tc>
          <w:tcPr>
            <w:tcW w:type="dxa" w:w="2700"/>
          </w:tcPr>
          <w:p>
            <w:r>
              <w:t xml:space="preserve">J+11 à J+14</w:t>
            </w:r>
          </w:p>
        </w:tc>
        <w:tc>
          <w:tcPr>
            <w:tcW w:type="dxa" w:w="6300"/>
          </w:tcPr>
          <w:p>
            <w:r>
              <w:t xml:space="preserve">Tests sur devis réels, ajustements</w:t>
            </w:r>
          </w:p>
        </w:tc>
      </w:tr>
      <w:tr>
        <w:tc>
          <w:tcPr>
            <w:tcW w:type="dxa" w:w="2700"/>
          </w:tcPr>
          <w:p>
            <w:r>
              <w:t xml:space="preserve">J+15</w:t>
            </w:r>
          </w:p>
        </w:tc>
        <w:tc>
          <w:tcPr>
            <w:tcW w:type="dxa" w:w="6300"/>
          </w:tcPr>
          <w:p>
            <w:r>
              <w:t xml:space="preserve">Recette client et formation</w:t>
            </w:r>
          </w:p>
        </w:tc>
      </w:tr>
      <w:tr>
        <w:tc>
          <w:tcPr>
            <w:tcW w:type="dxa" w:w="2700"/>
          </w:tcPr>
          <w:p>
            <w:r>
              <w:t xml:space="preserve">J+16</w:t>
            </w:r>
          </w:p>
        </w:tc>
        <w:tc>
          <w:tcPr>
            <w:tcW w:type="dxa" w:w="6300"/>
          </w:tcPr>
          <w:p>
            <w:r>
              <w:t xml:space="preserve">Mise en production</w:t>
            </w:r>
          </w:p>
        </w:tc>
      </w:tr>
    </w:tbl>
    <w:p>
      <w:pPr>
        <w:spacing w:after="150" w:before="150"/>
      </w:pPr>
      <w:r>
        <w:rPr>
          <w:b/>
          <w:bCs/>
        </w:rPr>
        <w:t xml:space="preserve">Délai total estimé : 16 jours ouvrés à compter du cadrage.</w:t>
      </w:r>
    </w:p>
    <w:p>
      <w:pPr>
        <w:pStyle w:val="Heading1"/>
        <w:spacing w:after="150" w:before="300"/>
      </w:pPr>
      <w:r>
        <w:t xml:space="preserve">6. Prix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300"/>
        <w:gridCol w:w="2700"/>
      </w:tblGrid>
      <w:tr>
        <w:tc>
          <w:tcPr>
            <w:tcW w:type="dxa" w:w="6300"/>
            <w:shd w:fill="2F5496" w:val="clear"/>
          </w:tcPr>
          <w:p>
            <w:r>
              <w:rPr>
                <w:b/>
                <w:bCs/>
                <w:color w:val="FFFFFF"/>
              </w:rPr>
              <w:t xml:space="preserve">Poste</w:t>
            </w:r>
          </w:p>
        </w:tc>
        <w:tc>
          <w:tcPr>
            <w:tcW w:type="dxa" w:w="2700"/>
            <w:shd w:fill="2F5496" w:val="clear"/>
          </w:tcPr>
          <w:p>
            <w:r>
              <w:rPr>
                <w:b/>
                <w:bCs/>
                <w:color w:val="FFFFFF"/>
              </w:rPr>
              <w:t xml:space="preserve">Montant HT</w:t>
            </w:r>
          </w:p>
        </w:tc>
      </w:tr>
      <w:tr>
        <w:tc>
          <w:tcPr>
            <w:tcW w:type="dxa" w:w="6300"/>
          </w:tcPr>
          <w:p>
            <w:r>
              <w:t xml:space="preserve">Mise en œuvre (one-shot)</w:t>
            </w:r>
          </w:p>
        </w:tc>
        <w:tc>
          <w:tcPr>
            <w:tcW w:type="dxa" w:w="2700"/>
          </w:tcPr>
          <w:p>
            <w:r>
              <w:t xml:space="preserve">12 500 €</w:t>
            </w:r>
          </w:p>
        </w:tc>
      </w:tr>
      <w:tr>
        <w:tc>
          <w:tcPr>
            <w:tcW w:type="dxa" w:w="6300"/>
          </w:tcPr>
          <w:p>
            <w:r>
              <w:t xml:space="preserve">Option run mensuel (maintenance, monitoring, évolutions mineures)</w:t>
            </w:r>
          </w:p>
        </w:tc>
        <w:tc>
          <w:tcPr>
            <w:tcW w:type="dxa" w:w="2700"/>
          </w:tcPr>
          <w:p>
            <w:r>
              <w:t xml:space="preserve">1 000 €/mois</w:t>
            </w:r>
          </w:p>
        </w:tc>
      </w:tr>
      <w:tr>
        <w:tc>
          <w:tcPr>
            <w:tcW w:type="dxa" w:w="6300"/>
          </w:tcPr>
          <w:p>
            <w:r>
              <w:t xml:space="preserve">Option MVP réduit (7 jours, périmètre restreint, sans support post-livraison)</w:t>
            </w:r>
          </w:p>
        </w:tc>
        <w:tc>
          <w:tcPr>
            <w:tcW w:type="dxa" w:w="2700"/>
          </w:tcPr>
          <w:p>
            <w:r>
              <w:t xml:space="preserve">4 400 €</w:t>
            </w:r>
          </w:p>
        </w:tc>
      </w:tr>
    </w:tbl>
    <w:p>
      <w:pPr>
        <w:pStyle w:val="Heading1"/>
        <w:spacing w:after="150" w:before="300"/>
      </w:pPr>
      <w:r>
        <w:t xml:space="preserve">7. Modalités de paiement</w:t>
      </w:r>
    </w:p>
    <w:p>
      <w:pPr>
        <w:pStyle w:val="ListParagraph"/>
        <w:numPr>
          <w:ilvl w:val="0"/>
          <w:numId w:val="1"/>
        </w:numPr>
        <w:spacing w:after="80"/>
      </w:pPr>
      <w:r>
        <w:t xml:space="preserve">30 % à la commande</w:t>
      </w:r>
    </w:p>
    <w:p>
      <w:pPr>
        <w:pStyle w:val="ListParagraph"/>
        <w:numPr>
          <w:ilvl w:val="0"/>
          <w:numId w:val="1"/>
        </w:numPr>
        <w:spacing w:after="80"/>
      </w:pPr>
      <w:r>
        <w:t xml:space="preserve">40 % à la recette intermédiaire (J+11)</w:t>
      </w:r>
    </w:p>
    <w:p>
      <w:pPr>
        <w:pStyle w:val="ListParagraph"/>
        <w:numPr>
          <w:ilvl w:val="0"/>
          <w:numId w:val="1"/>
        </w:numPr>
        <w:spacing w:after="80"/>
      </w:pPr>
      <w:r>
        <w:t xml:space="preserve">30 % à la livraison finale</w:t>
      </w:r>
    </w:p>
    <w:p>
      <w:pPr>
        <w:pStyle w:val="Heading1"/>
        <w:spacing w:after="150" w:before="300"/>
      </w:pPr>
      <w:r>
        <w:t xml:space="preserve">8. Prérequis client</w:t>
      </w:r>
    </w:p>
    <w:p>
      <w:pPr>
        <w:pStyle w:val="ListParagraph"/>
        <w:numPr>
          <w:ilvl w:val="0"/>
          <w:numId w:val="1"/>
        </w:numPr>
        <w:spacing w:after="80"/>
      </w:pPr>
      <w:r>
        <w:t xml:space="preserve">Accès administrateur à la messagerie professionnelle utilisée pour l'envoi des devis</w:t>
      </w:r>
    </w:p>
    <w:p>
      <w:pPr>
        <w:pStyle w:val="ListParagraph"/>
        <w:numPr>
          <w:ilvl w:val="0"/>
          <w:numId w:val="1"/>
        </w:numPr>
        <w:spacing w:after="80"/>
      </w:pPr>
      <w:r>
        <w:t xml:space="preserve">Un référent projet côté client, disponible environ 2h sur la durée du projet</w:t>
      </w:r>
    </w:p>
    <w:p>
      <w:pPr>
        <w:pStyle w:val="ListParagraph"/>
        <w:numPr>
          <w:ilvl w:val="0"/>
          <w:numId w:val="1"/>
        </w:numPr>
        <w:spacing w:after="80"/>
      </w:pPr>
      <w:r>
        <w:t xml:space="preserve">Un échantillon d'au moins 15 devis récents (anonymisables) pour calibrer les relances</w:t>
      </w:r>
    </w:p>
    <w:p>
      <w:pPr>
        <w:pStyle w:val="Heading1"/>
        <w:spacing w:after="150" w:before="300"/>
      </w:pPr>
      <w:r>
        <w:t xml:space="preserve">9. Garanties</w:t>
      </w:r>
    </w:p>
    <w:p>
      <w:pPr>
        <w:pStyle w:val="ListParagraph"/>
        <w:numPr>
          <w:ilvl w:val="0"/>
          <w:numId w:val="1"/>
        </w:numPr>
        <w:spacing w:after="80"/>
      </w:pPr>
      <w:r>
        <w:t xml:space="preserve">Recette formelle avant mise en production</w:t>
      </w:r>
    </w:p>
    <w:p>
      <w:pPr>
        <w:pStyle w:val="ListParagraph"/>
        <w:numPr>
          <w:ilvl w:val="0"/>
          <w:numId w:val="1"/>
        </w:numPr>
        <w:spacing w:after="80"/>
      </w:pPr>
      <w:r>
        <w:t xml:space="preserve">30 jours de support inclus après livraison</w:t>
      </w:r>
    </w:p>
    <w:p>
      <w:pPr>
        <w:pStyle w:val="ListParagraph"/>
        <w:numPr>
          <w:ilvl w:val="0"/>
          <w:numId w:val="1"/>
        </w:numPr>
        <w:spacing w:after="80"/>
      </w:pPr>
      <w:r>
        <w:t xml:space="preserve">Correctifs de bugs bloquants sans surcoût pendant cette période</w:t>
      </w:r>
    </w:p>
    <w:p>
      <w:pPr>
        <w:pStyle w:val="Heading1"/>
        <w:spacing w:after="150" w:before="300"/>
      </w:pPr>
      <w:r>
        <w:t xml:space="preserve">10. Validité et signature</w:t>
      </w:r>
    </w:p>
    <w:p>
      <w:pPr>
        <w:spacing w:after="120"/>
      </w:pPr>
      <w:r>
        <w:t xml:space="preserve">Cette proposition est valable 30 jours à compter de sa date d'émission.</w:t>
      </w:r>
    </w:p>
    <w:p>
      <w:pPr>
        <w:spacing w:after="80" w:before="200"/>
      </w:pPr>
      <w:r>
        <w:rPr>
          <w:b/>
          <w:bCs/>
        </w:rPr>
        <w:t xml:space="preserve">Bon pour accord :</w:t>
      </w:r>
    </w:p>
    <w:p>
      <w:pPr>
        <w:spacing w:after="120"/>
      </w:pPr>
      <w:r>
        <w:t xml:space="preserve">Nom, fonction : ___________________________</w:t>
      </w:r>
    </w:p>
    <w:p>
      <w:pPr>
        <w:spacing w:after="120"/>
      </w:pPr>
      <w:r>
        <w:t xml:space="preserve">Date : ___________________________</w:t>
      </w:r>
    </w:p>
    <w:p>
      <w:pPr>
        <w:spacing w:after="120"/>
      </w:pPr>
      <w:r>
        <w:t xml:space="preserve">Signature : ___________________________</w:t>
      </w:r>
    </w:p>
    <w:p>
      <w:pPr>
        <w:pBdr>
          <w:top w:val="single" w:color="999999" w:sz="6"/>
        </w:pBdr>
        <w:spacing w:before="300"/>
      </w:pPr>
      <w:r>
        <w:rPr>
          <w:i/>
          <w:iCs/>
          <w:color w:val="777777"/>
          <w:sz w:val="18"/>
          <w:szCs w:val="18"/>
        </w:rPr>
        <w:t xml:space="preserve">Vantyse — cabinet de conseil et implémentation IA pour PME françaises.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2026-08-10T07:23:41.336Z</dcterms:created>
  <dcterms:modified xsi:type="dcterms:W3CDTF">2026-08-10T07:23:41.336Z</dcterms:modified>
</cp:coreProperties>
</file>

<file path=docProps/custom.xml><?xml version="1.0" encoding="utf-8"?>
<Properties xmlns="http://schemas.openxmlformats.org/officeDocument/2006/custom-properties" xmlns:vt="http://schemas.openxmlformats.org/officeDocument/2006/docPropsVTypes"/>
</file>