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proposition-commerciale"/>
    <w:p>
      <w:pPr>
        <w:pStyle w:val="Heading1"/>
      </w:pPr>
      <w:r>
        <w:t xml:space="preserve">Proposition commerciale</w:t>
      </w:r>
    </w:p>
    <w:p>
      <w:pPr>
        <w:pStyle w:val="FirstParagraph"/>
      </w:pPr>
      <w:r>
        <w:rPr>
          <w:bCs/>
          <w:b/>
        </w:rPr>
        <w:t xml:space="preserve">Vantyse — Conseil et implémentation IA pour PME</w:t>
      </w:r>
      <w:r>
        <w:t xml:space="preserve"> </w:t>
      </w:r>
      <w:r>
        <w:rPr>
          <w:bCs/>
          <w:b/>
        </w:rPr>
        <w:t xml:space="preserve">Objet</w:t>
      </w:r>
      <w:r>
        <w:t xml:space="preserve"> </w:t>
      </w:r>
      <w:r>
        <w:t xml:space="preserve">: Qualification &amp; routage automatique des demandes de devis entrantes</w:t>
      </w:r>
      <w:r>
        <w:t xml:space="preserve"> </w:t>
      </w:r>
      <w:r>
        <w:rPr>
          <w:bCs/>
          <w:b/>
        </w:rPr>
        <w:t xml:space="preserve">Date d’émission</w:t>
      </w:r>
      <w:r>
        <w:t xml:space="preserve"> </w:t>
      </w:r>
      <w:r>
        <w:t xml:space="preserve">: à compléter à l’envoi</w:t>
      </w:r>
      <w:r>
        <w:t xml:space="preserve"> </w:t>
      </w:r>
      <w:r>
        <w:rPr>
          <w:bCs/>
          <w:b/>
        </w:rPr>
        <w:t xml:space="preserve">Validité de l’offre</w:t>
      </w:r>
      <w:r>
        <w:t xml:space="preserve"> </w:t>
      </w:r>
      <w:r>
        <w:t xml:space="preserve">: 30 jours à compter de la date d’émission</w:t>
      </w:r>
    </w:p>
    <w:bookmarkStart w:id="20" w:name="contexte-client"/>
    <w:p>
      <w:pPr>
        <w:pStyle w:val="Heading2"/>
      </w:pPr>
      <w:r>
        <w:t xml:space="preserve">Contexte client</w:t>
      </w:r>
    </w:p>
    <w:p>
      <w:pPr>
        <w:pStyle w:val="FirstParagraph"/>
      </w:pPr>
      <w:r>
        <w:rPr>
          <w:iCs/>
          <w:i/>
        </w:rPr>
        <w:t xml:space="preserve">(à personnaliser avec le prospect lors de l’audit cadrage)</w:t>
      </w:r>
    </w:p>
    <w:p>
      <w:pPr>
        <w:pStyle w:val="BodyText"/>
      </w:pPr>
      <w:r>
        <w:t xml:space="preserve">Entreprise du bâtiment recevant des demandes de devis par plusieurs canaux (email, formulaire site, téléphone), sans centralisation ni qualification systématique avant transmission aux conducteurs de travaux.</w:t>
      </w:r>
    </w:p>
    <w:bookmarkEnd w:id="20"/>
    <w:bookmarkStart w:id="21" w:name="périmètre-inclus"/>
    <w:p>
      <w:pPr>
        <w:pStyle w:val="Heading2"/>
      </w:pPr>
      <w:r>
        <w:t xml:space="preserve">Périmètre inclus</w:t>
      </w:r>
    </w:p>
    <w:p>
      <w:pPr>
        <w:numPr>
          <w:ilvl w:val="0"/>
          <w:numId w:val="1001"/>
        </w:numPr>
        <w:pStyle w:val="Compact"/>
      </w:pPr>
      <w:r>
        <w:t xml:space="preserve">Connexion à la boîte mail dédiée aux demandes de devis (lecture + envoi)</w:t>
      </w:r>
    </w:p>
    <w:p>
      <w:pPr>
        <w:numPr>
          <w:ilvl w:val="0"/>
          <w:numId w:val="1001"/>
        </w:numPr>
        <w:pStyle w:val="Compact"/>
      </w:pPr>
      <w:r>
        <w:t xml:space="preserve">Connexion au formulaire de contact du site (webhook)</w:t>
      </w:r>
    </w:p>
    <w:p>
      <w:pPr>
        <w:numPr>
          <w:ilvl w:val="0"/>
          <w:numId w:val="1001"/>
        </w:numPr>
        <w:pStyle w:val="Compact"/>
      </w:pPr>
      <w:r>
        <w:t xml:space="preserve">Extraction automatique des informations utiles à chaque demande (coordonnées, type de travaux, adresse chantier, urgence, budget estimé)</w:t>
      </w:r>
    </w:p>
    <w:p>
      <w:pPr>
        <w:numPr>
          <w:ilvl w:val="0"/>
          <w:numId w:val="1001"/>
        </w:numPr>
        <w:pStyle w:val="Compact"/>
      </w:pPr>
      <w:r>
        <w:t xml:space="preserve">Scoring de priorité automatique (1 à 3)</w:t>
      </w:r>
    </w:p>
    <w:p>
      <w:pPr>
        <w:numPr>
          <w:ilvl w:val="0"/>
          <w:numId w:val="1001"/>
        </w:numPr>
        <w:pStyle w:val="Compact"/>
      </w:pPr>
      <w:r>
        <w:t xml:space="preserve">Routage vers le bon conducteur de travaux selon une table de correspondance zone/type de chantier (fournie par le client)</w:t>
      </w:r>
    </w:p>
    <w:p>
      <w:pPr>
        <w:numPr>
          <w:ilvl w:val="0"/>
          <w:numId w:val="1001"/>
        </w:numPr>
        <w:pStyle w:val="Compact"/>
      </w:pPr>
      <w:r>
        <w:t xml:space="preserve">Accusé de réception automatique personnalisé au prospect</w:t>
      </w:r>
    </w:p>
    <w:p>
      <w:pPr>
        <w:numPr>
          <w:ilvl w:val="0"/>
          <w:numId w:val="1001"/>
        </w:numPr>
        <w:pStyle w:val="Compact"/>
      </w:pPr>
      <w:r>
        <w:t xml:space="preserve">Notification interne au conducteur de travaux assigné</w:t>
      </w:r>
    </w:p>
    <w:p>
      <w:pPr>
        <w:numPr>
          <w:ilvl w:val="0"/>
          <w:numId w:val="1001"/>
        </w:numPr>
        <w:pStyle w:val="Compact"/>
      </w:pPr>
      <w:r>
        <w:t xml:space="preserve">Mini-CRM de suivi (Google Sheets) : statut, score, conducteur assigné</w:t>
      </w:r>
    </w:p>
    <w:p>
      <w:pPr>
        <w:numPr>
          <w:ilvl w:val="0"/>
          <w:numId w:val="1001"/>
        </w:numPr>
        <w:pStyle w:val="Compact"/>
      </w:pPr>
      <w:r>
        <w:t xml:space="preserve">Gestion des cas incomplets (champs manquants) : notification à l’assistant administratif pour complément manuel</w:t>
      </w:r>
    </w:p>
    <w:p>
      <w:pPr>
        <w:numPr>
          <w:ilvl w:val="0"/>
          <w:numId w:val="1001"/>
        </w:numPr>
        <w:pStyle w:val="Compact"/>
      </w:pPr>
      <w:r>
        <w:t xml:space="preserve">Formation de l’équipe (1 session, moins d’1h)</w:t>
      </w:r>
    </w:p>
    <w:p>
      <w:pPr>
        <w:numPr>
          <w:ilvl w:val="0"/>
          <w:numId w:val="1001"/>
        </w:numPr>
        <w:pStyle w:val="Compact"/>
      </w:pPr>
      <w:r>
        <w:t xml:space="preserve">Documentation utilisateur</w:t>
      </w:r>
    </w:p>
    <w:p>
      <w:pPr>
        <w:numPr>
          <w:ilvl w:val="0"/>
          <w:numId w:val="1001"/>
        </w:numPr>
        <w:pStyle w:val="Compact"/>
      </w:pPr>
      <w:r>
        <w:t xml:space="preserve">30 jours de support inclus après mise en production</w:t>
      </w:r>
    </w:p>
    <w:bookmarkEnd w:id="21"/>
    <w:bookmarkStart w:id="22" w:name="périmètre-exclu"/>
    <w:p>
      <w:pPr>
        <w:pStyle w:val="Heading2"/>
      </w:pPr>
      <w:r>
        <w:t xml:space="preserve">Périmètre exclu</w:t>
      </w:r>
    </w:p>
    <w:p>
      <w:pPr>
        <w:numPr>
          <w:ilvl w:val="0"/>
          <w:numId w:val="1002"/>
        </w:numPr>
        <w:pStyle w:val="Compact"/>
      </w:pPr>
      <w:r>
        <w:t xml:space="preserve">Transcription des appels téléphoniques et messages vocaux (évolution possible, non chiffrée ici)</w:t>
      </w:r>
    </w:p>
    <w:p>
      <w:pPr>
        <w:numPr>
          <w:ilvl w:val="0"/>
          <w:numId w:val="1002"/>
        </w:numPr>
        <w:pStyle w:val="Compact"/>
      </w:pPr>
      <w:r>
        <w:t xml:space="preserve">Connexion à un CRM tiers autre que Google Sheets (sur devis complémentaire)</w:t>
      </w:r>
    </w:p>
    <w:p>
      <w:pPr>
        <w:numPr>
          <w:ilvl w:val="0"/>
          <w:numId w:val="1002"/>
        </w:numPr>
        <w:pStyle w:val="Compact"/>
      </w:pPr>
      <w:r>
        <w:t xml:space="preserve">Prise de rendez-vous automatique (évolution possible)</w:t>
      </w:r>
    </w:p>
    <w:p>
      <w:pPr>
        <w:numPr>
          <w:ilvl w:val="0"/>
          <w:numId w:val="1002"/>
        </w:numPr>
        <w:pStyle w:val="Compact"/>
      </w:pPr>
      <w:r>
        <w:t xml:space="preserve">Reprise de l’historique des demandes antérieures à la mise en production</w:t>
      </w:r>
    </w:p>
    <w:bookmarkEnd w:id="22"/>
    <w:bookmarkStart w:id="23" w:name="livrables"/>
    <w:p>
      <w:pPr>
        <w:pStyle w:val="Heading2"/>
      </w:pPr>
      <w:r>
        <w:t xml:space="preserve">Livrables</w:t>
      </w:r>
    </w:p>
    <w:p>
      <w:pPr>
        <w:numPr>
          <w:ilvl w:val="0"/>
          <w:numId w:val="1003"/>
        </w:numPr>
        <w:pStyle w:val="Compact"/>
      </w:pPr>
      <w:r>
        <w:t xml:space="preserve">Workflow n8n opérationnel et documenté</w:t>
      </w:r>
    </w:p>
    <w:p>
      <w:pPr>
        <w:numPr>
          <w:ilvl w:val="0"/>
          <w:numId w:val="1003"/>
        </w:numPr>
        <w:pStyle w:val="Compact"/>
      </w:pPr>
      <w:r>
        <w:t xml:space="preserve">Mini-CRM de suivi configuré</w:t>
      </w:r>
    </w:p>
    <w:p>
      <w:pPr>
        <w:numPr>
          <w:ilvl w:val="0"/>
          <w:numId w:val="1003"/>
        </w:numPr>
        <w:pStyle w:val="Compact"/>
      </w:pPr>
      <w:r>
        <w:t xml:space="preserve">Documentation technique et utilisateur</w:t>
      </w:r>
    </w:p>
    <w:p>
      <w:pPr>
        <w:numPr>
          <w:ilvl w:val="0"/>
          <w:numId w:val="1003"/>
        </w:numPr>
        <w:pStyle w:val="Compact"/>
      </w:pPr>
      <w:r>
        <w:t xml:space="preserve">Session de formation</w:t>
      </w:r>
    </w:p>
    <w:p>
      <w:pPr>
        <w:numPr>
          <w:ilvl w:val="0"/>
          <w:numId w:val="1003"/>
        </w:numPr>
        <w:pStyle w:val="Compact"/>
      </w:pPr>
      <w:r>
        <w:t xml:space="preserve">Rapport de recette</w:t>
      </w:r>
    </w:p>
    <w:bookmarkEnd w:id="23"/>
    <w:bookmarkStart w:id="24" w:name="planning-indicatif"/>
    <w:p>
      <w:pPr>
        <w:pStyle w:val="Heading2"/>
      </w:pPr>
      <w:r>
        <w:t xml:space="preserve">Planning indicatif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Délai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Kick-off, accès et prérequis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J+1 à J+6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extraction, scoring, routage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J+7 à J+9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Connexion CRM, accusés de réception, 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J+10 à J+11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sur demandes réelles, ajustements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J+12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Recette, formation, mise en production</w:t>
            </w:r>
          </w:p>
        </w:tc>
      </w:tr>
    </w:tbl>
    <w:p>
      <w:pPr>
        <w:pStyle w:val="BodyText"/>
      </w:pPr>
      <w:r>
        <w:t xml:space="preserve">Délai total estimé :</w:t>
      </w:r>
      <w:r>
        <w:t xml:space="preserve"> </w:t>
      </w:r>
      <w:r>
        <w:rPr>
          <w:bCs/>
          <w:b/>
        </w:rPr>
        <w:t xml:space="preserve">12 jours ouvrés</w:t>
      </w:r>
      <w:r>
        <w:t xml:space="preserve"> </w:t>
      </w:r>
      <w:r>
        <w:t xml:space="preserve">à compter du kick-off (sous réserve de disponibilité des accès et interlocuteurs côté client).</w:t>
      </w:r>
    </w:p>
    <w:bookmarkEnd w:id="24"/>
    <w:bookmarkStart w:id="25" w:name="prix"/>
    <w:p>
      <w:pPr>
        <w:pStyle w:val="Heading2"/>
      </w:pPr>
      <w:r>
        <w:t xml:space="preserve">Prix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Montant 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Automatisation + agent IA (one-shot)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13 800 €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 run mensuel (maintenance, monitoring, évolutions mineures, support N1)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115 €/mois</w:t>
            </w:r>
          </w:p>
        </w:tc>
      </w:tr>
    </w:tbl>
    <w:p>
      <w:pPr>
        <w:pStyle w:val="BodyText"/>
      </w:pPr>
      <w:r>
        <w:rPr>
          <w:iCs/>
          <w:i/>
        </w:rPr>
        <w:t xml:space="preserve">Option MVP 7 jours (scope réduit : extraction et notification email uniquement, sans routage multi-conducteurs ni mini-CRM, sans support post-livraison) : 4 800 € HT.</w:t>
      </w:r>
    </w:p>
    <w:bookmarkEnd w:id="25"/>
    <w:bookmarkStart w:id="26" w:name="modalités-de-paiement"/>
    <w:p>
      <w:pPr>
        <w:pStyle w:val="Heading2"/>
      </w:pPr>
      <w:r>
        <w:t xml:space="preserve">Modalités de paiement</w:t>
      </w:r>
    </w:p>
    <w:p>
      <w:pPr>
        <w:numPr>
          <w:ilvl w:val="0"/>
          <w:numId w:val="1004"/>
        </w:numPr>
        <w:pStyle w:val="Compact"/>
      </w:pPr>
      <w:r>
        <w:t xml:space="preserve">30 % à la signature</w:t>
      </w:r>
    </w:p>
    <w:p>
      <w:pPr>
        <w:numPr>
          <w:ilvl w:val="0"/>
          <w:numId w:val="1004"/>
        </w:numPr>
        <w:pStyle w:val="Compact"/>
      </w:pPr>
      <w:r>
        <w:t xml:space="preserve">40 % au démarrage de la phase de tests</w:t>
      </w:r>
    </w:p>
    <w:p>
      <w:pPr>
        <w:numPr>
          <w:ilvl w:val="0"/>
          <w:numId w:val="1004"/>
        </w:numPr>
        <w:pStyle w:val="Compact"/>
      </w:pPr>
      <w:r>
        <w:t xml:space="preserve">30 % à la recette finale</w:t>
      </w:r>
    </w:p>
    <w:bookmarkEnd w:id="26"/>
    <w:bookmarkStart w:id="27" w:name="prérequis-client"/>
    <w:p>
      <w:pPr>
        <w:pStyle w:val="Heading2"/>
      </w:pPr>
      <w:r>
        <w:t xml:space="preserve">Prérequis client</w:t>
      </w:r>
    </w:p>
    <w:p>
      <w:pPr>
        <w:numPr>
          <w:ilvl w:val="0"/>
          <w:numId w:val="1005"/>
        </w:numPr>
        <w:pStyle w:val="Compact"/>
      </w:pPr>
      <w:r>
        <w:t xml:space="preserve">Accès à la boîte mail dédiée aux demandes de devis (ou création d’une adresse dédiée)</w:t>
      </w:r>
    </w:p>
    <w:p>
      <w:pPr>
        <w:numPr>
          <w:ilvl w:val="0"/>
          <w:numId w:val="1005"/>
        </w:numPr>
        <w:pStyle w:val="Compact"/>
      </w:pPr>
      <w:r>
        <w:t xml:space="preserve">Accès administrateur au formulaire du site (ou coordonnées du prestataire web)</w:t>
      </w:r>
    </w:p>
    <w:p>
      <w:pPr>
        <w:numPr>
          <w:ilvl w:val="0"/>
          <w:numId w:val="1005"/>
        </w:numPr>
        <w:pStyle w:val="Compact"/>
      </w:pPr>
      <w:r>
        <w:t xml:space="preserve">Table de correspondance zones géographiques / conducteurs de travaux</w:t>
      </w:r>
    </w:p>
    <w:p>
      <w:pPr>
        <w:numPr>
          <w:ilvl w:val="0"/>
          <w:numId w:val="1005"/>
        </w:numPr>
        <w:pStyle w:val="Compact"/>
      </w:pPr>
      <w:r>
        <w:t xml:space="preserve">Un référent projet disponible côté client (2-3h sur la durée du projet)</w:t>
      </w:r>
    </w:p>
    <w:bookmarkEnd w:id="27"/>
    <w:bookmarkStart w:id="28" w:name="garanties"/>
    <w:p>
      <w:pPr>
        <w:pStyle w:val="Heading2"/>
      </w:pPr>
      <w:r>
        <w:t xml:space="preserve">Garanties</w:t>
      </w:r>
    </w:p>
    <w:p>
      <w:pPr>
        <w:numPr>
          <w:ilvl w:val="0"/>
          <w:numId w:val="1006"/>
        </w:numPr>
        <w:pStyle w:val="Compact"/>
      </w:pPr>
      <w:r>
        <w:t xml:space="preserve">Recette contradictoire avant mise en production : le workflow est validé sur des demandes réelles avant activation définitive</w:t>
      </w:r>
    </w:p>
    <w:p>
      <w:pPr>
        <w:numPr>
          <w:ilvl w:val="0"/>
          <w:numId w:val="1006"/>
        </w:numPr>
        <w:pStyle w:val="Compact"/>
      </w:pPr>
      <w:r>
        <w:t xml:space="preserve">30 jours de support inclus après mise en production (corrections de bugs, ajustements mineurs)</w:t>
      </w:r>
    </w:p>
    <w:p>
      <w:pPr>
        <w:numPr>
          <w:ilvl w:val="0"/>
          <w:numId w:val="1006"/>
        </w:numPr>
        <w:pStyle w:val="Compact"/>
      </w:pPr>
      <w:r>
        <w:t xml:space="preserve">Aucune donnée client n’est utilisée pour l’entraînement de modèles tiers</w:t>
      </w:r>
    </w:p>
    <w:bookmarkEnd w:id="28"/>
    <w:bookmarkStart w:id="29" w:name="validité-et-signature"/>
    <w:p>
      <w:pPr>
        <w:pStyle w:val="Heading2"/>
      </w:pPr>
      <w:r>
        <w:t xml:space="preserve">Validité et signature</w:t>
      </w:r>
    </w:p>
    <w:p>
      <w:pPr>
        <w:pStyle w:val="FirstParagraph"/>
      </w:pPr>
      <w:r>
        <w:t xml:space="preserve">Cette proposition est valable 30 jours à compter de sa date d’émission.</w:t>
      </w:r>
    </w:p>
    <w:p>
      <w:pPr>
        <w:pStyle w:val="BodyText"/>
      </w:pPr>
      <w:r>
        <w:t xml:space="preserve">Bon pour accord, le _____________, à _____________</w:t>
      </w:r>
    </w:p>
    <w:p>
      <w:pPr>
        <w:pStyle w:val="BodyText"/>
      </w:pPr>
      <w:r>
        <w:t xml:space="preserve">Signature client : _____________________</w:t>
      </w:r>
    </w:p>
    <w:p>
      <w:pPr>
        <w:pStyle w:val="BodyText"/>
      </w:pPr>
      <w:r>
        <w:t xml:space="preserve">Signature Vantyse : _____________________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2026-08-03T23:50:58Z</dcterms:created>
  <dcterms:modified xsi:type="dcterms:W3CDTF">2026-08-03T23:50:58Z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