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Né de l’union interdite entre une noble elfe et un aventurier humain, Malaar a grandi à la frontière de deux mondes, sans jamais vraiment appartenir à l’un ou l’autre. Dès son enfance, il fut marqué – au sens propre comme au figuré – par cet héritage. Une marque mystérieuse, gravée dans la chair de son cou, rappela constamment aux autres son origine « impure ». Pour certains, elle était le signe d’une malédiction ; pour d’autres, la preuve d’un destin hors du commun. Pour lui, elle n'engendre que douleur, dégoût et haine de son père et désintérêt des autres de part la race humaine qui le détestait et la race elfique qui l’avait abandonné, il la garde donc secrète et ne chercha jamais à en comprendre la signification exacte. Très jeune il dut apprendre à se débrouiller, sa mère ayant disparu, son père probablement mort, suite à une ultime rixe dans une taverne où il buvait.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Rusé et débrouillard, il développa très tôt des talents de voleur et de baratineur, se faufilant dans l’ombre pour échapper aux regards méprisants. Ce mode de vie, bien que périlleux, lui permit d’explorer le monde, d’en apprendre les secrets et de s’entourer d’individus aux compétences diverses, souvent peu recommandables.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Lors de sa dernière aventure, une rencontre inattendue changea le cours de son existence. La guilde des Bardes, une organisation aussi influente que discrète, vit en lui un potentiel agent utile pour servir leur cause. Séduit par leurs promesses de savoir, de pouvoir et d’indépendance, Malaar accepta d’en devenir un membre. Toutefois, cette affiliation demeure un secret bien gardé.</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