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Analiza ryzyka w projekcie informatycznym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Projekt: SecureVault | Laboratorium 12 – Inżynieria Oprogramowania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1. Definicje</w:t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638"/>
      </w:tblGrid>
      <w:tr>
        <w:trPr>
          <w:tblHeader/>
        </w:trPr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Pojęcie</w:t>
            </w:r>
          </w:p>
        </w:tc>
        <w:tc>
          <w:tcPr>
            <w:tcW w:type="dxa" w:w="12638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Definicja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Ryzyko projektu</w:t>
            </w:r>
          </w:p>
        </w:tc>
        <w:tc>
          <w:tcPr>
            <w:tcW w:type="dxa" w:w="12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Możliwe zdarzenie lub warunek, które – jeśli nastąpi – negatywnie wpłynie na cel projektu (czas, koszty, jakość)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Prawdopodobieństwo (P)</w:t>
            </w:r>
          </w:p>
        </w:tc>
        <w:tc>
          <w:tcPr>
            <w:tcW w:type="dxa" w:w="12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Szansa wystąpienia ryzyka w skali 1–3: 1=niskie, 2=średnie, 3=wysokie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 szkody (S)</w:t>
            </w:r>
          </w:p>
        </w:tc>
        <w:tc>
          <w:tcPr>
            <w:tcW w:type="dxa" w:w="12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Skutek wystąpienia ryzyka dla projektu w skali 1–3: 1=mały, 2=średni, 3=duży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Waga ryzyka (W)</w:t>
            </w:r>
          </w:p>
        </w:tc>
        <w:tc>
          <w:tcPr>
            <w:tcW w:type="dxa" w:w="126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Iloczyn P × S ∈ {1..9}. W ≥ 6 = ryzyko krytyczne; 3–5 = umiarkowane; 1–2 = niskie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Diagram aktywności procesu analizy ryzyka (zadanie 4 – lab 12)</w:t>
      </w:r>
    </w:p>
    <w:p>
      <w:pPr>
        <w:spacing w:after="160" w:before="120"/>
        <w:jc w:val="center"/>
      </w:pPr>
      <w:r>
        <w:drawing>
          <wp:inline distT="0" distB="0" distL="0" distR="0">
            <wp:extent cx="2667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Rysunek 1. Diagram aktywności UML dla procesu analizy ryzyka w projekcie informatycznym.</w:t>
      </w:r>
    </w:p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Rejestr ryzyk projektu SecureVault (zadanie 6 – min. 3 ryzyka)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Skala: P = prawdopodobieństwo (1–3), S = waga szkody (1–3), W = P×S.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Kolor: </w:t>
      </w:r>
      <w:r>
        <w:rPr>
          <w:rFonts w:ascii="Arial" w:cs="Arial" w:eastAsia="Arial" w:hAnsi="Arial"/>
          <w:sz w:val="22"/>
          <w:szCs w:val="22"/>
        </w:rPr>
        <w:t xml:space="preserve">czerwony W≥6, żółty W=3–5, niebieski W≤2.</w:t>
      </w:r>
    </w:p>
    <w:p>
      <w:pPr>
        <w:spacing w:after="8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3000"/>
        <w:gridCol w:w="600"/>
        <w:gridCol w:w="600"/>
        <w:gridCol w:w="700"/>
        <w:gridCol w:w="7938"/>
      </w:tblGrid>
      <w:tr>
        <w:trPr>
          <w:tblHeader/>
        </w:trPr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Kategoria</w:t>
            </w:r>
          </w:p>
        </w:tc>
        <w:tc>
          <w:tcPr>
            <w:tcW w:type="dxa" w:w="30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 ryzyka</w:t>
            </w:r>
          </w:p>
        </w:tc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7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7938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działania / Strategia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Harmonogram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Opóźnienie w implementacji modułu szyfrowania AES-256 z powodu trudności technicznych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2"/>
                <w:szCs w:val="22"/>
              </w:rPr>
              <w:t xml:space="preserve">6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Przyjęcie uproszczonej implementacji kryptograficznej w pierwszej iteracji; dodanie bufor czasu (+1 tydzień) w harmonogramie; konsultacje z dokumentacją .NET Cryptography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Bezpieczeństwo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Luka bezpieczeństwa w module uwierzytelniania (np. podatność na SQL Injection lub timing attack)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2"/>
                <w:szCs w:val="22"/>
              </w:rPr>
              <w:t xml:space="preserve">6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Przegląd kodu bezpieczeństwa (security review); stosowanie parametryzowanych zapytań EF Core; testy penetracyjne modułu logowania; stosowanie stałego czasu porównania hash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Jakość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Błędy w danych szyfrowanych – utrata haseł użytkownika z powodu błędu w implementacji AES/PBKDF2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3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Testy jednostkowe każdej metody szyfrowania; backup bazy SQLite przed każdą migracją; testy z danymi granicznymi (puste hasło, znaki specjalne, Unicode)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Zasoby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Jeden developer – brak zastępstwa w przypadku choroby lub innego zdarzenia losowego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4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Dokumentowanie kodu na bieżąco (XML docs, README); regularne commity do repozytorium GitHub; kontakt z prowadzącym w przypadku przesunięcia terminu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Wymagania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Niejasna specyfikacja wymagań niefunkcjonalnych (czas odpowiedzi, wydajność) – ryzyko niedotrzymania NFR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D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4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Doprecyzowanie wymagań z prowadzącym przed implementacją; dodanie metryk wydajności do specyfikacji; testy wydajnościowe modułu logowania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Technologia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Niekompatybilność biblioteki Entity Framework Core z wersją SQLite na docelowym środowisku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496"/>
                <w:sz w:val="22"/>
                <w:szCs w:val="22"/>
              </w:rPr>
              <w:t xml:space="preserve">2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Testowanie na środowisku zbliżonym do docelowego od początku projektu; zablokowanie wersji paczek NuGet (packages.lock.json); plan B: bezpośrednie zapytania ADO.NET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Dokumentacja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Niespójna lub niekompletna dokumentacja projektowa – odrzucenie projektu przez prowadzącego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DE8E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00000"/>
                <w:sz w:val="22"/>
                <w:szCs w:val="22"/>
              </w:rPr>
              <w:t xml:space="preserve">6</w:t>
            </w:r>
          </w:p>
        </w:tc>
        <w:tc>
          <w:tcPr>
            <w:tcW w:type="dxa" w:w="1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Regularne przeglądy dokumentacji; korzystanie z szablonów z laboratorium; oddanie dokumentacji do weryfikacji przed terminem zaliczenia</w:t>
            </w:r>
          </w:p>
        </w:tc>
      </w:tr>
    </w:tbl>
    <w:p>
      <w:pPr>
        <w:spacing w:after="160"/>
      </w:pP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0038"/>
      </w:tblGrid>
      <w:tr>
        <w:trPr>
          <w:tblHeader/>
        </w:trPr>
        <w:tc>
          <w:tcPr>
            <w:tcW w:type="dxa" w:w="26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ryzyka</w:t>
            </w:r>
          </w:p>
        </w:tc>
        <w:tc>
          <w:tcPr>
            <w:tcW w:type="dxa" w:w="2400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Zakres W</w:t>
            </w:r>
          </w:p>
        </w:tc>
        <w:tc>
          <w:tcPr>
            <w:tcW w:type="dxa" w:w="10038"/>
            <w:tcBorders>
              <w:top w:val="single" w:color="2E5496" w:sz="1"/>
              <w:left w:val="single" w:color="2E5496" w:sz="1"/>
              <w:bottom w:val="single" w:color="2E5496" w:sz="1"/>
              <w:right w:val="single" w:color="2E5496" w:sz="1"/>
            </w:tcBorders>
            <w:shd w:fill="2E549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Działanie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Krytyczny (czerwony)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= 6–9</w:t>
            </w:r>
          </w:p>
        </w:tc>
        <w:tc>
          <w:tcPr>
            <w:tcW w:type="dxa" w:w="10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Natychmiastowe działanie zapobiegawcze; raport do kierownika projektu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Umiarkowany (żółty)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= 3–5</w:t>
            </w:r>
          </w:p>
        </w:tc>
        <w:tc>
          <w:tcPr>
            <w:tcW w:type="dxa" w:w="10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Monitorowanie i plan ograniczenia; uwzględnienie w harmonogramie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Niski (niebieski)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= 1–2</w:t>
            </w:r>
          </w:p>
        </w:tc>
        <w:tc>
          <w:tcPr>
            <w:tcW w:type="dxa" w:w="1003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Monitorowanie; akceptacja ryzyka</w:t>
            </w:r>
          </w:p>
        </w:tc>
      </w:tr>
    </w:tbl>
    <w:sectPr>
      <w:pgSz w:w="16838" w:h="11906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4" w:space="4"/>
      </w:pBdr>
      <w:spacing w:after="160" w:before="32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ad9bb07e7cb8acc9a23d5cdf929779f3c8270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2026-06-13T16:18:58.448Z</dcterms:created>
  <dcterms:modified xsi:type="dcterms:W3CDTF">2026-06-13T16:18:58.449Z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