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627F3B">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627F3B">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627F3B">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627F3B">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627F3B">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solicitudes de cambios sobre el proyecto.</w:t>
            </w:r>
          </w:p>
          <w:p w:rsidR="006B1D1C"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Revisar y aprobar los cambios sugeridos a un producto.</w:t>
            </w:r>
          </w:p>
          <w:p w:rsidR="006B1D1C" w:rsidRPr="00523FFB"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Asegurar que los responsables de los elementos de configuración actualicen los históricos de estos elementos con los cambios implementados.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Default="00523FFB" w:rsidP="00523FFB">
            <w:pPr>
              <w:pStyle w:val="Textoindependiente3"/>
              <w:spacing w:line="360" w:lineRule="auto"/>
              <w:jc w:val="left"/>
              <w:rPr>
                <w:sz w:val="22"/>
                <w:szCs w:val="22"/>
                <w:lang w:val="es-PE"/>
              </w:rPr>
            </w:pPr>
            <w:r w:rsidRPr="00EB7565">
              <w:rPr>
                <w:sz w:val="22"/>
                <w:szCs w:val="22"/>
                <w:lang w:val="es-PE"/>
              </w:rPr>
              <w:t>Bibliotecario</w:t>
            </w:r>
          </w:p>
          <w:p w:rsidR="00544D76" w:rsidRPr="00544D76" w:rsidRDefault="00544D76" w:rsidP="00544D76">
            <w:pPr>
              <w:rPr>
                <w:lang w:eastAsia="en-US"/>
              </w:rPr>
            </w:pPr>
          </w:p>
          <w:p w:rsidR="00544D76" w:rsidRPr="00544D76" w:rsidRDefault="00544D76" w:rsidP="00544D76">
            <w:pPr>
              <w:rPr>
                <w:lang w:eastAsia="en-US"/>
              </w:rPr>
            </w:pPr>
          </w:p>
          <w:p w:rsidR="00544D76" w:rsidRPr="00544D76" w:rsidRDefault="00544D76" w:rsidP="00544D76">
            <w:pPr>
              <w:rPr>
                <w:lang w:eastAsia="en-US"/>
              </w:rPr>
            </w:pPr>
          </w:p>
          <w:p w:rsidR="00523FFB" w:rsidRPr="00544D76" w:rsidRDefault="00523FFB" w:rsidP="00544D76">
            <w:pPr>
              <w:rPr>
                <w:lang w:eastAsia="en-US"/>
              </w:rPr>
            </w:pP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p w:rsidR="007603A4" w:rsidRPr="00EB7565" w:rsidRDefault="007603A4" w:rsidP="00523FFB">
            <w:pPr>
              <w:pStyle w:val="Textoindependiente3"/>
              <w:numPr>
                <w:ilvl w:val="0"/>
                <w:numId w:val="33"/>
              </w:numPr>
              <w:spacing w:line="360" w:lineRule="auto"/>
              <w:ind w:left="591"/>
              <w:rPr>
                <w:sz w:val="22"/>
                <w:szCs w:val="22"/>
                <w:lang w:val="es-PE"/>
              </w:rPr>
            </w:pPr>
            <w:r>
              <w:rPr>
                <w:sz w:val="22"/>
                <w:szCs w:val="22"/>
                <w:lang w:val="es-PE"/>
              </w:rPr>
              <w:t>Encargado de asegurar que los aspectos prácticos de la gestión de la configuración trabajen adecuadamente entre sí.</w:t>
            </w:r>
          </w:p>
        </w:tc>
      </w:tr>
      <w:tr w:rsidR="00544D76"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Pr="00EB7565" w:rsidRDefault="00544D76" w:rsidP="00523FFB">
            <w:pPr>
              <w:pStyle w:val="Textoindependiente3"/>
              <w:spacing w:line="360" w:lineRule="auto"/>
              <w:jc w:val="left"/>
              <w:rPr>
                <w:sz w:val="22"/>
                <w:szCs w:val="22"/>
                <w:lang w:val="es-PE"/>
              </w:rPr>
            </w:pPr>
            <w:r>
              <w:rPr>
                <w:sz w:val="22"/>
                <w:szCs w:val="22"/>
                <w:lang w:val="es-PE"/>
              </w:rPr>
              <w:t>Equipo de Desarrollo</w:t>
            </w:r>
          </w:p>
        </w:tc>
        <w:tc>
          <w:tcPr>
            <w:tcW w:w="6798" w:type="dxa"/>
            <w:tcBorders>
              <w:top w:val="single" w:sz="4" w:space="0" w:color="auto"/>
              <w:left w:val="single" w:sz="4" w:space="0" w:color="auto"/>
              <w:bottom w:val="single" w:sz="4" w:space="0" w:color="auto"/>
              <w:right w:val="single" w:sz="4" w:space="0" w:color="auto"/>
            </w:tcBorders>
          </w:tcPr>
          <w:p w:rsidR="00544D76" w:rsidRDefault="00544D76" w:rsidP="00523FFB">
            <w:pPr>
              <w:pStyle w:val="Textoindependiente3"/>
              <w:numPr>
                <w:ilvl w:val="0"/>
                <w:numId w:val="33"/>
              </w:numPr>
              <w:spacing w:line="360" w:lineRule="auto"/>
              <w:ind w:left="591"/>
              <w:rPr>
                <w:sz w:val="22"/>
                <w:szCs w:val="22"/>
                <w:lang w:val="es-PE"/>
              </w:rPr>
            </w:pPr>
            <w:r>
              <w:rPr>
                <w:sz w:val="22"/>
                <w:szCs w:val="22"/>
                <w:lang w:val="es-PE"/>
              </w:rPr>
              <w:t>Acatar todas las políticas de Gestión de la Configuración</w:t>
            </w:r>
            <w:bookmarkStart w:id="9" w:name="_GoBack"/>
            <w:bookmarkEnd w:id="9"/>
            <w:r>
              <w:rPr>
                <w:sz w:val="22"/>
                <w:szCs w:val="22"/>
                <w:lang w:val="es-PE"/>
              </w:rPr>
              <w:t xml:space="preserve"> .</w:t>
            </w:r>
          </w:p>
          <w:p w:rsidR="00544D76" w:rsidRPr="00EB7565" w:rsidRDefault="00544D76" w:rsidP="00523FFB">
            <w:pPr>
              <w:pStyle w:val="Textoindependiente3"/>
              <w:numPr>
                <w:ilvl w:val="0"/>
                <w:numId w:val="33"/>
              </w:numPr>
              <w:spacing w:line="360" w:lineRule="auto"/>
              <w:ind w:left="591"/>
              <w:rPr>
                <w:sz w:val="22"/>
                <w:szCs w:val="22"/>
                <w:lang w:val="es-PE"/>
              </w:rPr>
            </w:pPr>
            <w:r>
              <w:rPr>
                <w:sz w:val="22"/>
                <w:szCs w:val="22"/>
                <w:lang w:val="es-PE"/>
              </w:rPr>
              <w:lastRenderedPageBreak/>
              <w:t>Trabajar sobre los parámetros establecidos por los estándares de la organización.</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lastRenderedPageBreak/>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8"/>
      <w:r w:rsidRPr="00EB7565">
        <w:rPr>
          <w:rFonts w:ascii="Times New Roman" w:eastAsia="Times New Roman" w:hAnsi="Times New Roman" w:cs="Times New Roman"/>
          <w:b/>
          <w:sz w:val="22"/>
          <w:szCs w:val="22"/>
        </w:rPr>
        <w:t>Políticas y directrices y procedimientos</w:t>
      </w:r>
      <w:bookmarkEnd w:id="10"/>
    </w:p>
    <w:p w:rsidR="00A231D5" w:rsidRPr="00EB7565" w:rsidRDefault="00A231D5"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proofErr w:type="spellStart"/>
      <w:r w:rsidRPr="00EB7565">
        <w:rPr>
          <w:rFonts w:ascii="Times New Roman" w:eastAsia="Times New Roman" w:hAnsi="Times New Roman" w:cs="Times New Roman"/>
        </w:rPr>
        <w:t>osea</w:t>
      </w:r>
      <w:proofErr w:type="spellEnd"/>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lastRenderedPageBreak/>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1"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1"/>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2" w:name="_orlu8kp65o6a" w:colFirst="0" w:colLast="0"/>
      <w:bookmarkEnd w:id="12"/>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6200660"/>
      <w:bookmarkEnd w:id="17"/>
      <w:r w:rsidRPr="00EB7565">
        <w:rPr>
          <w:rFonts w:ascii="Times New Roman" w:eastAsia="Times New Roman" w:hAnsi="Times New Roman" w:cs="Times New Roman"/>
          <w:b/>
          <w:color w:val="000000"/>
          <w:sz w:val="22"/>
          <w:szCs w:val="22"/>
        </w:rPr>
        <w:t>Herramientas de control de versiones</w:t>
      </w:r>
      <w:bookmarkEnd w:id="18"/>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lastRenderedPageBreak/>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9"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9"/>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20" w:name="_o0crdodgo4bx" w:colFirst="0" w:colLast="0"/>
      <w:bookmarkEnd w:id="20"/>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1" w:name="_kkvwp6yg1oxq" w:colFirst="0" w:colLast="0"/>
      <w:bookmarkEnd w:id="21"/>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2"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2"/>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lastRenderedPageBreak/>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3"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3"/>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4" w:name="_Toc516200664"/>
      <w:r w:rsidRPr="00EB7565">
        <w:rPr>
          <w:rFonts w:ascii="Times New Roman" w:hAnsi="Times New Roman" w:cs="Times New Roman"/>
          <w:b/>
          <w:sz w:val="22"/>
          <w:szCs w:val="22"/>
        </w:rPr>
        <w:t>Identificación:</w:t>
      </w:r>
      <w:bookmarkEnd w:id="24"/>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5" w:name="_Toc516200665"/>
      <w:r w:rsidRPr="00EB7565">
        <w:rPr>
          <w:rFonts w:ascii="Times New Roman" w:hAnsi="Times New Roman" w:cs="Times New Roman"/>
          <w:b/>
          <w:color w:val="000000" w:themeColor="text1"/>
          <w:sz w:val="22"/>
          <w:szCs w:val="22"/>
        </w:rPr>
        <w:t>Lista de Clasificación de CI</w:t>
      </w:r>
      <w:bookmarkEnd w:id="25"/>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6"/>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7" w:name="_Toc516200667"/>
      <w:r w:rsidRPr="00EB7565">
        <w:rPr>
          <w:rFonts w:ascii="Times New Roman" w:hAnsi="Times New Roman" w:cs="Times New Roman"/>
          <w:b/>
        </w:rPr>
        <w:t>Lista de Ítems con la Nomenclatura</w:t>
      </w:r>
      <w:bookmarkEnd w:id="27"/>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8"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8"/>
    </w:p>
    <w:p w:rsidR="005602AE" w:rsidRPr="00EB7565" w:rsidRDefault="00E1528B" w:rsidP="004324D6">
      <w:pPr>
        <w:ind w:left="720"/>
        <w:rPr>
          <w:rFonts w:ascii="Times New Roman" w:hAnsi="Times New Roman" w:cs="Times New Roman"/>
        </w:rPr>
      </w:pPr>
      <w:r w:rsidRPr="00EB7565">
        <w:rPr>
          <w:rFonts w:ascii="Times New Roman" w:eastAsia="Times New Roman" w:hAnsi="Times New Roman" w:cs="Times New Roman"/>
        </w:rPr>
        <w:t>En esta sección todos los cambios al software durante su ciclo de vida serán gestionados, haciendo un seguimiento desde su solicitud hasta su etapa final</w:t>
      </w:r>
      <w:r w:rsidRPr="00EB7565">
        <w:rPr>
          <w:rFonts w:ascii="Times New Roman" w:hAnsi="Times New Roman" w:cs="Times New Roman"/>
        </w:rPr>
        <w:t>.</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lastRenderedPageBreak/>
        <w:t>Líneas Base:</w:t>
      </w:r>
      <w:bookmarkEnd w:id="29"/>
      <w:r w:rsidRPr="00EB7565">
        <w:rPr>
          <w:rFonts w:ascii="Times New Roman" w:hAnsi="Times New Roman" w:cs="Times New Roman"/>
          <w:b/>
        </w:rPr>
        <w:t xml:space="preserve"> </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lastRenderedPageBreak/>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lastRenderedPageBreak/>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lastRenderedPageBreak/>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F3B" w:rsidRDefault="00627F3B" w:rsidP="00D31FA8">
      <w:pPr>
        <w:spacing w:line="240" w:lineRule="auto"/>
      </w:pPr>
      <w:r>
        <w:separator/>
      </w:r>
    </w:p>
  </w:endnote>
  <w:endnote w:type="continuationSeparator" w:id="0">
    <w:p w:rsidR="00627F3B" w:rsidRDefault="00627F3B"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EndPr/>
    <w:sdtContent>
      <w:p w:rsidR="00523FFB" w:rsidRDefault="00523FFB" w:rsidP="00522932">
        <w:pPr>
          <w:pStyle w:val="Piedepgina"/>
          <w:jc w:val="center"/>
        </w:pPr>
        <w:r>
          <w:fldChar w:fldCharType="begin"/>
        </w:r>
        <w:r>
          <w:instrText>PAGE   \* MERGEFORMAT</w:instrText>
        </w:r>
        <w:r>
          <w:fldChar w:fldCharType="separate"/>
        </w:r>
        <w:r w:rsidR="00544D76" w:rsidRPr="00544D76">
          <w:rPr>
            <w:noProof/>
            <w:lang w:val="es-ES"/>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F3B" w:rsidRDefault="00627F3B" w:rsidP="00D31FA8">
      <w:pPr>
        <w:spacing w:line="240" w:lineRule="auto"/>
      </w:pPr>
      <w:r>
        <w:separator/>
      </w:r>
    </w:p>
  </w:footnote>
  <w:footnote w:type="continuationSeparator" w:id="0">
    <w:p w:rsidR="00627F3B" w:rsidRDefault="00627F3B"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28439F"/>
    <w:rsid w:val="002A0E1D"/>
    <w:rsid w:val="002B6E53"/>
    <w:rsid w:val="002D46E0"/>
    <w:rsid w:val="0030065B"/>
    <w:rsid w:val="00326C77"/>
    <w:rsid w:val="0034429B"/>
    <w:rsid w:val="00353D07"/>
    <w:rsid w:val="00367A04"/>
    <w:rsid w:val="004324D6"/>
    <w:rsid w:val="004912A3"/>
    <w:rsid w:val="004F559A"/>
    <w:rsid w:val="00522932"/>
    <w:rsid w:val="00523FFB"/>
    <w:rsid w:val="00544D76"/>
    <w:rsid w:val="005602AE"/>
    <w:rsid w:val="00597423"/>
    <w:rsid w:val="005A219D"/>
    <w:rsid w:val="005C2C58"/>
    <w:rsid w:val="005D1F67"/>
    <w:rsid w:val="00627F3B"/>
    <w:rsid w:val="00651200"/>
    <w:rsid w:val="00666FCB"/>
    <w:rsid w:val="006B1D1C"/>
    <w:rsid w:val="006F5A10"/>
    <w:rsid w:val="00707D01"/>
    <w:rsid w:val="007267D2"/>
    <w:rsid w:val="007603A4"/>
    <w:rsid w:val="00762450"/>
    <w:rsid w:val="0077468F"/>
    <w:rsid w:val="007800C0"/>
    <w:rsid w:val="007A13B7"/>
    <w:rsid w:val="007E1664"/>
    <w:rsid w:val="00897A5F"/>
    <w:rsid w:val="008C68B9"/>
    <w:rsid w:val="008E729C"/>
    <w:rsid w:val="00916B8B"/>
    <w:rsid w:val="00973460"/>
    <w:rsid w:val="0098057F"/>
    <w:rsid w:val="00990F72"/>
    <w:rsid w:val="009C15B5"/>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EE204B"/>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58DF1"/>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64197-451A-4BB7-A732-067DFB29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3516</Words>
  <Characters>19340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6</cp:revision>
  <dcterms:created xsi:type="dcterms:W3CDTF">2018-06-26T11:06:00Z</dcterms:created>
  <dcterms:modified xsi:type="dcterms:W3CDTF">2018-06-26T11:31:00Z</dcterms:modified>
</cp:coreProperties>
</file>