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595959"/>
        </w:rPr>
      </w:pPr>
      <w:bookmarkStart w:colFirst="0" w:colLast="0" w:name="_xdvm1q99pz6t" w:id="0"/>
      <w:bookmarkEnd w:id="0"/>
      <w:r w:rsidDel="00000000" w:rsidR="00000000" w:rsidRPr="00000000">
        <w:rPr/>
        <w:drawing>
          <wp:inline distB="114300" distT="114300" distL="114300" distR="114300">
            <wp:extent cx="3757613" cy="4678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7613" cy="4678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ectPr>
          <w:headerReference r:id="rId7" w:type="default"/>
          <w:headerReference r:id="rId8" w:type="first"/>
          <w:headerReference r:id="rId9" w:type="even"/>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3">
      <w:pPr>
        <w:pStyle w:val="Title"/>
        <w:jc w:val="center"/>
        <w:rPr>
          <w:rFonts w:ascii="Lato Light" w:cs="Lato Light" w:eastAsia="Lato Light" w:hAnsi="Lato Light"/>
          <w:color w:val="674ea7"/>
        </w:rPr>
      </w:pPr>
      <w:bookmarkStart w:colFirst="0" w:colLast="0" w:name="_q2i1yi602zpt" w:id="1"/>
      <w:bookmarkEnd w:id="1"/>
      <w:r w:rsidDel="00000000" w:rsidR="00000000" w:rsidRPr="00000000">
        <w:rPr>
          <w:rtl w:val="0"/>
        </w:rPr>
        <w:t xml:space="preserve">SESAP Handbook</w:t>
      </w:r>
      <w:r w:rsidDel="00000000" w:rsidR="00000000" w:rsidRPr="00000000">
        <w:rPr>
          <w:rtl w:val="0"/>
        </w:rPr>
      </w:r>
    </w:p>
    <w:p w:rsidR="00000000" w:rsidDel="00000000" w:rsidP="00000000" w:rsidRDefault="00000000" w:rsidRPr="00000000" w14:paraId="00000004">
      <w:pPr>
        <w:pStyle w:val="Subtitle"/>
        <w:jc w:val="center"/>
        <w:rPr/>
      </w:pPr>
      <w:bookmarkStart w:colFirst="0" w:colLast="0" w:name="_e59qyakk77wp" w:id="2"/>
      <w:bookmarkEnd w:id="2"/>
      <w:r w:rsidDel="00000000" w:rsidR="00000000" w:rsidRPr="00000000">
        <w:rPr>
          <w:rtl w:val="0"/>
        </w:rPr>
        <w:t xml:space="preserve">SESAP Overview</w:t>
      </w:r>
      <w:r w:rsidDel="00000000" w:rsidR="00000000" w:rsidRPr="00000000">
        <w:rPr>
          <w:rtl w:val="0"/>
        </w:rPr>
      </w:r>
    </w:p>
    <w:p w:rsidR="00000000" w:rsidDel="00000000" w:rsidP="00000000" w:rsidRDefault="00000000" w:rsidRPr="00000000" w14:paraId="00000005">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6">
      <w:pPr>
        <w:jc w:val="center"/>
        <w:rPr>
          <w:i w:val="1"/>
          <w:iCs w:val="1"/>
        </w:rPr>
      </w:pPr>
      <w:r w:rsidDel="00000000" w:rsidR="00000000" w:rsidRPr="00000000">
        <w:rPr>
          <w:i w:val="1"/>
          <w:iCs w:val="1"/>
          <w:rtl w:val="0"/>
        </w:rPr>
        <w:t xml:space="preserve">Written by Diana</w:t>
      </w: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jc w:val="center"/>
        <w:rPr>
          <w:i w:val="1"/>
          <w:iCs w:val="1"/>
        </w:rPr>
      </w:pPr>
      <w:r w:rsidDel="00000000" w:rsidR="00000000" w:rsidRPr="00000000">
        <w:rPr>
          <w:rtl w:val="0"/>
        </w:rPr>
      </w:r>
    </w:p>
    <w:p w:rsidR="00000000" w:rsidDel="00000000" w:rsidP="00000000" w:rsidRDefault="00000000" w:rsidRPr="00000000" w14:paraId="00000009">
      <w:pPr>
        <w:pStyle w:val="Heading1"/>
        <w:spacing w:line="276" w:lineRule="auto"/>
        <w:rPr/>
      </w:pPr>
      <w:bookmarkStart w:colFirst="0" w:colLast="0" w:name="_1y3w6lqne0on" w:id="3"/>
      <w:bookmarkEnd w:id="3"/>
      <w:r w:rsidDel="00000000" w:rsidR="00000000" w:rsidRPr="00000000">
        <w:rPr>
          <w:rtl w:val="0"/>
        </w:rPr>
        <w:t xml:space="preserve">Executive Summary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a summarized version of SESAP’s  internal handbook to help each and everyone understand the product and how we aim to present it to our prospective clients . It covers the overview of what SESAP is , the problem it solves , pricing model and the official roadmap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32x8ngdd0xca" w:id="4"/>
      <w:bookmarkEnd w:id="4"/>
      <w:r w:rsidDel="00000000" w:rsidR="00000000" w:rsidRPr="00000000">
        <w:rPr>
          <w:rtl w:val="0"/>
        </w:rPr>
        <w:t xml:space="preserve">Problem Statement for Poly186:</w:t>
      </w:r>
    </w:p>
    <w:p w:rsidR="00000000" w:rsidDel="00000000" w:rsidP="00000000" w:rsidRDefault="00000000" w:rsidRPr="00000000" w14:paraId="0000000E">
      <w:pPr>
        <w:rPr/>
      </w:pPr>
      <w:r w:rsidDel="00000000" w:rsidR="00000000" w:rsidRPr="00000000">
        <w:rPr>
          <w:rtl w:val="0"/>
        </w:rPr>
        <w:t xml:space="preserve">Poly186 is facing the challenge of building platforms, products, and services that provide the infrastructure for other companies to develop 3rd party platforms, products, and services that automate the production and distribution of basic needs. This process is complex and time-consuming, requiring the identification of the right partners, ensuring transparency and accountability, and managing funding and investment.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vfs5jnrzhs1o" w:id="5"/>
      <w:bookmarkEnd w:id="5"/>
      <w:r w:rsidDel="00000000" w:rsidR="00000000" w:rsidRPr="00000000">
        <w:rPr>
          <w:rtl w:val="0"/>
        </w:rPr>
        <w:t xml:space="preserve">Problem Statement for SESAP:</w:t>
      </w:r>
    </w:p>
    <w:p w:rsidR="00000000" w:rsidDel="00000000" w:rsidP="00000000" w:rsidRDefault="00000000" w:rsidRPr="00000000" w14:paraId="00000011">
      <w:pPr>
        <w:rPr/>
      </w:pPr>
      <w:r w:rsidDel="00000000" w:rsidR="00000000" w:rsidRPr="00000000">
        <w:rPr>
          <w:rtl w:val="0"/>
        </w:rPr>
        <w:t xml:space="preserve">The outdated social contracts between individuals, corporations, organizations, and governments maintain systems of production and distribution that contribute to persistent problems such as climate change, poverty, food/water insecurity, social unrest, and other wicked problems. These contracts are unable to align incentives and coordinate the efforts of billions of individuals and organizations to solve these problems. This creates a self-destructive loop that perpetuates resistance to acting for the collective good. Despite advancements in technology and available capital, the lack of a platform to align incentives and hold individuals accountable remains a barrier to solving these problems. SESAP aims to address this problem by facilitating collaboration and coordination between organizations, individuals, and community groups, utilizing AI and smart contracts to align incentives, and implementing a reputation system for evaluating organizational credibility.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Poly186 is actively developing platforms, products, and services that provide the infrastructure for companies to build 3rd party platforms, products, and services that automate the production and distribution of basic necessities. To address the challenges of finding suitable partners, transparency, and accountability, and funding and investment, Poly186 has created the Self-Executing Social Agreements Platform (SESAP).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3osaf2wj9hm5" w:id="6"/>
      <w:bookmarkEnd w:id="6"/>
      <w:r w:rsidDel="00000000" w:rsidR="00000000" w:rsidRPr="00000000">
        <w:rPr>
          <w:rtl w:val="0"/>
        </w:rPr>
        <w:t xml:space="preserve">SESAP Core </w:t>
      </w:r>
    </w:p>
    <w:p w:rsidR="00000000" w:rsidDel="00000000" w:rsidP="00000000" w:rsidRDefault="00000000" w:rsidRPr="00000000" w14:paraId="00000016">
      <w:pPr>
        <w:rPr/>
      </w:pPr>
      <w:r w:rsidDel="00000000" w:rsidR="00000000" w:rsidRPr="00000000">
        <w:rPr>
          <w:rtl w:val="0"/>
        </w:rPr>
        <w:t xml:space="preserve">To  align incentives and include a reputation system to evaluate the credibility of organizations. This enables Poly186 to effectively find and collaborate with the right partners, handle funding and investment transparency and accountability, and streamline the process of creating platforms and services to automate the production and distribution of basic needs.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z55xb9yemxay" w:id="7"/>
      <w:bookmarkEnd w:id="7"/>
      <w:r w:rsidDel="00000000" w:rsidR="00000000" w:rsidRPr="00000000">
        <w:rPr>
          <w:rtl w:val="0"/>
        </w:rPr>
        <w:t xml:space="preserve">SESAP +</w:t>
      </w:r>
    </w:p>
    <w:p w:rsidR="00000000" w:rsidDel="00000000" w:rsidP="00000000" w:rsidRDefault="00000000" w:rsidRPr="00000000" w14:paraId="00000019">
      <w:pPr>
        <w:rPr/>
      </w:pPr>
      <w:r w:rsidDel="00000000" w:rsidR="00000000" w:rsidRPr="00000000">
        <w:rPr>
          <w:rtl w:val="0"/>
        </w:rPr>
        <w:t xml:space="preserve">For those seeking even more features and functionalities, SESAP offers a premium version called SESAP+. This version includes a role and community system, predictive agreement optimization, a decentralized reputation system, social impact tracking, and a collaboration hub. SESAP+ unlocks new modes of interaction between customers, employees, capitalists, and partners, enabling the creation of more equitable and sustainable business models.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SESAP and Smart Social Contracts (SSCs) aim to solve the persistent problems of climate change, poverty, food and water insecurity, social unrest, and more. By aligning incentives and automating the execution of agreements, SESAP and SSCs hold parties accountable and create a more efficient, equitable, and transparent system for conducting business and collaboration. The platform enables parties to work together towards common goals, leading to greater innovation and success.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1df0s96chi0u" w:id="8"/>
      <w:bookmarkEnd w:id="8"/>
      <w:r w:rsidDel="00000000" w:rsidR="00000000" w:rsidRPr="00000000">
        <w:rPr>
          <w:rtl w:val="0"/>
        </w:rPr>
        <w:t xml:space="preserve">MVP ROADMAP </w:t>
      </w:r>
    </w:p>
    <w:p w:rsidR="00000000" w:rsidDel="00000000" w:rsidP="00000000" w:rsidRDefault="00000000" w:rsidRPr="00000000" w14:paraId="0000001E">
      <w:pPr>
        <w:rPr/>
      </w:pPr>
      <w:r w:rsidDel="00000000" w:rsidR="00000000" w:rsidRPr="00000000">
        <w:rPr>
          <w:rtl w:val="0"/>
        </w:rPr>
        <w:t xml:space="preserve">The SESAP MVP Roadmap outlines the incremental development plan for the self-executing social agreements platform. Starting with the simple UI for agreement creation, execution and monitoring, then gradually adding more advanced features like customizable contract templates, document management, and organization management, this roadmap covers all the key functionalities that you want to offer to the users. The final phase includes features like translation, recommendations AI, and discovery engine to make SESAP a complete platform for executing social agreements.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MVP will allow customers to create, execute, and monitor agreements through a simple user interface, with added features and improvements along the way. By the end of the MVP phase, customers can expect a platform that allows for e-signatures, the ability to upload their driver's license for trustworthiness, the minting of contracts and agreements on the blockchain, customizable contract templates, and improved organization management through cloud talent and document management solutions.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SESAP MVP aims to provide customers with a simple UI for agreement creation, execution, and monitoring in Phase 1, with additional features such as e-signature functionality and document verification through the VERTEX VISION API.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zcx5klagxpr4" w:id="9"/>
      <w:bookmarkEnd w:id="9"/>
      <w:r w:rsidDel="00000000" w:rsidR="00000000" w:rsidRPr="00000000">
        <w:rPr>
          <w:rtl w:val="0"/>
        </w:rPr>
        <w:t xml:space="preserve">In Phase 2,</w:t>
      </w:r>
    </w:p>
    <w:p w:rsidR="00000000" w:rsidDel="00000000" w:rsidP="00000000" w:rsidRDefault="00000000" w:rsidRPr="00000000" w14:paraId="00000025">
      <w:pPr>
        <w:rPr/>
      </w:pPr>
      <w:r w:rsidDel="00000000" w:rsidR="00000000" w:rsidRPr="00000000">
        <w:rPr>
          <w:rtl w:val="0"/>
        </w:rPr>
        <w:t xml:space="preserve"> The platform will mint contracts and agreements on the blockchain, offer customizable contract templates, and analyze uploaded contracts using DOCUMENT AI.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4miq98uhhuon" w:id="10"/>
      <w:bookmarkEnd w:id="10"/>
      <w:r w:rsidDel="00000000" w:rsidR="00000000" w:rsidRPr="00000000">
        <w:rPr>
          <w:rtl w:val="0"/>
        </w:rPr>
        <w:t xml:space="preserve">Phase 3 </w:t>
      </w:r>
    </w:p>
    <w:p w:rsidR="00000000" w:rsidDel="00000000" w:rsidP="00000000" w:rsidRDefault="00000000" w:rsidRPr="00000000" w14:paraId="00000028">
      <w:pPr>
        <w:rPr/>
      </w:pPr>
      <w:r w:rsidDel="00000000" w:rsidR="00000000" w:rsidRPr="00000000">
        <w:rPr>
          <w:rtl w:val="0"/>
        </w:rPr>
        <w:t xml:space="preserve">Will focus on creating company and organization structures, defining job postings, and improving the UI.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4sag3g5bi27j" w:id="11"/>
      <w:bookmarkEnd w:id="11"/>
      <w:r w:rsidDel="00000000" w:rsidR="00000000" w:rsidRPr="00000000">
        <w:rPr>
          <w:rtl w:val="0"/>
        </w:rPr>
        <w:t xml:space="preserve">Phase 4 </w:t>
      </w:r>
    </w:p>
    <w:p w:rsidR="00000000" w:rsidDel="00000000" w:rsidP="00000000" w:rsidRDefault="00000000" w:rsidRPr="00000000" w14:paraId="0000002C">
      <w:pPr>
        <w:rPr/>
      </w:pPr>
      <w:r w:rsidDel="00000000" w:rsidR="00000000" w:rsidRPr="00000000">
        <w:rPr>
          <w:rtl w:val="0"/>
        </w:rPr>
        <w:t xml:space="preserve">Will bring cloud talent-powered features to handle organization management in SESAP, using both GPT-3 and Codex APIs to test applicants' understanding of organizations. Phase 5 will introduce the DocAI Warehouse for document management, intelligent products, and a discovery engine to increase conversion rates. Finally, in Phase 6, the platform will offer translation and language detection for agreements, custom recommendations, and a cross-industry discovery engine.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szqer8d8wutp" w:id="12"/>
      <w:bookmarkEnd w:id="12"/>
      <w:r w:rsidDel="00000000" w:rsidR="00000000" w:rsidRPr="00000000">
        <w:rPr>
          <w:rtl w:val="0"/>
        </w:rPr>
        <w:t xml:space="preserve">Presentation to Clients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tcpo3bqzmo4k" w:id="13"/>
      <w:bookmarkEnd w:id="13"/>
      <w:r w:rsidDel="00000000" w:rsidR="00000000" w:rsidRPr="00000000">
        <w:rPr>
          <w:rtl w:val="0"/>
        </w:rPr>
        <w:t xml:space="preserve">Introduction to SESAP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SESAP is a revolutionary platform that provides smart contract solutions to individuals and businesses. It offers a simple, fast and secure way to sign and manage contracts, freeing you from the hassle of traditional contract management.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cuz2ts542uiv" w:id="14"/>
      <w:bookmarkEnd w:id="14"/>
      <w:r w:rsidDel="00000000" w:rsidR="00000000" w:rsidRPr="00000000">
        <w:rPr>
          <w:rtl w:val="0"/>
        </w:rPr>
        <w:t xml:space="preserve">Dream Outcome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With SESAP, your dream outcome is achievable. You can easily and effectively manage your contracts, freeing you to focus on what's important to you. You'll no longer have to worry about missing deadlines, keeping track of your contracts or making sure everything is in order.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fotyxq6d0ao" w:id="15"/>
      <w:bookmarkEnd w:id="15"/>
      <w:r w:rsidDel="00000000" w:rsidR="00000000" w:rsidRPr="00000000">
        <w:rPr>
          <w:rtl w:val="0"/>
        </w:rPr>
        <w:t xml:space="preserve">Perceived Likelihood of Achievement</w:t>
      </w:r>
    </w:p>
    <w:p w:rsidR="00000000" w:rsidDel="00000000" w:rsidP="00000000" w:rsidRDefault="00000000" w:rsidRPr="00000000" w14:paraId="00000039">
      <w:pPr>
        <w:rPr/>
      </w:pPr>
      <w:r w:rsidDel="00000000" w:rsidR="00000000" w:rsidRPr="00000000">
        <w:rPr>
          <w:rtl w:val="0"/>
        </w:rPr>
        <w:t xml:space="preserve">SESAP provides a high perceived likelihood of achievement, with its user-friendly interface and seamless integration into your existing work processes. Our platform is designed to be easy to use and understand, so you can be confident in your ability to successfully manage your contracts.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kmfb5t1x1l5u" w:id="16"/>
      <w:bookmarkEnd w:id="16"/>
      <w:r w:rsidDel="00000000" w:rsidR="00000000" w:rsidRPr="00000000">
        <w:rPr>
          <w:rtl w:val="0"/>
        </w:rPr>
        <w:t xml:space="preserve">Time Delay</w:t>
      </w:r>
    </w:p>
    <w:p w:rsidR="00000000" w:rsidDel="00000000" w:rsidP="00000000" w:rsidRDefault="00000000" w:rsidRPr="00000000" w14:paraId="0000003C">
      <w:pPr>
        <w:rPr/>
      </w:pPr>
      <w:r w:rsidDel="00000000" w:rsidR="00000000" w:rsidRPr="00000000">
        <w:rPr>
          <w:rtl w:val="0"/>
        </w:rPr>
        <w:t xml:space="preserve">SESAP significantly decreases the time delay between signing and managing contracts. Our platform streamlines the contract management process, allowing you to focus on your goals and freeing up time for you to pursue other opportunities.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wy8ajpwbe0an" w:id="17"/>
      <w:bookmarkEnd w:id="17"/>
      <w:r w:rsidDel="00000000" w:rsidR="00000000" w:rsidRPr="00000000">
        <w:rPr>
          <w:rtl w:val="0"/>
        </w:rPr>
        <w:t xml:space="preserve">Effort and Sacrifice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effort and sacrifice required to manage your contracts is greatly reduced with SESAP. You no longer have to worry about sifting through stacks of paper, or dealing with complicated and time-consuming contract management processes. SESAP simplifies the process, making it easy and convenient for you to manage your contracts.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6ao0t01i0c57" w:id="18"/>
      <w:bookmarkEnd w:id="18"/>
      <w:r w:rsidDel="00000000" w:rsidR="00000000" w:rsidRPr="00000000">
        <w:rPr>
          <w:rtl w:val="0"/>
        </w:rPr>
        <w:t xml:space="preserve">SESAP's Competitive Advantage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SESAP is leagues above the competition, offering not only the ability to generate and sign contracts but also turn them into smart contracts. With future versions of SESAP, our clients will be able to autonomously run their organizations through self-executing agreements that interact and manage the relationships with their employees and external stakeholders such as suppliers, partners, and investors.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f9zxxt16ct41" w:id="19"/>
      <w:bookmarkEnd w:id="19"/>
      <w:r w:rsidDel="00000000" w:rsidR="00000000" w:rsidRPr="00000000">
        <w:rPr>
          <w:rtl w:val="0"/>
        </w:rPr>
        <w:t xml:space="preserve">Pricing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SESAP is offered at a monthly or annual rate, with the option to purchase a yearly plan at a 25% discount. The prices vary based on the type of user and are as follows: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Individual: $50/month or $600/year (after 25% discount)</w:t>
      </w:r>
    </w:p>
    <w:p w:rsidR="00000000" w:rsidDel="00000000" w:rsidP="00000000" w:rsidRDefault="00000000" w:rsidRPr="00000000" w14:paraId="0000004B">
      <w:pPr>
        <w:rPr/>
      </w:pPr>
      <w:r w:rsidDel="00000000" w:rsidR="00000000" w:rsidRPr="00000000">
        <w:rPr>
          <w:rtl w:val="0"/>
        </w:rPr>
        <w:t xml:space="preserve">Business: $80/month or $960/year per user (after 25% discount)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skmyni7iwuxf" w:id="20"/>
      <w:bookmarkEnd w:id="20"/>
      <w:r w:rsidDel="00000000" w:rsidR="00000000" w:rsidRPr="00000000">
        <w:rPr>
          <w:b w:val="1"/>
          <w:bCs w:val="1"/>
          <w:rtl w:val="0"/>
        </w:rPr>
        <w:t xml:space="preserve">SESAP</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Creators: $100/month or $1200/year</w:t>
      </w:r>
    </w:p>
    <w:p w:rsidR="00000000" w:rsidDel="00000000" w:rsidP="00000000" w:rsidRDefault="00000000" w:rsidRPr="00000000" w14:paraId="0000004F">
      <w:pPr>
        <w:rPr/>
      </w:pPr>
      <w:r w:rsidDel="00000000" w:rsidR="00000000" w:rsidRPr="00000000">
        <w:rPr>
          <w:rtl w:val="0"/>
        </w:rPr>
        <w:t xml:space="preserve">Entrepreneurs: $500/month or $6000/year</w:t>
      </w:r>
    </w:p>
    <w:p w:rsidR="00000000" w:rsidDel="00000000" w:rsidP="00000000" w:rsidRDefault="00000000" w:rsidRPr="00000000" w14:paraId="00000050">
      <w:pPr>
        <w:rPr/>
      </w:pPr>
      <w:r w:rsidDel="00000000" w:rsidR="00000000" w:rsidRPr="00000000">
        <w:rPr>
          <w:rtl w:val="0"/>
        </w:rPr>
        <w:t xml:space="preserve">Capitalists: $1000/month or $12000/year</w:t>
      </w:r>
    </w:p>
    <w:p w:rsidR="00000000" w:rsidDel="00000000" w:rsidP="00000000" w:rsidRDefault="00000000" w:rsidRPr="00000000" w14:paraId="00000051">
      <w:pPr>
        <w:rPr/>
      </w:pPr>
      <w:r w:rsidDel="00000000" w:rsidR="00000000" w:rsidRPr="00000000">
        <w:rPr>
          <w:rtl w:val="0"/>
        </w:rPr>
        <w:t xml:space="preserve">Organizations: $5000/month or $60000/year.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scoglk9ego81" w:id="21"/>
      <w:bookmarkEnd w:id="21"/>
      <w:r w:rsidDel="00000000" w:rsidR="00000000" w:rsidRPr="00000000">
        <w:rPr>
          <w:rtl w:val="0"/>
        </w:rPr>
        <w:t xml:space="preserve">Conclusion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rtl w:val="0"/>
        </w:rPr>
        <w:t xml:space="preserve">SESAP is the solution to your contract management needs. With its high perceived likelihood of achievement, reduced time delay, decreased effort and sacrifice, and competitive advantage, you can be confident in choosing SESAP as your smart contract solution.</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Josefin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osefi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Josefin Sa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Josefin Sans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rFonts w:ascii="Josefin Sans SemiBold" w:cs="Josefin Sans SemiBold" w:eastAsia="Josefin Sans SemiBold" w:hAnsi="Josefin Sans SemiBold"/>
        <w:sz w:val="64"/>
        <w:szCs w:val="64"/>
      </w:rPr>
    </w:pPr>
    <w:r w:rsidDel="00000000" w:rsidR="00000000" w:rsidRPr="00000000">
      <w:rPr>
        <w:rFonts w:ascii="Josefin Sans SemiBold" w:cs="Josefin Sans SemiBold" w:eastAsia="Josefin Sans SemiBold" w:hAnsi="Josefin Sans SemiBold"/>
        <w:sz w:val="64"/>
        <w:szCs w:val="64"/>
        <w:rtl w:val="0"/>
      </w:rPr>
      <w:t xml:space="preserve">SESAP </w:t>
    </w:r>
  </w:p>
  <w:p w:rsidR="00000000" w:rsidDel="00000000" w:rsidP="00000000" w:rsidRDefault="00000000" w:rsidRPr="00000000" w14:paraId="00000057">
    <w:pPr>
      <w:jc w:val="center"/>
      <w:rPr>
        <w:rFonts w:ascii="Josefin Sans SemiBold" w:cs="Josefin Sans SemiBold" w:eastAsia="Josefin Sans SemiBold" w:hAnsi="Josefin Sans SemiBold"/>
        <w:sz w:val="64"/>
        <w:szCs w:val="64"/>
      </w:rPr>
    </w:pPr>
    <w:r w:rsidDel="00000000" w:rsidR="00000000" w:rsidRPr="00000000">
      <w:rPr>
        <w:rFonts w:ascii="Josefin Sans SemiBold" w:cs="Josefin Sans SemiBold" w:eastAsia="Josefin Sans SemiBold" w:hAnsi="Josefin Sans SemiBold"/>
        <w:sz w:val="64"/>
        <w:szCs w:val="64"/>
        <w:rtl w:val="0"/>
      </w:rPr>
      <w:t xml:space="preserve">Handbook</w:t>
    </w:r>
    <w:r w:rsidDel="00000000" w:rsidR="00000000" w:rsidRPr="00000000">
      <w:rPr>
        <w:rFonts w:ascii="Josefin Sans SemiBold" w:cs="Josefin Sans SemiBold" w:eastAsia="Josefin Sans SemiBold" w:hAnsi="Josefin Sans SemiBold"/>
        <w:sz w:val="64"/>
        <w:szCs w:val="64"/>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476250</wp:posOffset>
          </wp:positionV>
          <wp:extent cx="1595438" cy="197657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95438" cy="197657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374.4" w:lineRule="auto"/>
    </w:pPr>
    <w:rPr>
      <w:rFonts w:ascii="Josefin Sans SemiBold" w:cs="Josefin Sans SemiBold" w:eastAsia="Josefin Sans SemiBold" w:hAnsi="Josefin Sans SemiBold"/>
      <w:color w:val="351c75"/>
      <w:sz w:val="64"/>
      <w:szCs w:val="64"/>
    </w:rPr>
  </w:style>
  <w:style w:type="paragraph" w:styleId="Heading2">
    <w:name w:val="heading 2"/>
    <w:basedOn w:val="Normal"/>
    <w:next w:val="Normal"/>
    <w:pPr>
      <w:keepNext w:val="1"/>
      <w:keepLines w:val="1"/>
      <w:spacing w:after="240" w:before="240" w:line="374.4" w:lineRule="auto"/>
    </w:pPr>
    <w:rPr>
      <w:rFonts w:ascii="Josefin Sans Light" w:cs="Josefin Sans Light" w:eastAsia="Josefin Sans Light" w:hAnsi="Josefin Sans Light"/>
      <w:color w:val="e69138"/>
      <w:sz w:val="60"/>
      <w:szCs w:val="60"/>
    </w:rPr>
  </w:style>
  <w:style w:type="paragraph" w:styleId="Heading3">
    <w:name w:val="heading 3"/>
    <w:basedOn w:val="Normal"/>
    <w:next w:val="Normal"/>
    <w:pPr>
      <w:keepNext w:val="1"/>
      <w:keepLines w:val="1"/>
    </w:pPr>
    <w:rPr>
      <w:rFonts w:ascii="Josefin Sans Medium" w:cs="Josefin Sans Medium" w:eastAsia="Josefin Sans Medium" w:hAnsi="Josefin Sans Medium"/>
      <w:color w:val="1a9988"/>
      <w:sz w:val="44"/>
      <w:szCs w:val="44"/>
    </w:rPr>
  </w:style>
  <w:style w:type="paragraph" w:styleId="Heading4">
    <w:name w:val="heading 4"/>
    <w:basedOn w:val="Normal"/>
    <w:next w:val="Normal"/>
    <w:pPr>
      <w:keepNext w:val="1"/>
      <w:keepLines w:val="1"/>
    </w:pPr>
    <w:rPr>
      <w:rFonts w:ascii="Josefin Sans SemiBold" w:cs="Josefin Sans SemiBold" w:eastAsia="Josefin Sans SemiBold" w:hAnsi="Josefin Sans SemiBold"/>
      <w:color w:val="a64d79"/>
      <w:sz w:val="36"/>
      <w:szCs w:val="36"/>
    </w:rPr>
  </w:style>
  <w:style w:type="paragraph" w:styleId="Heading5">
    <w:name w:val="heading 5"/>
    <w:basedOn w:val="Normal"/>
    <w:next w:val="Normal"/>
    <w:pPr>
      <w:keepNext w:val="1"/>
      <w:keepLines w:val="1"/>
      <w:spacing w:after="80" w:line="276" w:lineRule="auto"/>
    </w:pPr>
    <w:rPr>
      <w:rFonts w:ascii="Josefin Sans" w:cs="Josefin Sans" w:eastAsia="Josefin Sans" w:hAnsi="Josefin Sans"/>
      <w:b w:val="1"/>
      <w:bCs w:val="1"/>
      <w:color w:val="990000"/>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Josefin Sans" w:cs="Josefin Sans" w:eastAsia="Josefin Sans" w:hAnsi="Josefin Sans"/>
      <w:b w:val="1"/>
      <w:bCs w:val="1"/>
      <w:color w:val="674ea7"/>
      <w:sz w:val="96"/>
      <w:szCs w:val="96"/>
    </w:rPr>
  </w:style>
  <w:style w:type="paragraph" w:styleId="Subtitle">
    <w:name w:val="Subtitle"/>
    <w:basedOn w:val="Normal"/>
    <w:next w:val="Normal"/>
    <w:pPr>
      <w:keepNext w:val="1"/>
      <w:keepLines w:val="1"/>
      <w:jc w:val="center"/>
    </w:pPr>
    <w:rPr>
      <w:rFonts w:ascii="Lato Light" w:cs="Lato Light" w:eastAsia="Lato Light" w:hAnsi="Lato Light"/>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20" Type="http://schemas.openxmlformats.org/officeDocument/2006/relationships/font" Target="fonts/JosefinSansSemiBold-boldItalic.ttf"/><Relationship Id="rId11" Type="http://schemas.openxmlformats.org/officeDocument/2006/relationships/font" Target="fonts/LatoLight-italic.ttf"/><Relationship Id="rId22" Type="http://schemas.openxmlformats.org/officeDocument/2006/relationships/font" Target="fonts/JosefinSansLight-bold.ttf"/><Relationship Id="rId10" Type="http://schemas.openxmlformats.org/officeDocument/2006/relationships/font" Target="fonts/LatoLight-bold.ttf"/><Relationship Id="rId21" Type="http://schemas.openxmlformats.org/officeDocument/2006/relationships/font" Target="fonts/JosefinSansLight-regular.ttf"/><Relationship Id="rId13" Type="http://schemas.openxmlformats.org/officeDocument/2006/relationships/font" Target="fonts/JosefinSans-regular.ttf"/><Relationship Id="rId24" Type="http://schemas.openxmlformats.org/officeDocument/2006/relationships/font" Target="fonts/JosefinSansLight-boldItalic.ttf"/><Relationship Id="rId12" Type="http://schemas.openxmlformats.org/officeDocument/2006/relationships/font" Target="fonts/LatoLight-boldItalic.ttf"/><Relationship Id="rId23" Type="http://schemas.openxmlformats.org/officeDocument/2006/relationships/font" Target="fonts/JosefinSansLight-italic.ttf"/><Relationship Id="rId1" Type="http://schemas.openxmlformats.org/officeDocument/2006/relationships/font" Target="fonts/JosefinSansMedium-regular.ttf"/><Relationship Id="rId2" Type="http://schemas.openxmlformats.org/officeDocument/2006/relationships/font" Target="fonts/JosefinSansMedium-bold.ttf"/><Relationship Id="rId3" Type="http://schemas.openxmlformats.org/officeDocument/2006/relationships/font" Target="fonts/JosefinSansMedium-italic.ttf"/><Relationship Id="rId4" Type="http://schemas.openxmlformats.org/officeDocument/2006/relationships/font" Target="fonts/JosefinSansMedium-boldItalic.ttf"/><Relationship Id="rId9" Type="http://schemas.openxmlformats.org/officeDocument/2006/relationships/font" Target="fonts/LatoLight-regular.ttf"/><Relationship Id="rId15" Type="http://schemas.openxmlformats.org/officeDocument/2006/relationships/font" Target="fonts/JosefinSans-italic.ttf"/><Relationship Id="rId14" Type="http://schemas.openxmlformats.org/officeDocument/2006/relationships/font" Target="fonts/JosefinSans-bold.ttf"/><Relationship Id="rId17" Type="http://schemas.openxmlformats.org/officeDocument/2006/relationships/font" Target="fonts/JosefinSansSemiBold-regular.ttf"/><Relationship Id="rId16" Type="http://schemas.openxmlformats.org/officeDocument/2006/relationships/font" Target="fonts/JosefinSans-boldItalic.ttf"/><Relationship Id="rId5" Type="http://schemas.openxmlformats.org/officeDocument/2006/relationships/font" Target="fonts/Lato-regular.ttf"/><Relationship Id="rId19" Type="http://schemas.openxmlformats.org/officeDocument/2006/relationships/font" Target="fonts/JosefinSansSemiBold-italic.ttf"/><Relationship Id="rId6" Type="http://schemas.openxmlformats.org/officeDocument/2006/relationships/font" Target="fonts/Lato-bold.ttf"/><Relationship Id="rId18" Type="http://schemas.openxmlformats.org/officeDocument/2006/relationships/font" Target="fonts/JosefinSansSemiBold-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