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t>
      </w:r>
    </w:p>
    <w:p>
      <w:pPr>
        <w:spacing w:after="120"/>
        <w:jc w:val="center"/>
      </w:pPr>
      <w:r>
        <w:rPr>
          <w:rFonts w:ascii="Arial" w:cs="Arial" w:eastAsia="Arial" w:hAnsi="Arial"/>
          <w:b/>
          <w:bCs/>
          <w:color w:val="3A6B08"/>
          <w:sz w:val="64"/>
          <w:szCs w:val="64"/>
        </w:rPr>
        <w:t xml:space="preserve">Poly AI Docs Claw</w:t>
      </w:r>
    </w:p>
    <w:p>
      <w:pPr>
        <w:spacing w:after="360"/>
        <w:jc w:val="center"/>
      </w:pPr>
      <w:r>
        <w:rPr>
          <w:rFonts w:ascii="Arial" w:cs="Arial" w:eastAsia="Arial" w:hAnsi="Arial"/>
          <w:color w:val="4A7C10"/>
          <w:sz w:val="32"/>
          <w:szCs w:val="32"/>
        </w:rPr>
        <w:t xml:space="preserve">Weekly comparative review</w:t>
      </w:r>
    </w:p>
    <w:p>
      <w:pPr>
        <w:spacing w:after="240"/>
        <w:jc w:val="center"/>
      </w:pPr>
      <w:r>
        <w:rPr>
          <w:rFonts w:ascii="Arial" w:cs="Arial" w:eastAsia="Arial" w:hAnsi="Arial"/>
          <w:i/>
          <w:iCs/>
          <w:sz w:val="28"/>
          <w:szCs w:val="28"/>
        </w:rPr>
        <w:t xml:space="preserve">vs. ElevenLabs</w:t>
      </w:r>
    </w:p>
    <w:p>
      <w:pPr>
        <w:spacing w:after="240"/>
        <w:jc w:val="center"/>
      </w:pPr>
      <w:r>
        <w:rPr>
          <w:rFonts w:ascii="Arial" w:cs="Arial" w:eastAsia="Arial" w:hAnsi="Arial"/>
          <w:sz w:val="24"/>
          <w:szCs w:val="24"/>
        </w:rPr>
        <w:t xml:space="preserve">11 May 2026</w:t>
      </w:r>
    </w:p>
    <w:p>
      <w:pPr>
        <w:jc w:val="center"/>
      </w:pPr>
      <w:r>
        <w:rPr>
          <w:rFonts w:ascii="Arial" w:cs="Arial" w:eastAsia="Arial" w:hAnsi="Arial"/>
          <w:i/>
          <w:iCs/>
          <w:color w:val="595959"/>
          <w:sz w:val="22"/>
          <w:szCs w:val="22"/>
        </w:rPr>
        <w:t xml:space="preserve">Prepared for the PolyAI Technical Writing team</w:t>
      </w:r>
    </w:p>
    <w:p>
      <w:pPr>
        <w:pStyle w:val="Heading1"/>
        <w:pageBreakBefore/>
        <w:spacing w:after="200" w:before="200"/>
      </w:pPr>
      <w:r>
        <w:rPr>
          <w:rFonts w:ascii="Arial" w:cs="Arial" w:eastAsia="Arial" w:hAnsi="Arial"/>
          <w:b/>
          <w:bCs/>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200"/>
      </w:pPr>
      <w:r>
        <w:rPr>
          <w:rFonts w:ascii="Arial" w:cs="Arial" w:eastAsia="Arial" w:hAnsi="Arial"/>
          <w:b/>
          <w:bCs/>
          <w:sz w:val="36"/>
          <w:szCs w:val="36"/>
        </w:rPr>
        <w:t xml:space="preserve">1. Executive summary</w:t>
      </w:r>
    </w:p>
    <w:p>
      <w:pPr>
        <w:spacing w:after="120"/>
      </w:pPr>
      <w:r>
        <w:t xml:space="preserve">This week’s review compares the Poly AI Mintlify docs site (docs.poly.ai) against ElevenLabs’ developer documentation. ElevenLabs is the closest pure-play voice AI competitor at the documentation layer — they ship a comparable surface area of voice models, an Agents platform, and a developer-first publishing style. ElevenLabs docs were retrieved using Strategy B (llms-full.txt) from the workflow runbook: a single fetch returned 2,879 lines covering roughly the full developer surface.</w:t>
      </w:r>
    </w:p>
    <w:p>
      <w:pPr>
        <w:spacing w:after="120"/>
      </w:pPr>
      <w:r>
        <w:t xml:space="preserve">Across three lenses — tone, tooling coverage, and didactic flow — Poly AI is strong on structured learning, ecosystem breadth, and the non-technical operator experience. ElevenLabs is stronger on side-by-side SDK examples in core pages, on model-comparison density, and on accordion-driven progressive disclosure for advanced topics. The headline findings:</w:t>
      </w:r>
    </w:p>
    <w:p>
      <w:pPr>
        <w:pStyle w:val="ListParagraph"/>
        <w:numPr>
          <w:ilvl w:val="0"/>
          <w:numId w:val="2"/>
        </w:numPr>
        <w:spacing w:after="80"/>
      </w:pPr>
      <w:r>
        <w:rPr>
          <w:rFonts w:ascii="Arial" w:cs="Arial" w:eastAsia="Arial" w:hAnsi="Arial"/>
          <w:b/>
          <w:bCs/>
          <w:sz w:val="22"/>
          <w:szCs w:val="22"/>
        </w:rPr>
        <w:t xml:space="preserve">PolyAcademy has no ElevenLabs equivalent. </w:t>
      </w:r>
      <w:r>
        <w:rPr>
          <w:rFonts w:ascii="Arial" w:cs="Arial" w:eastAsia="Arial" w:hAnsi="Arial"/>
          <w:sz w:val="22"/>
          <w:szCs w:val="22"/>
        </w:rPr>
        <w:t xml:space="preserve">The three-level academy under /learn/guides/polyacademy (concept → quiz → try → go deeper) is the single biggest didactic asset on docs.poly.ai. ElevenLabs has “paths” but no graded curriculum.</w:t>
      </w:r>
    </w:p>
    <w:p>
      <w:pPr>
        <w:pStyle w:val="ListParagraph"/>
        <w:numPr>
          <w:ilvl w:val="0"/>
          <w:numId w:val="2"/>
        </w:numPr>
        <w:spacing w:after="80"/>
      </w:pPr>
      <w:r>
        <w:rPr>
          <w:rFonts w:ascii="Arial" w:cs="Arial" w:eastAsia="Arial" w:hAnsi="Arial"/>
          <w:b/>
          <w:bCs/>
          <w:sz w:val="22"/>
          <w:szCs w:val="22"/>
        </w:rPr>
        <w:t xml:space="preserve">Poly AI’s integrations catalogue is wider; ElevenLabs’ API surface is denser. </w:t>
      </w:r>
      <w:r>
        <w:rPr>
          <w:rFonts w:ascii="Arial" w:cs="Arial" w:eastAsia="Arial" w:hAnsi="Arial"/>
          <w:sz w:val="22"/>
          <w:szCs w:val="22"/>
        </w:rPr>
        <w:t xml:space="preserve">Poly documents 30+ integrations (Twilio, Five9, Salesforce, OpenTable, Epic, Gladly, MCP, etc.). ElevenLabs documents 10+ models and 12+ capabilities but only thin third-party hooks (webhooks for STT).</w:t>
      </w:r>
    </w:p>
    <w:p>
      <w:pPr>
        <w:pStyle w:val="ListParagraph"/>
        <w:numPr>
          <w:ilvl w:val="0"/>
          <w:numId w:val="2"/>
        </w:numPr>
        <w:spacing w:after="80"/>
      </w:pPr>
      <w:r>
        <w:rPr>
          <w:rFonts w:ascii="Arial" w:cs="Arial" w:eastAsia="Arial" w:hAnsi="Arial"/>
          <w:b/>
          <w:bCs/>
          <w:sz w:val="22"/>
          <w:szCs w:val="22"/>
        </w:rPr>
        <w:t xml:space="preserve">ElevenLabs’ Models page (/docs/overview/models) is a pattern Poly AI should borrow. </w:t>
      </w:r>
      <w:r>
        <w:rPr>
          <w:rFonts w:ascii="Arial" w:cs="Arial" w:eastAsia="Arial" w:hAnsi="Arial"/>
          <w:sz w:val="22"/>
          <w:szCs w:val="22"/>
        </w:rPr>
        <w:t xml:space="preserve">A single comparison matrix with use-case callouts and concurrency formulae. Poly AI’s /agent-settings/raven page does part of this but does not compare Raven 3.5, V3, OpenAI, Bedrock, and BYOM in one matrix.</w:t>
      </w:r>
    </w:p>
    <w:p>
      <w:pPr>
        <w:pStyle w:val="ListParagraph"/>
        <w:numPr>
          <w:ilvl w:val="0"/>
          <w:numId w:val="2"/>
        </w:numPr>
        <w:spacing w:after="80"/>
      </w:pPr>
      <w:r>
        <w:rPr>
          <w:rFonts w:ascii="Arial" w:cs="Arial" w:eastAsia="Arial" w:hAnsi="Arial"/>
          <w:b/>
          <w:bCs/>
          <w:sz w:val="22"/>
          <w:szCs w:val="22"/>
        </w:rPr>
        <w:t xml:space="preserve">Tone is comparable; Poly AI’s pedagogy is warmer. </w:t>
      </w:r>
      <w:r>
        <w:rPr>
          <w:rFonts w:ascii="Arial" w:cs="Arial" w:eastAsia="Arial" w:hAnsi="Arial"/>
          <w:sz w:val="22"/>
          <w:szCs w:val="22"/>
        </w:rPr>
        <w:t xml:space="preserve">Both are imperative and you-second-person. Poly AI’s /learn/guides/design-principles is noticeably more pedagogical than anything in ElevenLabs’ docs — quizzes embedded inline, anti-patterns called out, explicit Do/Avoid tables.</w:t>
      </w:r>
    </w:p>
    <w:p>
      <w:pPr>
        <w:pStyle w:val="ListParagraph"/>
        <w:numPr>
          <w:ilvl w:val="0"/>
          <w:numId w:val="2"/>
        </w:numPr>
        <w:spacing w:after="80"/>
      </w:pPr>
      <w:r>
        <w:rPr>
          <w:rFonts w:ascii="Arial" w:cs="Arial" w:eastAsia="Arial" w:hAnsi="Arial"/>
          <w:b/>
          <w:bCs/>
          <w:sz w:val="22"/>
          <w:szCs w:val="22"/>
        </w:rPr>
        <w:t xml:space="preserve">Poly AI has parallel SDK examples — but only on one page. </w:t>
      </w:r>
      <w:r>
        <w:rPr>
          <w:rFonts w:ascii="Arial" w:cs="Arial" w:eastAsia="Arial" w:hAnsi="Arial"/>
          <w:sz w:val="22"/>
          <w:szCs w:val="22"/>
        </w:rPr>
        <w:t xml:space="preserve">/api-reference/introduction shows curl + Python + TypeScript side-by-side in &lt;CodeGroup&gt;. ElevenLabs uses Python + TypeScript inline on best-practices pages. Poly should repeat the pattern across /tools, /flows, /managed-topics.</w:t>
      </w:r>
    </w:p>
    <w:p>
      <w:pPr>
        <w:spacing w:after="120"/>
      </w:pPr>
      <w:r>
        <w:t xml:space="preserve">Recommendations are summarised in section 7. Pages sampled are listed in the appendix.</w:t>
      </w:r>
    </w:p>
    <w:p>
      <w:pPr>
        <w:pStyle w:val="Heading1"/>
        <w:pageBreakBefore/>
        <w:spacing w:after="200" w:before="200"/>
      </w:pPr>
      <w:r>
        <w:rPr>
          <w:rFonts w:ascii="Arial" w:cs="Arial" w:eastAsia="Arial" w:hAnsi="Arial"/>
          <w:b/>
          <w:bCs/>
          <w:sz w:val="36"/>
          <w:szCs w:val="36"/>
        </w:rPr>
        <w:t xml:space="preserve">2. Tone analysis</w:t>
      </w:r>
    </w:p>
    <w:p>
      <w:pPr>
        <w:spacing w:after="120"/>
      </w:pPr>
      <w:r>
        <w:t xml:space="preserve">Both sites write in imperative second person aimed at a developer or builder audience. The differences are in encouragement, callout style, and depth of pedagogical scaffolding.</w:t>
      </w:r>
    </w:p>
    <w:p>
      <w:pPr>
        <w:pStyle w:val="Heading2"/>
        <w:spacing w:after="120" w:before="240"/>
      </w:pPr>
      <w:r>
        <w:rPr>
          <w:rFonts w:ascii="Arial" w:cs="Arial" w:eastAsia="Arial" w:hAnsi="Arial"/>
          <w:b/>
          <w:bCs/>
          <w:sz w:val="28"/>
          <w:szCs w:val="28"/>
        </w:rPr>
        <w:t xml:space="preserve">2.1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E8F0E6" w:val="clear"/>
            <w:tcMar>
              <w:top w:type="dxa" w:w="80"/>
              <w:left w:type="dxa" w:w="120"/>
              <w:bottom w:type="dxa" w:w="80"/>
              <w:right w:type="dxa" w:w="120"/>
            </w:tcMar>
          </w:tcPr>
          <w:p>
            <w:r>
              <w:rPr>
                <w:rFonts w:ascii="Arial" w:cs="Arial" w:eastAsia="Arial" w:hAnsi="Arial"/>
                <w:b/>
                <w:bCs/>
                <w:sz w:val="20"/>
                <w:szCs w:val="20"/>
              </w:rPr>
              <w:t xml:space="preserve">Dimension</w:t>
            </w:r>
          </w:p>
        </w:tc>
        <w:tc>
          <w:tcPr>
            <w:tcW w:type="dxa" w:w="3580"/>
            <w:tcBorders>
              <w:top w:val="single" w:color="BFBFBF" w:sz="4"/>
              <w:left w:val="single" w:color="BFBFBF" w:sz="4"/>
              <w:bottom w:val="single" w:color="BFBFBF" w:sz="4"/>
              <w:right w:val="single" w:color="BFBFBF" w:sz="4"/>
            </w:tcBorders>
            <w:shd w:fill="E8F0E6" w:val="clear"/>
            <w:tcMar>
              <w:top w:type="dxa" w:w="80"/>
              <w:left w:type="dxa" w:w="120"/>
              <w:bottom w:type="dxa" w:w="80"/>
              <w:right w:type="dxa" w:w="120"/>
            </w:tcMar>
          </w:tcPr>
          <w:p>
            <w:r>
              <w:rPr>
                <w:rFonts w:ascii="Arial" w:cs="Arial" w:eastAsia="Arial" w:hAnsi="Arial"/>
                <w:b/>
                <w:bCs/>
                <w:sz w:val="20"/>
                <w:szCs w:val="20"/>
              </w:rPr>
              <w:t xml:space="preserve">Poly AI</w:t>
            </w:r>
          </w:p>
        </w:tc>
        <w:tc>
          <w:tcPr>
            <w:tcW w:type="dxa" w:w="3580"/>
            <w:tcBorders>
              <w:top w:val="single" w:color="BFBFBF" w:sz="4"/>
              <w:left w:val="single" w:color="BFBFBF" w:sz="4"/>
              <w:bottom w:val="single" w:color="BFBFBF" w:sz="4"/>
              <w:right w:val="single" w:color="BFBFBF" w:sz="4"/>
            </w:tcBorders>
            <w:shd w:fill="E8F0E6" w:val="clear"/>
            <w:tcMar>
              <w:top w:type="dxa" w:w="80"/>
              <w:left w:type="dxa" w:w="120"/>
              <w:bottom w:type="dxa" w:w="80"/>
              <w:right w:type="dxa" w:w="120"/>
            </w:tcMar>
          </w:tcPr>
          <w:p>
            <w:r>
              <w:rPr>
                <w:rFonts w:ascii="Arial" w:cs="Arial" w:eastAsia="Arial" w:hAnsi="Arial"/>
                <w:b/>
                <w:bCs/>
                <w:sz w:val="20"/>
                <w:szCs w:val="20"/>
              </w:rPr>
              <w:t xml:space="preserve">ElevenLabs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Register</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Imperative, product-led. Light warmth on intro pages (‘Build your first agent in minutes — no code required’).</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Imperative, capability-led. Less warmth on body text; marketing language only in card headlines.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Person</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You + your agent. ‘We’ is reserved for platform claims (‘PolyAI’s proprietary LLM’).</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You + the API. Minimal we; reserved for feature announcements (‘Our multilingual v2 models support 29 languages’).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Encouragement</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Notable: simplified-mode page, PolyAcademy intros, design-principles framing (‘start simple, build confidence, and level up’). Quiz components reward progress.</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Limited. Capability cards have headlines but body text is matter-of-fact. No quizzes or ‘try it yourself’ moments.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Warning style</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Three callout types: Note, Tip, Warning. Tips often soften the platform’s edge cases. Warnings are short and specific.</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Six callout types: Error, Warning, Info, Success, Tip, Note. Warnings reference cost or tier limits more often.</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End-of-page CTAs</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Almost always a ‘Next steps’ or ‘Related pages’ CardGroup with 2–4 onward links.</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Cross-references inline; rarely a dedicated next-steps block. FAQ accordions act as wayfinding.</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Conceptual depth</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Strong: glossary, architecture, design-principles, RAG. Concept and how-to are clearly separated.</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Moderate: concepts are embedded inside model and capability descriptions. The closest thing to a concept page is /docs/overview/models.</w:t>
            </w:r>
          </w:p>
        </w:tc>
      </w:tr>
    </w:tbl>
    <w:p>
      <w:pPr>
        <w:pStyle w:val="Heading2"/>
        <w:spacing w:after="120" w:before="240"/>
      </w:pPr>
      <w:r>
        <w:rPr>
          <w:rFonts w:ascii="Arial" w:cs="Arial" w:eastAsia="Arial" w:hAnsi="Arial"/>
          <w:b/>
          <w:bCs/>
          <w:sz w:val="28"/>
          <w:szCs w:val="28"/>
        </w:rPr>
        <w:t xml:space="preserve">2.2 Pages where the gap is widest</w:t>
      </w:r>
    </w:p>
    <w:p>
      <w:pPr>
        <w:pStyle w:val="ListParagraph"/>
        <w:numPr>
          <w:ilvl w:val="0"/>
          <w:numId w:val="2"/>
        </w:numPr>
        <w:spacing w:after="80"/>
      </w:pPr>
      <w:r>
        <w:rPr>
          <w:rFonts w:ascii="Arial" w:cs="Arial" w:eastAsia="Arial" w:hAnsi="Arial"/>
          <w:b/>
          <w:bCs/>
          <w:sz w:val="22"/>
          <w:szCs w:val="22"/>
        </w:rPr>
        <w:t xml:space="preserve">Pedagogy gap (Poly AI ahead): </w:t>
      </w:r>
      <w:r>
        <w:rPr>
          <w:rFonts w:ascii="Arial" w:cs="Arial" w:eastAsia="Arial" w:hAnsi="Arial"/>
          <w:sz w:val="22"/>
          <w:szCs w:val="22"/>
        </w:rPr>
        <w:t xml:space="preserve">/learn/guides/design-principles vs. anything on the ElevenLabs side. The Poly AI page bakes in a 10-guideline framework, embedded quizzes, and a Do/Avoid comparison table. ElevenLabs has nothing equivalent for conversational design.</w:t>
      </w:r>
    </w:p>
    <w:p>
      <w:pPr>
        <w:pStyle w:val="ListParagraph"/>
        <w:numPr>
          <w:ilvl w:val="0"/>
          <w:numId w:val="2"/>
        </w:numPr>
        <w:spacing w:after="80"/>
      </w:pPr>
      <w:r>
        <w:rPr>
          <w:rFonts w:ascii="Arial" w:cs="Arial" w:eastAsia="Arial" w:hAnsi="Arial"/>
          <w:b/>
          <w:bCs/>
          <w:sz w:val="22"/>
          <w:szCs w:val="22"/>
        </w:rPr>
        <w:t xml:space="preserve">Model comparison gap (ElevenLabs ahead): </w:t>
      </w:r>
      <w:r>
        <w:rPr>
          <w:rFonts w:ascii="Arial" w:cs="Arial" w:eastAsia="Arial" w:hAnsi="Arial"/>
          <w:sz w:val="22"/>
          <w:szCs w:val="22"/>
        </w:rPr>
        <w:t xml:space="preserve">/docs/overview/models vs. /agent-settings/raven + /agent-settings/model-use. ElevenLabs lays every active model into a single comparison grid with latency, language count, and use-case. Raven gets its own page but the cross-comparison with OpenAI/Bedrock/BYOM is split.</w:t>
      </w:r>
    </w:p>
    <w:p>
      <w:pPr>
        <w:pStyle w:val="ListParagraph"/>
        <w:numPr>
          <w:ilvl w:val="0"/>
          <w:numId w:val="2"/>
        </w:numPr>
        <w:spacing w:after="80"/>
      </w:pPr>
      <w:r>
        <w:rPr>
          <w:rFonts w:ascii="Arial" w:cs="Arial" w:eastAsia="Arial" w:hAnsi="Arial"/>
          <w:b/>
          <w:bCs/>
          <w:sz w:val="22"/>
          <w:szCs w:val="22"/>
        </w:rPr>
        <w:t xml:space="preserve">Friendliness gap (Poly AI ahead): </w:t>
      </w:r>
      <w:r>
        <w:rPr>
          <w:rFonts w:ascii="Arial" w:cs="Arial" w:eastAsia="Arial" w:hAnsi="Arial"/>
          <w:sz w:val="22"/>
          <w:szCs w:val="22"/>
        </w:rPr>
        <w:t xml:space="preserve">/platform/simplified-mode has no analogue. It is a kind, non-technical mode toggle with a soft ‘who is this for’ block. ElevenLabs assumes a developer reader throughout.</w:t>
      </w:r>
    </w:p>
    <w:p>
      <w:pPr>
        <w:pStyle w:val="ListParagraph"/>
        <w:numPr>
          <w:ilvl w:val="0"/>
          <w:numId w:val="2"/>
        </w:numPr>
        <w:spacing w:after="80"/>
      </w:pPr>
      <w:r>
        <w:rPr>
          <w:rFonts w:ascii="Arial" w:cs="Arial" w:eastAsia="Arial" w:hAnsi="Arial"/>
          <w:b/>
          <w:bCs/>
          <w:sz w:val="22"/>
          <w:szCs w:val="22"/>
        </w:rPr>
        <w:t xml:space="preserve">Best-practice depth gap (ElevenLabs ahead): </w:t>
      </w:r>
      <w:r>
        <w:rPr>
          <w:rFonts w:ascii="Arial" w:cs="Arial" w:eastAsia="Arial" w:hAnsi="Arial"/>
          <w:sz w:val="22"/>
          <w:szCs w:val="22"/>
        </w:rPr>
        <w:t xml:space="preserve">/docs/overview/capabilities/text-to-speech/best-practices is the most pedagogical page in the ElevenLabs corpus — phonetics, regex, IPA examples, why-before-how. Poly AI’s pronunciations and IPA content is reference-only on /voice/introduction and /response-control/pronunciations.</w:t>
      </w:r>
    </w:p>
    <w:p>
      <w:pPr>
        <w:pStyle w:val="ListParagraph"/>
        <w:numPr>
          <w:ilvl w:val="0"/>
          <w:numId w:val="2"/>
        </w:numPr>
        <w:spacing w:after="80"/>
      </w:pPr>
      <w:r>
        <w:rPr>
          <w:rFonts w:ascii="Arial" w:cs="Arial" w:eastAsia="Arial" w:hAnsi="Arial"/>
          <w:b/>
          <w:bCs/>
          <w:sz w:val="22"/>
          <w:szCs w:val="22"/>
        </w:rPr>
        <w:t xml:space="preserve">Voice writing gap (mostly even): </w:t>
      </w:r>
      <w:r>
        <w:rPr>
          <w:rFonts w:ascii="Arial" w:cs="Arial" w:eastAsia="Arial" w:hAnsi="Arial"/>
          <w:sz w:val="22"/>
          <w:szCs w:val="22"/>
        </w:rPr>
        <w:t xml:space="preserve">/voice/introduction contains a ‘voice conversation style guide’ with progressive-tense, conversational-dative, and face-saving past-tense examples. That writing-craft content has no ElevenLabs counterpart — ElevenLabs treats voice production as an audio engineering problem, not a writing problem.</w:t>
      </w:r>
    </w:p>
    <w:p>
      <w:pPr>
        <w:pStyle w:val="Heading2"/>
        <w:spacing w:after="120" w:before="240"/>
      </w:pPr>
      <w:r>
        <w:rPr>
          <w:rFonts w:ascii="Arial" w:cs="Arial" w:eastAsia="Arial" w:hAnsi="Arial"/>
          <w:b/>
          <w:bCs/>
          <w:sz w:val="28"/>
          <w:szCs w:val="28"/>
        </w:rPr>
        <w:t xml:space="preserve">2.3 Recommendation</w:t>
      </w:r>
    </w:p>
    <w:p>
      <w:pPr>
        <w:spacing w:after="120"/>
      </w:pPr>
      <w:r>
        <w:t xml:space="preserve">Keep Poly AI’s warmer, pedagogical voice — it is a differentiator. Specifically: protect the simplified-mode framing and the PolyAcademy lesson template (concept → quiz → try → go deeper). Where Poly AI can lift from ElevenLabs is in tightening the technical reference pages: ElevenLabs writes API and model reference content with more economy, fewer adverbs, and more comparison density. The next time /agent-settings/model-use is touched, fold OpenAI, Bedrock, BYOM, and the Raven family into a single matrix page in the ElevenLabs-models style.</w:t>
      </w:r>
    </w:p>
    <w:p>
      <w:pPr>
        <w:pStyle w:val="Heading1"/>
        <w:pageBreakBefore/>
        <w:spacing w:after="200" w:before="200"/>
      </w:pPr>
      <w:r>
        <w:rPr>
          <w:rFonts w:ascii="Arial" w:cs="Arial" w:eastAsia="Arial" w:hAnsi="Arial"/>
          <w:b/>
          <w:bCs/>
          <w:sz w:val="36"/>
          <w:szCs w:val="36"/>
        </w:rPr>
        <w:t xml:space="preserve">3. Tooling coverage</w:t>
      </w:r>
    </w:p>
    <w:p>
      <w:pPr>
        <w:spacing w:after="120"/>
      </w:pPr>
      <w:r>
        <w:t xml:space="preserve">This section compares what each product documents in terms of SDKs, integrations, APIs, and capabilities. The lists below are drawn from the docs nav structures (docs.json for Poly AI; the llms-full.txt index for ElevenLabs).</w:t>
      </w:r>
    </w:p>
    <w:p>
      <w:pPr>
        <w:pStyle w:val="Heading2"/>
        <w:spacing w:after="120" w:before="240"/>
      </w:pPr>
      <w:r>
        <w:rPr>
          <w:rFonts w:ascii="Arial" w:cs="Arial" w:eastAsia="Arial" w:hAnsi="Arial"/>
          <w:b/>
          <w:bCs/>
          <w:sz w:val="28"/>
          <w:szCs w:val="28"/>
        </w:rPr>
        <w:t xml:space="preserve">3.1 SDKs and code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E8F0E6" w:val="clear"/>
            <w:tcMar>
              <w:top w:type="dxa" w:w="80"/>
              <w:left w:type="dxa" w:w="120"/>
              <w:bottom w:type="dxa" w:w="80"/>
              <w:right w:type="dxa" w:w="120"/>
            </w:tcMar>
          </w:tcPr>
          <w:p>
            <w:r>
              <w:rPr>
                <w:rFonts w:ascii="Arial" w:cs="Arial" w:eastAsia="Arial" w:hAnsi="Arial"/>
                <w:b/>
                <w:bCs/>
                <w:sz w:val="20"/>
                <w:szCs w:val="20"/>
              </w:rPr>
              <w:t xml:space="preserve">Surface</w:t>
            </w:r>
          </w:p>
        </w:tc>
        <w:tc>
          <w:tcPr>
            <w:tcW w:type="dxa" w:w="3480"/>
            <w:tcBorders>
              <w:top w:val="single" w:color="BFBFBF" w:sz="4"/>
              <w:left w:val="single" w:color="BFBFBF" w:sz="4"/>
              <w:bottom w:val="single" w:color="BFBFBF" w:sz="4"/>
              <w:right w:val="single" w:color="BFBFBF" w:sz="4"/>
            </w:tcBorders>
            <w:shd w:fill="E8F0E6" w:val="clear"/>
            <w:tcMar>
              <w:top w:type="dxa" w:w="80"/>
              <w:left w:type="dxa" w:w="120"/>
              <w:bottom w:type="dxa" w:w="80"/>
              <w:right w:type="dxa" w:w="120"/>
            </w:tcMar>
          </w:tcPr>
          <w:p>
            <w:r>
              <w:rPr>
                <w:rFonts w:ascii="Arial" w:cs="Arial" w:eastAsia="Arial" w:hAnsi="Arial"/>
                <w:b/>
                <w:bCs/>
                <w:sz w:val="20"/>
                <w:szCs w:val="20"/>
              </w:rPr>
              <w:t xml:space="preserve">Poly AI</w:t>
            </w:r>
          </w:p>
        </w:tc>
        <w:tc>
          <w:tcPr>
            <w:tcW w:type="dxa" w:w="3480"/>
            <w:tcBorders>
              <w:top w:val="single" w:color="BFBFBF" w:sz="4"/>
              <w:left w:val="single" w:color="BFBFBF" w:sz="4"/>
              <w:bottom w:val="single" w:color="BFBFBF" w:sz="4"/>
              <w:right w:val="single" w:color="BFBFBF" w:sz="4"/>
            </w:tcBorders>
            <w:shd w:fill="E8F0E6" w:val="clear"/>
            <w:tcMar>
              <w:top w:type="dxa" w:w="80"/>
              <w:left w:type="dxa" w:w="120"/>
              <w:bottom w:type="dxa" w:w="80"/>
              <w:right w:type="dxa" w:w="120"/>
            </w:tcMar>
          </w:tcPr>
          <w:p>
            <w:r>
              <w:rPr>
                <w:rFonts w:ascii="Arial" w:cs="Arial" w:eastAsia="Arial" w:hAnsi="Arial"/>
                <w:b/>
                <w:bCs/>
                <w:sz w:val="20"/>
                <w:szCs w:val="20"/>
              </w:rPr>
              <w:t xml:space="preserve">ElevenLabs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Officially documented SDKs</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polyai-adk (Python CLI on PyPI) for build/deploy; in-line Python for Tools/Flows; REST examples in curl + Python + TypeScript on /api-reference/introduction.</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Official Python SDK; Official TypeScript SDK. Code blocks are Python and TypeScript side-by-side on best-practice pages.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Git-native workflow</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Yes — poly pull / poly push, YAML + Python files, CI/CD ready (documented at /extend/adk).</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No equivalent. ElevenLabs is API-centric with no pull/push CLI.</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REST/WebSocket</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REST across three API families (build &amp; deploy, runtime &amp; data, monitoring); WebSocket via WebRTC Gateway.</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REST + WebSocket (streaming TTS/STT). Scribe v2 Realtime has VAD and manual commit control.</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Function calling / tools</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First-class. /tools (Python functions), MCP integration (/integrations/mcp), conv.api, conv.utils, conv.memory.</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Not documented in the corpus retrieved. No function-calling reference page surfaced.</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Webhooks</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Dedicated Webhooks API with signing-secret rotation and external-events endpoint.</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Async STT only (‘asynchronous transcription results can be sent to webhooks’).</w:t>
            </w:r>
          </w:p>
        </w:tc>
      </w:tr>
    </w:tbl>
    <w:p>
      <w:pPr>
        <w:pStyle w:val="Heading2"/>
        <w:spacing w:after="120" w:before="240"/>
      </w:pPr>
      <w:r>
        <w:rPr>
          <w:rFonts w:ascii="Arial" w:cs="Arial" w:eastAsia="Arial" w:hAnsi="Arial"/>
          <w:b/>
          <w:bCs/>
          <w:sz w:val="28"/>
          <w:szCs w:val="28"/>
        </w:rPr>
        <w:t xml:space="preserve">3.2 Integrations and connectors</w:t>
      </w:r>
    </w:p>
    <w:p>
      <w:pPr>
        <w:spacing w:after="120"/>
      </w:pPr>
      <w:r>
        <w:t xml:space="preserve">This is where the gap is widest. Poly AI documents ~30 named integrations against ElevenLabs’ near-zero. ElevenLabs treats integration as the developer’s job; Poly AI ships pre-built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BFBFBF" w:sz="4"/>
              <w:left w:val="single" w:color="BFBFBF" w:sz="4"/>
              <w:bottom w:val="single" w:color="BFBFBF" w:sz="4"/>
              <w:right w:val="single" w:color="BFBFBF" w:sz="4"/>
            </w:tcBorders>
            <w:shd w:fill="E8F0E6"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4480"/>
            <w:tcBorders>
              <w:top w:val="single" w:color="BFBFBF" w:sz="4"/>
              <w:left w:val="single" w:color="BFBFBF" w:sz="4"/>
              <w:bottom w:val="single" w:color="BFBFBF" w:sz="4"/>
              <w:right w:val="single" w:color="BFBFBF" w:sz="4"/>
            </w:tcBorders>
            <w:shd w:fill="E8F0E6" w:val="clear"/>
            <w:tcMar>
              <w:top w:type="dxa" w:w="80"/>
              <w:left w:type="dxa" w:w="120"/>
              <w:bottom w:type="dxa" w:w="80"/>
              <w:right w:type="dxa" w:w="120"/>
            </w:tcMar>
          </w:tcPr>
          <w:p>
            <w:r>
              <w:rPr>
                <w:rFonts w:ascii="Arial" w:cs="Arial" w:eastAsia="Arial" w:hAnsi="Arial"/>
                <w:b/>
                <w:bCs/>
                <w:sz w:val="20"/>
                <w:szCs w:val="20"/>
              </w:rPr>
              <w:t xml:space="preserve">Poly AI documents</w:t>
            </w:r>
          </w:p>
        </w:tc>
        <w:tc>
          <w:tcPr>
            <w:tcW w:type="dxa" w:w="2480"/>
            <w:tcBorders>
              <w:top w:val="single" w:color="BFBFBF" w:sz="4"/>
              <w:left w:val="single" w:color="BFBFBF" w:sz="4"/>
              <w:bottom w:val="single" w:color="BFBFBF" w:sz="4"/>
              <w:right w:val="single" w:color="BFBFBF" w:sz="4"/>
            </w:tcBorders>
            <w:shd w:fill="E8F0E6" w:val="clear"/>
            <w:tcMar>
              <w:top w:type="dxa" w:w="80"/>
              <w:left w:type="dxa" w:w="120"/>
              <w:bottom w:type="dxa" w:w="80"/>
              <w:right w:type="dxa" w:w="120"/>
            </w:tcMar>
          </w:tcPr>
          <w:p>
            <w:r>
              <w:rPr>
                <w:rFonts w:ascii="Arial" w:cs="Arial" w:eastAsia="Arial" w:hAnsi="Arial"/>
                <w:b/>
                <w:bCs/>
                <w:sz w:val="20"/>
                <w:szCs w:val="20"/>
              </w:rPr>
              <w:t xml:space="preserve">ElevenLabs documents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Telephony / contact centre</w:t>
            </w:r>
          </w:p>
        </w:tc>
        <w:tc>
          <w:tcPr>
            <w:tcW w:type="dxa" w:w="4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Five9, NICE CXone, Twilio, Twilio Flex, Amazon Connect, Genesys, Dialpad, Zendesk Talk, custom SIP, DNIS pool.</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CRM / ticketing</w:t>
            </w:r>
          </w:p>
        </w:tc>
        <w:tc>
          <w:tcPr>
            <w:tcW w:type="dxa" w:w="4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Salesforce; Zendesk, HubSpot, MS Dynamics noted as available in Studio UI.</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Hospitality</w:t>
            </w:r>
          </w:p>
        </w:tc>
        <w:tc>
          <w:tcPr>
            <w:tcW w:type="dxa" w:w="4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OpenTable, Tripleseat, HotSOS, design-my-night, liveres; Cendyn noted in UI.</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Healthcare</w:t>
            </w:r>
          </w:p>
        </w:tc>
        <w:tc>
          <w:tcPr>
            <w:tcW w:type="dxa" w:w="4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Epic; ModMed, athenaOne, Cerner/Oracle Health, Raintree noted in UI.</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Knowledge / KB</w:t>
            </w:r>
          </w:p>
        </w:tc>
        <w:tc>
          <w:tcPr>
            <w:tcW w:type="dxa" w:w="4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Gladly; Zendesk KB, Salesforce KB, Azure AI Search noted in UI.</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Payments / utilities</w:t>
            </w:r>
          </w:p>
        </w:tc>
        <w:tc>
          <w:tcPr>
            <w:tcW w:type="dxa" w:w="4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Stripe, PCI Pal, Google Sheets, Ideal Postcode, DeepL, Zoom.</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Tool protocol</w:t>
            </w:r>
          </w:p>
        </w:tc>
        <w:tc>
          <w:tcPr>
            <w:tcW w:type="dxa" w:w="4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MCP — full guide at /integrations/mcp including OAuth/header/query auth.</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bl>
    <w:p>
      <w:pPr>
        <w:pStyle w:val="Heading2"/>
        <w:spacing w:after="120" w:before="240"/>
      </w:pPr>
      <w:r>
        <w:rPr>
          <w:rFonts w:ascii="Arial" w:cs="Arial" w:eastAsia="Arial" w:hAnsi="Arial"/>
          <w:b/>
          <w:bCs/>
          <w:sz w:val="28"/>
          <w:szCs w:val="28"/>
        </w:rPr>
        <w:t xml:space="preserve">3.3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FBFBF" w:sz="4"/>
              <w:left w:val="single" w:color="BFBFBF" w:sz="4"/>
              <w:bottom w:val="single" w:color="BFBFBF" w:sz="4"/>
              <w:right w:val="single" w:color="BFBFBF" w:sz="4"/>
            </w:tcBorders>
            <w:shd w:fill="E8F0E6"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3180"/>
            <w:tcBorders>
              <w:top w:val="single" w:color="BFBFBF" w:sz="4"/>
              <w:left w:val="single" w:color="BFBFBF" w:sz="4"/>
              <w:bottom w:val="single" w:color="BFBFBF" w:sz="4"/>
              <w:right w:val="single" w:color="BFBFBF" w:sz="4"/>
            </w:tcBorders>
            <w:shd w:fill="E8F0E6" w:val="clear"/>
            <w:tcMar>
              <w:top w:type="dxa" w:w="80"/>
              <w:left w:type="dxa" w:w="120"/>
              <w:bottom w:type="dxa" w:w="80"/>
              <w:right w:type="dxa" w:w="120"/>
            </w:tcMar>
          </w:tcPr>
          <w:p>
            <w:r>
              <w:rPr>
                <w:rFonts w:ascii="Arial" w:cs="Arial" w:eastAsia="Arial" w:hAnsi="Arial"/>
                <w:b/>
                <w:bCs/>
                <w:sz w:val="20"/>
                <w:szCs w:val="20"/>
              </w:rPr>
              <w:t xml:space="preserve">Poly AI API</w:t>
            </w:r>
          </w:p>
        </w:tc>
        <w:tc>
          <w:tcPr>
            <w:tcW w:type="dxa" w:w="3180"/>
            <w:tcBorders>
              <w:top w:val="single" w:color="BFBFBF" w:sz="4"/>
              <w:left w:val="single" w:color="BFBFBF" w:sz="4"/>
              <w:bottom w:val="single" w:color="BFBFBF" w:sz="4"/>
              <w:right w:val="single" w:color="BFBFBF" w:sz="4"/>
            </w:tcBorders>
            <w:shd w:fill="E8F0E6" w:val="clear"/>
            <w:tcMar>
              <w:top w:type="dxa" w:w="80"/>
              <w:left w:type="dxa" w:w="120"/>
              <w:bottom w:type="dxa" w:w="80"/>
              <w:right w:type="dxa" w:w="120"/>
            </w:tcMar>
          </w:tcPr>
          <w:p>
            <w:r>
              <w:rPr>
                <w:rFonts w:ascii="Arial" w:cs="Arial" w:eastAsia="Arial" w:hAnsi="Arial"/>
                <w:b/>
                <w:bCs/>
                <w:sz w:val="20"/>
                <w:szCs w:val="20"/>
              </w:rPr>
              <w:t xml:space="preserve">ElevenLabs API</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Build &amp; deploy</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Agents API: CRUD for agents, branches, behaviour rules, KB topics, variants, deployments, connectors, phone numbers, real-time configs.</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Not applicable — agent configuration is via the Eleven Agents platform UI, not a public configuration API in the retrieved corpus.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Runtime data</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Chat API, Conversations v1/v3, Handoff, Concurrent Calls, DNI, External Events, Outbound Calling, WebRTC Gateway.</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Text-to-Speech, Speech-to-Text (Scribe v2 + Realtime), Voice Library, Voice Changer, Forced Alignment, Music, Sound Effects, Dubbing.</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Monitoring</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Alerts API (rule CRUD + active alerts); Webhooks API; rotation of signing secrets.</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Webhooks limited to async STT callbacks.</w:t>
            </w:r>
          </w:p>
        </w:tc>
      </w:tr>
    </w:tbl>
    <w:p>
      <w:pPr>
        <w:spacing w:after="120"/>
      </w:pPr>
      <w:r>
        <w:t xml:space="preserve">Poly AI’s API surface is operations-shaped (build, run, observe). ElevenLabs’ API surface is capability-shaped (which audio thing you want). They serve different audiences and the docs reflect it.</w:t>
      </w:r>
    </w:p>
    <w:p>
      <w:pPr>
        <w:pStyle w:val="Heading2"/>
        <w:spacing w:after="120" w:before="240"/>
      </w:pPr>
      <w:r>
        <w:rPr>
          <w:rFonts w:ascii="Arial" w:cs="Arial" w:eastAsia="Arial" w:hAnsi="Arial"/>
          <w:b/>
          <w:bCs/>
          <w:sz w:val="28"/>
          <w:szCs w:val="28"/>
        </w:rPr>
        <w:t xml:space="preserve">3.4 Voice and model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FBFBF" w:sz="4"/>
              <w:left w:val="single" w:color="BFBFBF" w:sz="4"/>
              <w:bottom w:val="single" w:color="BFBFBF" w:sz="4"/>
              <w:right w:val="single" w:color="BFBFBF" w:sz="4"/>
            </w:tcBorders>
            <w:shd w:fill="E8F0E6"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3180"/>
            <w:tcBorders>
              <w:top w:val="single" w:color="BFBFBF" w:sz="4"/>
              <w:left w:val="single" w:color="BFBFBF" w:sz="4"/>
              <w:bottom w:val="single" w:color="BFBFBF" w:sz="4"/>
              <w:right w:val="single" w:color="BFBFBF" w:sz="4"/>
            </w:tcBorders>
            <w:shd w:fill="E8F0E6" w:val="clear"/>
            <w:tcMar>
              <w:top w:type="dxa" w:w="80"/>
              <w:left w:type="dxa" w:w="120"/>
              <w:bottom w:type="dxa" w:w="80"/>
              <w:right w:type="dxa" w:w="120"/>
            </w:tcMar>
          </w:tcPr>
          <w:p>
            <w:r>
              <w:rPr>
                <w:rFonts w:ascii="Arial" w:cs="Arial" w:eastAsia="Arial" w:hAnsi="Arial"/>
                <w:b/>
                <w:bCs/>
                <w:sz w:val="20"/>
                <w:szCs w:val="20"/>
              </w:rPr>
              <w:t xml:space="preserve">Poly AI</w:t>
            </w:r>
          </w:p>
        </w:tc>
        <w:tc>
          <w:tcPr>
            <w:tcW w:type="dxa" w:w="3180"/>
            <w:tcBorders>
              <w:top w:val="single" w:color="BFBFBF" w:sz="4"/>
              <w:left w:val="single" w:color="BFBFBF" w:sz="4"/>
              <w:bottom w:val="single" w:color="BFBFBF" w:sz="4"/>
              <w:right w:val="single" w:color="BFBFBF" w:sz="4"/>
            </w:tcBorders>
            <w:shd w:fill="E8F0E6" w:val="clear"/>
            <w:tcMar>
              <w:top w:type="dxa" w:w="80"/>
              <w:left w:type="dxa" w:w="120"/>
              <w:bottom w:type="dxa" w:w="80"/>
              <w:right w:type="dxa" w:w="120"/>
            </w:tcMar>
          </w:tcPr>
          <w:p>
            <w:r>
              <w:rPr>
                <w:rFonts w:ascii="Arial" w:cs="Arial" w:eastAsia="Arial" w:hAnsi="Arial"/>
                <w:b/>
                <w:bCs/>
                <w:sz w:val="20"/>
                <w:szCs w:val="20"/>
              </w:rPr>
              <w:t xml:space="preserve">ElevenLabs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Proprietary LLM</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Raven 3.5 (current) + Raven V3 (legacy). 24+ languages, sub-300ms median latency.</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Not applicable — ElevenLabs ships audio models, not a conversational LLM.</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Third-party LLMs</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OpenAI, Amazon Bedrock, plus BYOM (any OpenAI-compatible endpoint).</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TTS providers</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ElevenLabs, Cartesia, Hume, Amazon Polly — abstracted behind the Voice Library.</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Eleven v3 (70+ languages), Multilingual v2, Flash v2.5 (~75ms).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ASR / STT</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Configurable; per-step + global keyphrase boosting; transcript corrections via regex.</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Scribe v2 (90+ languages), Scribe v2 Realtime (~150ms).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Other audio</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Voice library; multi-voice (up to 10); custom voice request (enterprise).</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Music generation, sound effects (eleven_text_to_sound_v2), voice changer, voice isolator, voice remixing, dubbing, forced alignment.</w:t>
            </w:r>
          </w:p>
        </w:tc>
      </w:tr>
    </w:tbl>
    <w:p>
      <w:pPr>
        <w:pStyle w:val="Heading2"/>
        <w:spacing w:after="120" w:before="240"/>
      </w:pPr>
      <w:r>
        <w:rPr>
          <w:rFonts w:ascii="Arial" w:cs="Arial" w:eastAsia="Arial" w:hAnsi="Arial"/>
          <w:b/>
          <w:bCs/>
          <w:sz w:val="28"/>
          <w:szCs w:val="28"/>
        </w:rPr>
        <w:t xml:space="preserve">3.5 Gap summary</w:t>
      </w:r>
    </w:p>
    <w:p>
      <w:pPr>
        <w:pStyle w:val="Heading3"/>
        <w:spacing w:after="80" w:before="180"/>
      </w:pPr>
      <w:r>
        <w:rPr>
          <w:rFonts w:ascii="Arial" w:cs="Arial" w:eastAsia="Arial" w:hAnsi="Arial"/>
          <w:b/>
          <w:bCs/>
          <w:sz w:val="24"/>
          <w:szCs w:val="24"/>
        </w:rPr>
        <w:t xml:space="preserve">What ElevenLabs has that Poly AI lacks</w:t>
      </w:r>
    </w:p>
    <w:p>
      <w:pPr>
        <w:pStyle w:val="ListParagraph"/>
        <w:numPr>
          <w:ilvl w:val="0"/>
          <w:numId w:val="2"/>
        </w:numPr>
        <w:spacing w:after="80"/>
      </w:pPr>
      <w:r>
        <w:rPr>
          <w:rFonts w:ascii="Arial" w:cs="Arial" w:eastAsia="Arial" w:hAnsi="Arial"/>
          <w:sz w:val="22"/>
          <w:szCs w:val="22"/>
        </w:rPr>
        <w:t xml:space="preserve">Dedicated pricing / concurrency / load-test guidance on a public docs page. Poly AI’s concurrency expectations are not documented anywhere in the navigation.</w:t>
      </w:r>
    </w:p>
    <w:p>
      <w:pPr>
        <w:pStyle w:val="ListParagraph"/>
        <w:numPr>
          <w:ilvl w:val="0"/>
          <w:numId w:val="2"/>
        </w:numPr>
        <w:spacing w:after="80"/>
      </w:pPr>
      <w:r>
        <w:rPr>
          <w:rFonts w:ascii="Arial" w:cs="Arial" w:eastAsia="Arial" w:hAnsi="Arial"/>
          <w:sz w:val="22"/>
          <w:szCs w:val="22"/>
        </w:rPr>
        <w:t xml:space="preserve">Side-by-side Python + TypeScript code blocks inside core capability pages (not just the API reference index).</w:t>
      </w:r>
    </w:p>
    <w:p>
      <w:pPr>
        <w:pStyle w:val="ListParagraph"/>
        <w:numPr>
          <w:ilvl w:val="0"/>
          <w:numId w:val="2"/>
        </w:numPr>
        <w:spacing w:after="80"/>
      </w:pPr>
      <w:r>
        <w:rPr>
          <w:rFonts w:ascii="Arial" w:cs="Arial" w:eastAsia="Arial" w:hAnsi="Arial"/>
          <w:sz w:val="22"/>
          <w:szCs w:val="22"/>
        </w:rPr>
        <w:t xml:space="preserve">A standalone Models page comparing every available LLM/voice model on one screen. /agent-settings/model-use is referenced repeatedly but is thinner than ElevenLabs’ /docs/overview/models.</w:t>
      </w:r>
    </w:p>
    <w:p>
      <w:pPr>
        <w:pStyle w:val="ListParagraph"/>
        <w:numPr>
          <w:ilvl w:val="0"/>
          <w:numId w:val="2"/>
        </w:numPr>
        <w:spacing w:after="80"/>
      </w:pPr>
      <w:r>
        <w:rPr>
          <w:rFonts w:ascii="Arial" w:cs="Arial" w:eastAsia="Arial" w:hAnsi="Arial"/>
          <w:sz w:val="22"/>
          <w:szCs w:val="22"/>
        </w:rPr>
        <w:t xml:space="preserve">Audio-output capabilities outside the conversational use case (music, sound effects, voice changer, dubbing). Out of scope for Poly AI’s positioning but worth a one-line ‘we do not do X’ note in the FAQ.</w:t>
      </w:r>
    </w:p>
    <w:p>
      <w:pPr>
        <w:pStyle w:val="Heading3"/>
        <w:spacing w:after="80" w:before="180"/>
      </w:pPr>
      <w:r>
        <w:rPr>
          <w:rFonts w:ascii="Arial" w:cs="Arial" w:eastAsia="Arial" w:hAnsi="Arial"/>
          <w:b/>
          <w:bCs/>
          <w:sz w:val="24"/>
          <w:szCs w:val="24"/>
        </w:rPr>
        <w:t xml:space="preserve">What Poly AI has that ElevenLabs lacks (strengths to keep)</w:t>
      </w:r>
    </w:p>
    <w:p>
      <w:pPr>
        <w:pStyle w:val="ListParagraph"/>
        <w:numPr>
          <w:ilvl w:val="0"/>
          <w:numId w:val="2"/>
        </w:numPr>
        <w:spacing w:after="80"/>
      </w:pPr>
      <w:r>
        <w:rPr>
          <w:rFonts w:ascii="Arial" w:cs="Arial" w:eastAsia="Arial" w:hAnsi="Arial"/>
          <w:sz w:val="22"/>
          <w:szCs w:val="22"/>
        </w:rPr>
        <w:t xml:space="preserve">A structured learning path (PolyAcademy) with quizzes and ‘try it yourself’ challenges. ElevenLabs has no academy.</w:t>
      </w:r>
    </w:p>
    <w:p>
      <w:pPr>
        <w:pStyle w:val="ListParagraph"/>
        <w:numPr>
          <w:ilvl w:val="0"/>
          <w:numId w:val="2"/>
        </w:numPr>
        <w:spacing w:after="80"/>
      </w:pPr>
      <w:r>
        <w:rPr>
          <w:rFonts w:ascii="Arial" w:cs="Arial" w:eastAsia="Arial" w:hAnsi="Arial"/>
          <w:sz w:val="22"/>
          <w:szCs w:val="22"/>
        </w:rPr>
        <w:t xml:space="preserve">MCP first-class — full configuration UI guide, OAuth flow, query-parameter whitelist.</w:t>
      </w:r>
    </w:p>
    <w:p>
      <w:pPr>
        <w:pStyle w:val="ListParagraph"/>
        <w:numPr>
          <w:ilvl w:val="0"/>
          <w:numId w:val="2"/>
        </w:numPr>
        <w:spacing w:after="80"/>
      </w:pPr>
      <w:r>
        <w:rPr>
          <w:rFonts w:ascii="Arial" w:cs="Arial" w:eastAsia="Arial" w:hAnsi="Arial"/>
          <w:sz w:val="22"/>
          <w:szCs w:val="22"/>
        </w:rPr>
        <w:t xml:space="preserve">Agents API for programmatic build/deploy. ElevenLabs assumes config is done in the platform UI.</w:t>
      </w:r>
    </w:p>
    <w:p>
      <w:pPr>
        <w:pStyle w:val="ListParagraph"/>
        <w:numPr>
          <w:ilvl w:val="0"/>
          <w:numId w:val="2"/>
        </w:numPr>
        <w:spacing w:after="80"/>
      </w:pPr>
      <w:r>
        <w:rPr>
          <w:rFonts w:ascii="Arial" w:cs="Arial" w:eastAsia="Arial" w:hAnsi="Arial"/>
          <w:sz w:val="22"/>
          <w:szCs w:val="22"/>
        </w:rPr>
        <w:t xml:space="preserve">A non-technical mode (simplified-mode) that hides developer tabs. A pattern worth keeping protected.</w:t>
      </w:r>
    </w:p>
    <w:p>
      <w:pPr>
        <w:pStyle w:val="ListParagraph"/>
        <w:numPr>
          <w:ilvl w:val="0"/>
          <w:numId w:val="2"/>
        </w:numPr>
        <w:spacing w:after="80"/>
      </w:pPr>
      <w:r>
        <w:rPr>
          <w:rFonts w:ascii="Arial" w:cs="Arial" w:eastAsia="Arial" w:hAnsi="Arial"/>
          <w:sz w:val="22"/>
          <w:szCs w:val="22"/>
        </w:rPr>
        <w:t xml:space="preserve">A dedicated design-principles page with embedded quizzes — closest thing to a textbook chapter in either corpus.</w:t>
      </w:r>
    </w:p>
    <w:p>
      <w:pPr>
        <w:pStyle w:val="ListParagraph"/>
        <w:numPr>
          <w:ilvl w:val="0"/>
          <w:numId w:val="2"/>
        </w:numPr>
        <w:spacing w:after="80"/>
      </w:pPr>
      <w:r>
        <w:rPr>
          <w:rFonts w:ascii="Arial" w:cs="Arial" w:eastAsia="Arial" w:hAnsi="Arial"/>
          <w:sz w:val="22"/>
          <w:szCs w:val="22"/>
        </w:rPr>
        <w:t xml:space="preserve">Agent Memory (conv.memory) for cross-conversation persistence — no ElevenLabs equivalent.</w:t>
      </w:r>
    </w:p>
    <w:p>
      <w:pPr>
        <w:pStyle w:val="ListParagraph"/>
        <w:numPr>
          <w:ilvl w:val="0"/>
          <w:numId w:val="2"/>
        </w:numPr>
        <w:spacing w:after="80"/>
      </w:pPr>
      <w:r>
        <w:rPr>
          <w:rFonts w:ascii="Arial" w:cs="Arial" w:eastAsia="Arial" w:hAnsi="Arial"/>
          <w:sz w:val="22"/>
          <w:szCs w:val="22"/>
        </w:rPr>
        <w:t xml:space="preserve">Variant management for multi-site / multi-brand single-agent deployments.</w:t>
      </w:r>
    </w:p>
    <w:p>
      <w:pPr>
        <w:pStyle w:val="ListParagraph"/>
        <w:numPr>
          <w:ilvl w:val="0"/>
          <w:numId w:val="2"/>
        </w:numPr>
        <w:spacing w:after="80"/>
      </w:pPr>
      <w:r>
        <w:rPr>
          <w:rFonts w:ascii="Arial" w:cs="Arial" w:eastAsia="Arial" w:hAnsi="Arial"/>
          <w:sz w:val="22"/>
          <w:szCs w:val="22"/>
        </w:rPr>
        <w:t xml:space="preserve">Smart Analyst — natural-language analytics over up to 500 conversations per query. No ElevenLabs equivalent.</w:t>
      </w:r>
    </w:p>
    <w:p>
      <w:pPr>
        <w:pStyle w:val="Heading1"/>
        <w:pageBreakBefore/>
        <w:spacing w:after="200" w:before="200"/>
      </w:pPr>
      <w:r>
        <w:rPr>
          <w:rFonts w:ascii="Arial" w:cs="Arial" w:eastAsia="Arial" w:hAnsi="Arial"/>
          <w:b/>
          <w:bCs/>
          <w:sz w:val="36"/>
          <w:szCs w:val="36"/>
        </w:rPr>
        <w:t xml:space="preserve">4. Didactic flow</w:t>
      </w:r>
    </w:p>
    <w:p>
      <w:pPr>
        <w:spacing w:after="120"/>
      </w:pPr>
      <w:r>
        <w:t xml:space="preserve">Both sites assume a self-directed reader. Where they differ is how they treat first contact, progressive disclosure, and concept-to-code transitions.</w:t>
      </w:r>
    </w:p>
    <w:p>
      <w:pPr>
        <w:pStyle w:val="Heading2"/>
        <w:spacing w:after="120" w:before="240"/>
      </w:pPr>
      <w:r>
        <w:rPr>
          <w:rFonts w:ascii="Arial" w:cs="Arial" w:eastAsia="Arial" w:hAnsi="Arial"/>
          <w:b/>
          <w:bCs/>
          <w:sz w:val="28"/>
          <w:szCs w:val="28"/>
        </w:rPr>
        <w:t xml:space="preserve">4.1 Developer journey from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E8F0E6" w:val="clear"/>
            <w:tcMar>
              <w:top w:type="dxa" w:w="80"/>
              <w:left w:type="dxa" w:w="120"/>
              <w:bottom w:type="dxa" w:w="80"/>
              <w:right w:type="dxa" w:w="120"/>
            </w:tcMar>
          </w:tcPr>
          <w:p>
            <w:r>
              <w:rPr>
                <w:rFonts w:ascii="Arial" w:cs="Arial" w:eastAsia="Arial" w:hAnsi="Arial"/>
                <w:b/>
                <w:bCs/>
                <w:sz w:val="20"/>
                <w:szCs w:val="20"/>
              </w:rPr>
              <w:t xml:space="preserve">Journey stage</w:t>
            </w:r>
          </w:p>
        </w:tc>
        <w:tc>
          <w:tcPr>
            <w:tcW w:type="dxa" w:w="3480"/>
            <w:tcBorders>
              <w:top w:val="single" w:color="BFBFBF" w:sz="4"/>
              <w:left w:val="single" w:color="BFBFBF" w:sz="4"/>
              <w:bottom w:val="single" w:color="BFBFBF" w:sz="4"/>
              <w:right w:val="single" w:color="BFBFBF" w:sz="4"/>
            </w:tcBorders>
            <w:shd w:fill="E8F0E6" w:val="clear"/>
            <w:tcMar>
              <w:top w:type="dxa" w:w="80"/>
              <w:left w:type="dxa" w:w="120"/>
              <w:bottom w:type="dxa" w:w="80"/>
              <w:right w:type="dxa" w:w="120"/>
            </w:tcMar>
          </w:tcPr>
          <w:p>
            <w:r>
              <w:rPr>
                <w:rFonts w:ascii="Arial" w:cs="Arial" w:eastAsia="Arial" w:hAnsi="Arial"/>
                <w:b/>
                <w:bCs/>
                <w:sz w:val="20"/>
                <w:szCs w:val="20"/>
              </w:rPr>
              <w:t xml:space="preserve">Poly AI</w:t>
            </w:r>
          </w:p>
        </w:tc>
        <w:tc>
          <w:tcPr>
            <w:tcW w:type="dxa" w:w="3480"/>
            <w:tcBorders>
              <w:top w:val="single" w:color="BFBFBF" w:sz="4"/>
              <w:left w:val="single" w:color="BFBFBF" w:sz="4"/>
              <w:bottom w:val="single" w:color="BFBFBF" w:sz="4"/>
              <w:right w:val="single" w:color="BFBFBF" w:sz="4"/>
            </w:tcBorders>
            <w:shd w:fill="E8F0E6" w:val="clear"/>
            <w:tcMar>
              <w:top w:type="dxa" w:w="80"/>
              <w:left w:type="dxa" w:w="120"/>
              <w:bottom w:type="dxa" w:w="80"/>
              <w:right w:type="dxa" w:w="120"/>
            </w:tcMar>
          </w:tcPr>
          <w:p>
            <w:r>
              <w:rPr>
                <w:rFonts w:ascii="Arial" w:cs="Arial" w:eastAsia="Arial" w:hAnsi="Arial"/>
                <w:b/>
                <w:bCs/>
                <w:sz w:val="20"/>
                <w:szCs w:val="20"/>
              </w:rPr>
              <w:t xml:space="preserve">ElevenLabs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First impression</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home.mdx with a ‘Where do you want to start?’ role-picker (Exploring / Setting up / Maintaining / Developer / API). Simplified-mode toggle in the corner.</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/docs homepage with three ‘Choose your path’ cards (Creative / Agents / API), then capability grid.</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Setup</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5-step Quickstart (~11 min, signup → first deploy). Each step has timing estimates and tabbed alternatives (Google SSO / email; in-browser / webchat / phone).</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Quickstart pages exist per capability (TTS quickstart, STT quickstart). No single end-to-end timed flow surfaced in the retrieved corpus.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Concept layer</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/glossary, /glossary/architecture, /essentials/order, /managed-topics/RAG. Concepts are unbundled from how-to.</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Concepts embedded in model and capability descriptions. No dedicated glossary or architecture page in the retrieved file.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Hands-on practice</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PolyAcademy Levels 1–3 with quizzes. /learn/recipes for opinionated patterns (SMS confirmation, retry-with-handoff, caller-ID validation).</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Best-practices pages (e.g., TTS best practices) with practical examples but no graded progression.</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Reference</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Full API reference under /api-reference, /tools/classes/* for Python objects, /agent-settings/*. Reference is heavy.</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API reference under /docs/api-reference/* organised by endpoint. Reference is heavy.</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Maintenance</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/learn/maintain with 12 pages on health checks, version management, multi-language updates, etc.</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No dedicated maintenance section; ops content is split across pricing, concurrency, and FAQ accordions.</w:t>
            </w:r>
          </w:p>
        </w:tc>
      </w:tr>
    </w:tbl>
    <w:p>
      <w:pPr>
        <w:pStyle w:val="Heading2"/>
        <w:spacing w:after="120" w:before="240"/>
      </w:pPr>
      <w:r>
        <w:rPr>
          <w:rFonts w:ascii="Arial" w:cs="Arial" w:eastAsia="Arial" w:hAnsi="Arial"/>
          <w:b/>
          <w:bCs/>
          <w:sz w:val="28"/>
          <w:szCs w:val="28"/>
        </w:rPr>
        <w:t xml:space="preserve">4.2 PolyAcademy</w:t>
      </w:r>
    </w:p>
    <w:p>
      <w:pPr>
        <w:spacing w:after="120"/>
      </w:pPr>
      <w:r>
        <w:t xml:space="preserve">PolyAcademy is the standout asset on docs.poly.ai for a learner. The three-level structure (build first agent → make it smarter → production polish) gives a learner a clear next step at every page, which neither ElevenLabs nor most peer voice-AI docs offer. The lesson template — concept, quiz, try, go deeper — is named explicitly on /learn/guides/polyacademy and reinforced on /learn/guides/introduction. The ‘Go deeper’ link from each lesson back into the reference docs is a small detail that should be preserved.</w:t>
      </w:r>
    </w:p>
    <w:p>
      <w:pPr>
        <w:spacing w:after="120"/>
      </w:pPr>
      <w:r>
        <w:t xml:space="preserve">There is no ElevenLabs equivalent. ElevenLabs offers “three paths” (Creative / Agents / API), but those are audience filters, not a sequenced curriculum. A learner picking the API path lands on a quickstart and is left to graze the reference from there.</w:t>
      </w:r>
    </w:p>
    <w:p>
      <w:pPr>
        <w:pStyle w:val="Heading2"/>
        <w:spacing w:after="120" w:before="240"/>
      </w:pPr>
      <w:r>
        <w:rPr>
          <w:rFonts w:ascii="Arial" w:cs="Arial" w:eastAsia="Arial" w:hAnsi="Arial"/>
          <w:b/>
          <w:bCs/>
          <w:sz w:val="28"/>
          <w:szCs w:val="28"/>
        </w:rPr>
        <w:t xml:space="preserve">4.3 Progressive disclosure</w:t>
      </w:r>
    </w:p>
    <w:p>
      <w:pPr>
        <w:pStyle w:val="ListParagraph"/>
        <w:numPr>
          <w:ilvl w:val="0"/>
          <w:numId w:val="2"/>
        </w:numPr>
        <w:spacing w:after="80"/>
      </w:pPr>
      <w:r>
        <w:rPr>
          <w:rFonts w:ascii="Arial" w:cs="Arial" w:eastAsia="Arial" w:hAnsi="Arial"/>
          <w:sz w:val="22"/>
          <w:szCs w:val="22"/>
        </w:rPr>
        <w:t xml:space="preserve">Poly AI uses CardGroup grids heavily — both for top-of-page navigation and for end-of-page next-steps. Accordions are used sparingly, mostly for code samples or FAQs.</w:t>
      </w:r>
    </w:p>
    <w:p>
      <w:pPr>
        <w:pStyle w:val="ListParagraph"/>
        <w:numPr>
          <w:ilvl w:val="0"/>
          <w:numId w:val="2"/>
        </w:numPr>
        <w:spacing w:after="80"/>
      </w:pPr>
      <w:r>
        <w:rPr>
          <w:rFonts w:ascii="Arial" w:cs="Arial" w:eastAsia="Arial" w:hAnsi="Arial"/>
          <w:sz w:val="22"/>
          <w:szCs w:val="22"/>
        </w:rPr>
        <w:t xml:space="preserve">ElevenLabs uses accordions extensively for collapsing complexity inside a single page. /docs/overview/models nests use-case accordions inside model descriptions. The technique keeps reference pages scannable.</w:t>
      </w:r>
    </w:p>
    <w:p>
      <w:pPr>
        <w:pStyle w:val="ListParagraph"/>
        <w:numPr>
          <w:ilvl w:val="0"/>
          <w:numId w:val="2"/>
        </w:numPr>
        <w:spacing w:after="80"/>
      </w:pPr>
      <w:r>
        <w:rPr>
          <w:rFonts w:ascii="Arial" w:cs="Arial" w:eastAsia="Arial" w:hAnsi="Arial"/>
          <w:sz w:val="22"/>
          <w:szCs w:val="22"/>
        </w:rPr>
        <w:t xml:space="preserve">Poly AI’s strongest progressive-disclosure example is /troubleshoot/faq, where AccordionGroup is used to keep the top of the page light while the detailed answers live one click below.</w:t>
      </w:r>
    </w:p>
    <w:p>
      <w:pPr>
        <w:pStyle w:val="Heading2"/>
        <w:spacing w:after="120" w:before="240"/>
      </w:pPr>
      <w:r>
        <w:rPr>
          <w:rFonts w:ascii="Arial" w:cs="Arial" w:eastAsia="Arial" w:hAnsi="Arial"/>
          <w:b/>
          <w:bCs/>
          <w:sz w:val="28"/>
          <w:szCs w:val="28"/>
        </w:rPr>
        <w:t xml:space="preserve">4.4 Code placement</w:t>
      </w:r>
    </w:p>
    <w:p>
      <w:pPr>
        <w:pStyle w:val="ListParagraph"/>
        <w:numPr>
          <w:ilvl w:val="0"/>
          <w:numId w:val="2"/>
        </w:numPr>
        <w:spacing w:after="80"/>
      </w:pPr>
      <w:r>
        <w:rPr>
          <w:rFonts w:ascii="Arial" w:cs="Arial" w:eastAsia="Arial" w:hAnsi="Arial"/>
          <w:sz w:val="22"/>
          <w:szCs w:val="22"/>
        </w:rPr>
        <w:t xml:space="preserve">Poly AI’s /api-reference/introduction does what ElevenLabs does — curl + Python + TypeScript in a &lt;CodeGroup&gt;. But this pattern stops outside the API reference. /managed-topics/introduction has Python only; /flows/introduction has Python only; /agent-settings/introduction has curl only.</w:t>
      </w:r>
    </w:p>
    <w:p>
      <w:pPr>
        <w:pStyle w:val="ListParagraph"/>
        <w:numPr>
          <w:ilvl w:val="0"/>
          <w:numId w:val="2"/>
        </w:numPr>
        <w:spacing w:after="80"/>
      </w:pPr>
      <w:r>
        <w:rPr>
          <w:rFonts w:ascii="Arial" w:cs="Arial" w:eastAsia="Arial" w:hAnsi="Arial"/>
          <w:sz w:val="22"/>
          <w:szCs w:val="22"/>
        </w:rPr>
        <w:t xml:space="preserve">ElevenLabs ships Python + TypeScript side-by-side on the body of capability pages (e.g., text-to-speech best practices). It costs more authoring effort but increases reach.</w:t>
      </w:r>
    </w:p>
    <w:p>
      <w:pPr>
        <w:pStyle w:val="Heading2"/>
        <w:spacing w:after="120" w:before="240"/>
      </w:pPr>
      <w:r>
        <w:rPr>
          <w:rFonts w:ascii="Arial" w:cs="Arial" w:eastAsia="Arial" w:hAnsi="Arial"/>
          <w:b/>
          <w:bCs/>
          <w:sz w:val="28"/>
          <w:szCs w:val="28"/>
        </w:rPr>
        <w:t xml:space="preserve">4.5 Recommendation</w:t>
      </w:r>
    </w:p>
    <w:p>
      <w:pPr>
        <w:spacing w:after="120"/>
      </w:pPr>
      <w:r>
        <w:t xml:space="preserve">The didactic structure is the biggest competitive advantage on docs.poly.ai. Two specific actions to preserve and extend it: first, every reference page that ships a code sample should ship curl + Python + TypeScript in a &lt;CodeGroup&gt;, matching the API-reference page pattern. Second, every PolyAcademy lesson should retain the ‘Go deeper’ link explicitly — that is the bridge between learning and reference, and it is rare in competitor docs.</w:t>
      </w:r>
    </w:p>
    <w:p>
      <w:pPr>
        <w:pStyle w:val="Heading1"/>
        <w:pageBreakBefore/>
        <w:spacing w:after="200" w:before="200"/>
      </w:pPr>
      <w:r>
        <w:rPr>
          <w:rFonts w:ascii="Arial" w:cs="Arial" w:eastAsia="Arial" w:hAnsi="Arial"/>
          <w:b/>
          <w:bCs/>
          <w:sz w:val="36"/>
          <w:szCs w:val="36"/>
        </w:rPr>
        <w:t xml:space="preserve">5. Pages worth borrowing from</w:t>
      </w:r>
    </w:p>
    <w:p>
      <w:pPr>
        <w:spacing w:after="120"/>
      </w:pPr>
      <w:r>
        <w:t xml:space="preserve">Five pages from the ElevenLabs corpus that solve a problem better than the equivalent Poly AI page, with notes on what to lift.</w:t>
      </w:r>
    </w:p>
    <w:p>
      <w:pPr>
        <w:pStyle w:val="Heading2"/>
        <w:spacing w:after="120" w:before="240"/>
      </w:pPr>
      <w:r>
        <w:rPr>
          <w:rFonts w:ascii="Arial" w:cs="Arial" w:eastAsia="Arial" w:hAnsi="Arial"/>
          <w:b/>
          <w:bCs/>
          <w:sz w:val="28"/>
          <w:szCs w:val="28"/>
        </w:rPr>
        <w:t xml:space="preserve">5.1 /docs/overview/models — comparison matrix</w:t>
      </w:r>
    </w:p>
    <w:p>
      <w:pPr>
        <w:pStyle w:val="ListParagraph"/>
        <w:numPr>
          <w:ilvl w:val="0"/>
          <w:numId w:val="2"/>
        </w:numPr>
        <w:spacing w:after="80"/>
      </w:pPr>
      <w:r>
        <w:rPr>
          <w:rFonts w:ascii="Arial" w:cs="Arial" w:eastAsia="Arial" w:hAnsi="Arial"/>
          <w:b/>
          <w:bCs/>
          <w:sz w:val="22"/>
          <w:szCs w:val="22"/>
        </w:rPr>
        <w:t xml:space="preserve">What works: </w:t>
      </w:r>
      <w:r>
        <w:rPr>
          <w:rFonts w:ascii="Arial" w:cs="Arial" w:eastAsia="Arial" w:hAnsi="Arial"/>
          <w:sz w:val="22"/>
          <w:szCs w:val="22"/>
        </w:rPr>
        <w:t xml:space="preserve">A single grid of every active model with latency, language count, and use-case in feature-card form. Deprecated models stay visible with a replacement suggestion.</w:t>
      </w:r>
    </w:p>
    <w:p>
      <w:pPr>
        <w:pStyle w:val="ListParagraph"/>
        <w:numPr>
          <w:ilvl w:val="0"/>
          <w:numId w:val="2"/>
        </w:numPr>
        <w:spacing w:after="80"/>
      </w:pPr>
      <w:r>
        <w:rPr>
          <w:rFonts w:ascii="Arial" w:cs="Arial" w:eastAsia="Arial" w:hAnsi="Arial"/>
          <w:b/>
          <w:bCs/>
          <w:sz w:val="22"/>
          <w:szCs w:val="22"/>
        </w:rPr>
        <w:t xml:space="preserve">Where to apply on Poly AI: </w:t>
      </w:r>
      <w:r>
        <w:rPr>
          <w:rFonts w:ascii="Arial" w:cs="Arial" w:eastAsia="Arial" w:hAnsi="Arial"/>
          <w:sz w:val="22"/>
          <w:szCs w:val="22"/>
        </w:rPr>
        <w:t xml:space="preserve">/agent-settings/model-use. Today it links out to /agent-settings/raven; consider folding Raven 3.5, Raven V3, OpenAI, Bedrock, and BYOM into one matrix page with the same shape.</w:t>
      </w:r>
    </w:p>
    <w:p>
      <w:pPr>
        <w:pStyle w:val="ListParagraph"/>
        <w:numPr>
          <w:ilvl w:val="0"/>
          <w:numId w:val="2"/>
        </w:numPr>
        <w:spacing w:after="80"/>
      </w:pPr>
      <w:r>
        <w:rPr>
          <w:rFonts w:ascii="Arial" w:cs="Arial" w:eastAsia="Arial" w:hAnsi="Arial"/>
          <w:b/>
          <w:bCs/>
          <w:sz w:val="22"/>
          <w:szCs w:val="22"/>
        </w:rPr>
        <w:t xml:space="preserve">Quoted detail (under 15 words): </w:t>
      </w:r>
      <w:r>
        <w:rPr>
          <w:rFonts w:ascii="Arial" w:cs="Arial" w:eastAsia="Arial" w:hAnsi="Arial"/>
          <w:sz w:val="22"/>
          <w:szCs w:val="22"/>
        </w:rPr>
        <w:t xml:space="preserve">“Meet the models” card grid with 5 capability lanes.</w:t>
      </w:r>
    </w:p>
    <w:p>
      <w:pPr>
        <w:pStyle w:val="Heading2"/>
        <w:spacing w:after="120" w:before="240"/>
      </w:pPr>
      <w:r>
        <w:rPr>
          <w:rFonts w:ascii="Arial" w:cs="Arial" w:eastAsia="Arial" w:hAnsi="Arial"/>
          <w:b/>
          <w:bCs/>
          <w:sz w:val="28"/>
          <w:szCs w:val="28"/>
        </w:rPr>
        <w:t xml:space="preserve">5.2 /docs/overview/capabilities/text-to-speech/best-practices</w:t>
      </w:r>
    </w:p>
    <w:p>
      <w:pPr>
        <w:pStyle w:val="ListParagraph"/>
        <w:numPr>
          <w:ilvl w:val="0"/>
          <w:numId w:val="2"/>
        </w:numPr>
        <w:spacing w:after="80"/>
      </w:pPr>
      <w:r>
        <w:rPr>
          <w:rFonts w:ascii="Arial" w:cs="Arial" w:eastAsia="Arial" w:hAnsi="Arial"/>
          <w:b/>
          <w:bCs/>
          <w:sz w:val="22"/>
          <w:szCs w:val="22"/>
        </w:rPr>
        <w:t xml:space="preserve">What works: </w:t>
      </w:r>
      <w:r>
        <w:rPr>
          <w:rFonts w:ascii="Arial" w:cs="Arial" w:eastAsia="Arial" w:hAnsi="Arial"/>
          <w:sz w:val="22"/>
          <w:szCs w:val="22"/>
        </w:rPr>
        <w:t xml:space="preserve">Why-before-how structure for pronunciation. Phonetics, regex, IPA examples. Side-by-side Python + TypeScript normalize_text functions.</w:t>
      </w:r>
    </w:p>
    <w:p>
      <w:pPr>
        <w:pStyle w:val="ListParagraph"/>
        <w:numPr>
          <w:ilvl w:val="0"/>
          <w:numId w:val="2"/>
        </w:numPr>
        <w:spacing w:after="80"/>
      </w:pPr>
      <w:r>
        <w:rPr>
          <w:rFonts w:ascii="Arial" w:cs="Arial" w:eastAsia="Arial" w:hAnsi="Arial"/>
          <w:b/>
          <w:bCs/>
          <w:sz w:val="22"/>
          <w:szCs w:val="22"/>
        </w:rPr>
        <w:t xml:space="preserve">Where to apply on Poly AI: </w:t>
      </w:r>
      <w:r>
        <w:rPr>
          <w:rFonts w:ascii="Arial" w:cs="Arial" w:eastAsia="Arial" w:hAnsi="Arial"/>
          <w:sz w:val="22"/>
          <w:szCs w:val="22"/>
        </w:rPr>
        <w:t xml:space="preserve">/response-control/pronunciations and /voice/choosing-a-good-voice. Both are reference-shaped today; an ElevenLabs-style essay would close the gap on TTS pronunciation guidance.</w:t>
      </w:r>
    </w:p>
    <w:p>
      <w:pPr>
        <w:pStyle w:val="Heading2"/>
        <w:spacing w:after="120" w:before="240"/>
      </w:pPr>
      <w:r>
        <w:rPr>
          <w:rFonts w:ascii="Arial" w:cs="Arial" w:eastAsia="Arial" w:hAnsi="Arial"/>
          <w:b/>
          <w:bCs/>
          <w:sz w:val="28"/>
          <w:szCs w:val="28"/>
        </w:rPr>
        <w:t xml:space="preserve">5.3 /docs/overview/models#concurrency-and-priority</w:t>
      </w:r>
    </w:p>
    <w:p>
      <w:pPr>
        <w:pStyle w:val="ListParagraph"/>
        <w:numPr>
          <w:ilvl w:val="0"/>
          <w:numId w:val="2"/>
        </w:numPr>
        <w:spacing w:after="80"/>
      </w:pPr>
      <w:r>
        <w:rPr>
          <w:rFonts w:ascii="Arial" w:cs="Arial" w:eastAsia="Arial" w:hAnsi="Arial"/>
          <w:b/>
          <w:bCs/>
          <w:sz w:val="22"/>
          <w:szCs w:val="22"/>
        </w:rPr>
        <w:t xml:space="preserve">What works: </w:t>
      </w:r>
      <w:r>
        <w:rPr>
          <w:rFonts w:ascii="Arial" w:cs="Arial" w:eastAsia="Arial" w:hAnsi="Arial"/>
          <w:sz w:val="22"/>
          <w:szCs w:val="22"/>
        </w:rPr>
        <w:t xml:space="preserve">A heuristic + formula pairing for concurrency planning, with a Locust load-test reference. Use-case-specific accordions for agents, audiobooks, dubbing.</w:t>
      </w:r>
    </w:p>
    <w:p>
      <w:pPr>
        <w:pStyle w:val="ListParagraph"/>
        <w:numPr>
          <w:ilvl w:val="0"/>
          <w:numId w:val="2"/>
        </w:numPr>
        <w:spacing w:after="80"/>
      </w:pPr>
      <w:r>
        <w:rPr>
          <w:rFonts w:ascii="Arial" w:cs="Arial" w:eastAsia="Arial" w:hAnsi="Arial"/>
          <w:b/>
          <w:bCs/>
          <w:sz w:val="22"/>
          <w:szCs w:val="22"/>
        </w:rPr>
        <w:t xml:space="preserve">Where to apply on Poly AI: </w:t>
      </w:r>
      <w:r>
        <w:rPr>
          <w:rFonts w:ascii="Arial" w:cs="Arial" w:eastAsia="Arial" w:hAnsi="Arial"/>
          <w:sz w:val="22"/>
          <w:szCs w:val="22"/>
        </w:rPr>
        <w:t xml:space="preserve">Nowhere yet — Poly AI has no public concurrency / rate-limit page in the docs nav. Worth adding under /api-reference or /api as an Operations sub-section.</w:t>
      </w:r>
    </w:p>
    <w:p>
      <w:pPr>
        <w:pStyle w:val="Heading2"/>
        <w:spacing w:after="120" w:before="240"/>
      </w:pPr>
      <w:r>
        <w:rPr>
          <w:rFonts w:ascii="Arial" w:cs="Arial" w:eastAsia="Arial" w:hAnsi="Arial"/>
          <w:b/>
          <w:bCs/>
          <w:sz w:val="28"/>
          <w:szCs w:val="28"/>
        </w:rPr>
        <w:t xml:space="preserve">5.4 /docs/eleven-agents/overview</w:t>
      </w:r>
    </w:p>
    <w:p>
      <w:pPr>
        <w:pStyle w:val="ListParagraph"/>
        <w:numPr>
          <w:ilvl w:val="0"/>
          <w:numId w:val="2"/>
        </w:numPr>
        <w:spacing w:after="80"/>
      </w:pPr>
      <w:r>
        <w:rPr>
          <w:rFonts w:ascii="Arial" w:cs="Arial" w:eastAsia="Arial" w:hAnsi="Arial"/>
          <w:b/>
          <w:bCs/>
          <w:sz w:val="22"/>
          <w:szCs w:val="22"/>
        </w:rPr>
        <w:t xml:space="preserve">What works: </w:t>
      </w:r>
      <w:r>
        <w:rPr>
          <w:rFonts w:ascii="Arial" w:cs="Arial" w:eastAsia="Arial" w:hAnsi="Arial"/>
          <w:sz w:val="22"/>
          <w:szCs w:val="22"/>
        </w:rPr>
        <w:t xml:space="preserve">A single-page introduction to ElevenLabs’ Agents platform that orients the reader before sending them to the reference.</w:t>
      </w:r>
    </w:p>
    <w:p>
      <w:pPr>
        <w:pStyle w:val="ListParagraph"/>
        <w:numPr>
          <w:ilvl w:val="0"/>
          <w:numId w:val="2"/>
        </w:numPr>
        <w:spacing w:after="80"/>
      </w:pPr>
      <w:r>
        <w:rPr>
          <w:rFonts w:ascii="Arial" w:cs="Arial" w:eastAsia="Arial" w:hAnsi="Arial"/>
          <w:b/>
          <w:bCs/>
          <w:sz w:val="22"/>
          <w:szCs w:val="22"/>
        </w:rPr>
        <w:t xml:space="preserve">Where to apply on Poly AI: </w:t>
      </w:r>
      <w:r>
        <w:rPr>
          <w:rFonts w:ascii="Arial" w:cs="Arial" w:eastAsia="Arial" w:hAnsi="Arial"/>
          <w:sz w:val="22"/>
          <w:szCs w:val="22"/>
        </w:rPr>
        <w:t xml:space="preserve">Poly AI already does this well on /platform/introduction. Compare directly — the Poly AI page may be longer than necessary now. Could be split into a one-screen overview and a deeper architecture page.</w:t>
      </w:r>
    </w:p>
    <w:p>
      <w:pPr>
        <w:pStyle w:val="Heading2"/>
        <w:spacing w:after="120" w:before="240"/>
      </w:pPr>
      <w:r>
        <w:rPr>
          <w:rFonts w:ascii="Arial" w:cs="Arial" w:eastAsia="Arial" w:hAnsi="Arial"/>
          <w:b/>
          <w:bCs/>
          <w:sz w:val="28"/>
          <w:szCs w:val="28"/>
        </w:rPr>
        <w:t xml:space="preserve">5.5 Homepage capability grid</w:t>
      </w:r>
    </w:p>
    <w:p>
      <w:pPr>
        <w:pStyle w:val="ListParagraph"/>
        <w:numPr>
          <w:ilvl w:val="0"/>
          <w:numId w:val="2"/>
        </w:numPr>
        <w:spacing w:after="80"/>
      </w:pPr>
      <w:r>
        <w:rPr>
          <w:rFonts w:ascii="Arial" w:cs="Arial" w:eastAsia="Arial" w:hAnsi="Arial"/>
          <w:b/>
          <w:bCs/>
          <w:sz w:val="22"/>
          <w:szCs w:val="22"/>
        </w:rPr>
        <w:t xml:space="preserve">What works: </w:t>
      </w:r>
      <w:r>
        <w:rPr>
          <w:rFonts w:ascii="Arial" w:cs="Arial" w:eastAsia="Arial" w:hAnsi="Arial"/>
          <w:sz w:val="22"/>
          <w:szCs w:val="22"/>
        </w:rPr>
        <w:t xml:space="preserve">12 capability cards laid out as a taxonomy, each one a one-line value prop. Lets a new reader self-route by what they want to build.</w:t>
      </w:r>
    </w:p>
    <w:p>
      <w:pPr>
        <w:pStyle w:val="ListParagraph"/>
        <w:numPr>
          <w:ilvl w:val="0"/>
          <w:numId w:val="2"/>
        </w:numPr>
        <w:spacing w:after="80"/>
      </w:pPr>
      <w:r>
        <w:rPr>
          <w:rFonts w:ascii="Arial" w:cs="Arial" w:eastAsia="Arial" w:hAnsi="Arial"/>
          <w:b/>
          <w:bCs/>
          <w:sz w:val="22"/>
          <w:szCs w:val="22"/>
        </w:rPr>
        <w:t xml:space="preserve">Where to apply on Poly AI: </w:t>
      </w:r>
      <w:r>
        <w:rPr>
          <w:rFonts w:ascii="Arial" w:cs="Arial" w:eastAsia="Arial" w:hAnsi="Arial"/>
          <w:sz w:val="22"/>
          <w:szCs w:val="22"/>
        </w:rPr>
        <w:t xml:space="preserve">home.mdx already does this for Build, Channels, Deploy, and Resources. The ElevenLabs twist is to add a parallel capability-by-domain grid (Hospitality, Healthcare, Telephony, CRM) higher on the page so industry buyers can self-route faster.</w:t>
      </w:r>
    </w:p>
    <w:p>
      <w:pPr>
        <w:pStyle w:val="Heading1"/>
        <w:pageBreakBefore/>
        <w:spacing w:after="200" w:before="200"/>
      </w:pPr>
      <w:r>
        <w:rPr>
          <w:rFonts w:ascii="Arial" w:cs="Arial" w:eastAsia="Arial" w:hAnsi="Arial"/>
          <w:b/>
          <w:bCs/>
          <w:sz w:val="36"/>
          <w:szCs w:val="36"/>
        </w:rPr>
        <w:t xml:space="preserve">6. Recommendations</w:t>
      </w:r>
    </w:p>
    <w:p>
      <w:pPr>
        <w:spacing w:after="120"/>
      </w:pPr>
      <w:r>
        <w:t xml:space="preserve">Five concrete actions, ordered by impact-to-effort:</w:t>
      </w:r>
    </w:p>
    <w:p>
      <w:pPr>
        <w:pStyle w:val="ListParagraph"/>
        <w:numPr>
          <w:ilvl w:val="0"/>
          <w:numId w:val="2"/>
        </w:numPr>
        <w:spacing w:after="80"/>
      </w:pPr>
      <w:r>
        <w:rPr>
          <w:rFonts w:ascii="Arial" w:cs="Arial" w:eastAsia="Arial" w:hAnsi="Arial"/>
          <w:b/>
          <w:bCs/>
          <w:sz w:val="22"/>
          <w:szCs w:val="22"/>
        </w:rPr>
        <w:t xml:space="preserve">Build a single Models comparison page. </w:t>
      </w:r>
      <w:r>
        <w:rPr>
          <w:rFonts w:ascii="Arial" w:cs="Arial" w:eastAsia="Arial" w:hAnsi="Arial"/>
          <w:sz w:val="22"/>
          <w:szCs w:val="22"/>
        </w:rPr>
        <w:t xml:space="preserve">Roll Raven 3.5, Raven V3, OpenAI, Bedrock, and BYOM into one matrix at /agent-settings/model-use, modelled on /docs/overview/models. Effort: medium. Impact: high (new readers cannot currently compare model options on one screen).</w:t>
      </w:r>
    </w:p>
    <w:p>
      <w:pPr>
        <w:pStyle w:val="ListParagraph"/>
        <w:numPr>
          <w:ilvl w:val="0"/>
          <w:numId w:val="2"/>
        </w:numPr>
        <w:spacing w:after="80"/>
      </w:pPr>
      <w:r>
        <w:rPr>
          <w:rFonts w:ascii="Arial" w:cs="Arial" w:eastAsia="Arial" w:hAnsi="Arial"/>
          <w:b/>
          <w:bCs/>
          <w:sz w:val="22"/>
          <w:szCs w:val="22"/>
        </w:rPr>
        <w:t xml:space="preserve">Add a Concurrency &amp; rate limits page. </w:t>
      </w:r>
      <w:r>
        <w:rPr>
          <w:rFonts w:ascii="Arial" w:cs="Arial" w:eastAsia="Arial" w:hAnsi="Arial"/>
          <w:sz w:val="22"/>
          <w:szCs w:val="22"/>
        </w:rPr>
        <w:t xml:space="preserve">No equivalent exists today. ElevenLabs’ /docs/overview/models#concurrency-and-priority is the template. Effort: medium (requires SRE input). Impact: high for enterprise pre-sales.</w:t>
      </w:r>
    </w:p>
    <w:p>
      <w:pPr>
        <w:pStyle w:val="ListParagraph"/>
        <w:numPr>
          <w:ilvl w:val="0"/>
          <w:numId w:val="2"/>
        </w:numPr>
        <w:spacing w:after="80"/>
      </w:pPr>
      <w:r>
        <w:rPr>
          <w:rFonts w:ascii="Arial" w:cs="Arial" w:eastAsia="Arial" w:hAnsi="Arial"/>
          <w:b/>
          <w:bCs/>
          <w:sz w:val="22"/>
          <w:szCs w:val="22"/>
        </w:rPr>
        <w:t xml:space="preserve">Standardise CodeGroup blocks. </w:t>
      </w:r>
      <w:r>
        <w:rPr>
          <w:rFonts w:ascii="Arial" w:cs="Arial" w:eastAsia="Arial" w:hAnsi="Arial"/>
          <w:sz w:val="22"/>
          <w:szCs w:val="22"/>
        </w:rPr>
        <w:t xml:space="preserve">Every reference page should ship curl + Python + TypeScript when it ships any code. Start with /managed-topics/introduction, /flows/introduction, /tools/how-to-setup. Effort: medium. Impact: high reach into the developer audience.</w:t>
      </w:r>
    </w:p>
    <w:p>
      <w:pPr>
        <w:pStyle w:val="ListParagraph"/>
        <w:numPr>
          <w:ilvl w:val="0"/>
          <w:numId w:val="2"/>
        </w:numPr>
        <w:spacing w:after="80"/>
      </w:pPr>
      <w:r>
        <w:rPr>
          <w:rFonts w:ascii="Arial" w:cs="Arial" w:eastAsia="Arial" w:hAnsi="Arial"/>
          <w:b/>
          <w:bCs/>
          <w:sz w:val="22"/>
          <w:szCs w:val="22"/>
        </w:rPr>
        <w:t xml:space="preserve">Promote the design-principles page. </w:t>
      </w:r>
      <w:r>
        <w:rPr>
          <w:rFonts w:ascii="Arial" w:cs="Arial" w:eastAsia="Arial" w:hAnsi="Arial"/>
          <w:sz w:val="22"/>
          <w:szCs w:val="22"/>
        </w:rPr>
        <w:t xml:space="preserve">Today it lives inside PolyAcademy. Surface it from the home page card grid; it is the strongest single page in the corpus for differentiating Poly AI’s voice-design point of view. Effort: low. Impact: medium.</w:t>
      </w:r>
    </w:p>
    <w:p>
      <w:pPr>
        <w:pStyle w:val="ListParagraph"/>
        <w:numPr>
          <w:ilvl w:val="0"/>
          <w:numId w:val="2"/>
        </w:numPr>
        <w:spacing w:after="80"/>
      </w:pPr>
      <w:r>
        <w:rPr>
          <w:rFonts w:ascii="Arial" w:cs="Arial" w:eastAsia="Arial" w:hAnsi="Arial"/>
          <w:b/>
          <w:bCs/>
          <w:sz w:val="22"/>
          <w:szCs w:val="22"/>
        </w:rPr>
        <w:t xml:space="preserve">Add an industry-by-vertical taxonomy strip to the home page. </w:t>
      </w:r>
      <w:r>
        <w:rPr>
          <w:rFonts w:ascii="Arial" w:cs="Arial" w:eastAsia="Arial" w:hAnsi="Arial"/>
          <w:sz w:val="22"/>
          <w:szCs w:val="22"/>
        </w:rPr>
        <w:t xml:space="preserve">Modelled on ElevenLabs’ capability grid, but framed by vertical (Hospitality, Healthcare, Telephony, CRM) rather than feature. Effort: low. Impact: medium (helps enterprise readers self-route).</w:t>
      </w:r>
    </w:p>
    <w:p>
      <w:pPr>
        <w:pStyle w:val="Heading1"/>
        <w:pageBreakBefore/>
        <w:spacing w:after="200" w:before="200"/>
      </w:pPr>
      <w:r>
        <w:rPr>
          <w:rFonts w:ascii="Arial" w:cs="Arial" w:eastAsia="Arial" w:hAnsi="Arial"/>
          <w:b/>
          <w:bCs/>
          <w:sz w:val="36"/>
          <w:szCs w:val="36"/>
        </w:rPr>
        <w:t xml:space="preserve">7. Appendix: pages sampled</w:t>
      </w:r>
    </w:p>
    <w:p>
      <w:pPr>
        <w:pStyle w:val="Heading2"/>
        <w:spacing w:after="120" w:before="240"/>
      </w:pPr>
      <w:r>
        <w:rPr>
          <w:rFonts w:ascii="Arial" w:cs="Arial" w:eastAsia="Arial" w:hAnsi="Arial"/>
          <w:b/>
          <w:bCs/>
          <w:sz w:val="28"/>
          <w:szCs w:val="28"/>
        </w:rPr>
        <w:t xml:space="preserve">7.1 ElevenLabs retrieval</w:t>
      </w:r>
    </w:p>
    <w:p>
      <w:pPr>
        <w:spacing w:after="120"/>
      </w:pPr>
      <w:r>
        <w:t xml:space="preserve">Strategy B succeeded: https://elevenlabs.io/docs/llms-full.txt returned 2,879 lines (~114 KB). The file was analysed end-to-end via a sub-agent and covers: docs homepage; /docs/overview/models; /docs/overview/capabilities/text-to-speech and best-practices; /docs/overview/capabilities/speech-to-text; /docs/eleven-music; /docs/eleven-agents/overview; /docs/api-reference/text-to-speech; /docs/api-reference/speech-to-text; sound effects, voice changer, dubbing, forced alignment, and voice library pages.</w:t>
      </w:r>
    </w:p>
    <w:p>
      <w:pPr>
        <w:pStyle w:val="Heading2"/>
        <w:spacing w:after="120" w:before="240"/>
      </w:pPr>
      <w:r>
        <w:rPr>
          <w:rFonts w:ascii="Arial" w:cs="Arial" w:eastAsia="Arial" w:hAnsi="Arial"/>
          <w:b/>
          <w:bCs/>
          <w:sz w:val="28"/>
          <w:szCs w:val="28"/>
        </w:rPr>
        <w:t xml:space="preserve">7.2 Poly AI pages sampled</w:t>
      </w:r>
    </w:p>
    <w:p>
      <w:pPr>
        <w:pStyle w:val="ListParagraph"/>
        <w:numPr>
          <w:ilvl w:val="0"/>
          <w:numId w:val="2"/>
        </w:numPr>
        <w:spacing w:after="80"/>
      </w:pPr>
      <w:r>
        <w:rPr>
          <w:rFonts w:ascii="Arial" w:cs="Arial" w:eastAsia="Arial" w:hAnsi="Arial"/>
          <w:sz w:val="22"/>
          <w:szCs w:val="22"/>
        </w:rPr>
        <w:t xml:space="preserve">home.mdx (simplified and full variants)</w:t>
      </w:r>
    </w:p>
    <w:p>
      <w:pPr>
        <w:pStyle w:val="ListParagraph"/>
        <w:numPr>
          <w:ilvl w:val="0"/>
          <w:numId w:val="2"/>
        </w:numPr>
        <w:spacing w:after="80"/>
      </w:pPr>
      <w:r>
        <w:rPr>
          <w:rFonts w:ascii="Arial" w:cs="Arial" w:eastAsia="Arial" w:hAnsi="Arial"/>
          <w:sz w:val="22"/>
          <w:szCs w:val="22"/>
        </w:rPr>
        <w:t xml:space="preserve">platform/introduction.mdx, platform/simplified-mode.mdx</w:t>
      </w:r>
    </w:p>
    <w:p>
      <w:pPr>
        <w:pStyle w:val="ListParagraph"/>
        <w:numPr>
          <w:ilvl w:val="0"/>
          <w:numId w:val="2"/>
        </w:numPr>
        <w:spacing w:after="80"/>
      </w:pPr>
      <w:r>
        <w:rPr>
          <w:rFonts w:ascii="Arial" w:cs="Arial" w:eastAsia="Arial" w:hAnsi="Arial"/>
          <w:sz w:val="22"/>
          <w:szCs w:val="22"/>
        </w:rPr>
        <w:t xml:space="preserve">get-started/introduction.mdx, get-started/quickstart.mdx</w:t>
      </w:r>
    </w:p>
    <w:p>
      <w:pPr>
        <w:pStyle w:val="ListParagraph"/>
        <w:numPr>
          <w:ilvl w:val="0"/>
          <w:numId w:val="2"/>
        </w:numPr>
        <w:spacing w:after="80"/>
      </w:pPr>
      <w:r>
        <w:rPr>
          <w:rFonts w:ascii="Arial" w:cs="Arial" w:eastAsia="Arial" w:hAnsi="Arial"/>
          <w:sz w:val="22"/>
          <w:szCs w:val="22"/>
        </w:rPr>
        <w:t xml:space="preserve">agent-settings/introduction.mdx, agent-settings/raven.mdx</w:t>
      </w:r>
    </w:p>
    <w:p>
      <w:pPr>
        <w:pStyle w:val="ListParagraph"/>
        <w:numPr>
          <w:ilvl w:val="0"/>
          <w:numId w:val="2"/>
        </w:numPr>
        <w:spacing w:after="80"/>
      </w:pPr>
      <w:r>
        <w:rPr>
          <w:rFonts w:ascii="Arial" w:cs="Arial" w:eastAsia="Arial" w:hAnsi="Arial"/>
          <w:sz w:val="22"/>
          <w:szCs w:val="22"/>
        </w:rPr>
        <w:t xml:space="preserve">managed-topics/introduction.mdx</w:t>
      </w:r>
    </w:p>
    <w:p>
      <w:pPr>
        <w:pStyle w:val="ListParagraph"/>
        <w:numPr>
          <w:ilvl w:val="0"/>
          <w:numId w:val="2"/>
        </w:numPr>
        <w:spacing w:after="80"/>
      </w:pPr>
      <w:r>
        <w:rPr>
          <w:rFonts w:ascii="Arial" w:cs="Arial" w:eastAsia="Arial" w:hAnsi="Arial"/>
          <w:sz w:val="22"/>
          <w:szCs w:val="22"/>
        </w:rPr>
        <w:t xml:space="preserve">connected-knowledge/introduction.mdx</w:t>
      </w:r>
    </w:p>
    <w:p>
      <w:pPr>
        <w:pStyle w:val="ListParagraph"/>
        <w:numPr>
          <w:ilvl w:val="0"/>
          <w:numId w:val="2"/>
        </w:numPr>
        <w:spacing w:after="80"/>
      </w:pPr>
      <w:r>
        <w:rPr>
          <w:rFonts w:ascii="Arial" w:cs="Arial" w:eastAsia="Arial" w:hAnsi="Arial"/>
          <w:sz w:val="22"/>
          <w:szCs w:val="22"/>
        </w:rPr>
        <w:t xml:space="preserve">flows/introduction.mdx</w:t>
      </w:r>
    </w:p>
    <w:p>
      <w:pPr>
        <w:pStyle w:val="ListParagraph"/>
        <w:numPr>
          <w:ilvl w:val="0"/>
          <w:numId w:val="2"/>
        </w:numPr>
        <w:spacing w:after="80"/>
      </w:pPr>
      <w:r>
        <w:rPr>
          <w:rFonts w:ascii="Arial" w:cs="Arial" w:eastAsia="Arial" w:hAnsi="Arial"/>
          <w:sz w:val="22"/>
          <w:szCs w:val="22"/>
        </w:rPr>
        <w:t xml:space="preserve">tools/introduction.mdx</w:t>
      </w:r>
    </w:p>
    <w:p>
      <w:pPr>
        <w:pStyle w:val="ListParagraph"/>
        <w:numPr>
          <w:ilvl w:val="0"/>
          <w:numId w:val="2"/>
        </w:numPr>
        <w:spacing w:after="80"/>
      </w:pPr>
      <w:r>
        <w:rPr>
          <w:rFonts w:ascii="Arial" w:cs="Arial" w:eastAsia="Arial" w:hAnsi="Arial"/>
          <w:sz w:val="22"/>
          <w:szCs w:val="22"/>
        </w:rPr>
        <w:t xml:space="preserve">voice/introduction.mdx</w:t>
      </w:r>
    </w:p>
    <w:p>
      <w:pPr>
        <w:pStyle w:val="ListParagraph"/>
        <w:numPr>
          <w:ilvl w:val="0"/>
          <w:numId w:val="2"/>
        </w:numPr>
        <w:spacing w:after="80"/>
      </w:pPr>
      <w:r>
        <w:rPr>
          <w:rFonts w:ascii="Arial" w:cs="Arial" w:eastAsia="Arial" w:hAnsi="Arial"/>
          <w:sz w:val="22"/>
          <w:szCs w:val="22"/>
        </w:rPr>
        <w:t xml:space="preserve">webchat/introduction.mdx</w:t>
      </w:r>
    </w:p>
    <w:p>
      <w:pPr>
        <w:pStyle w:val="ListParagraph"/>
        <w:numPr>
          <w:ilvl w:val="0"/>
          <w:numId w:val="2"/>
        </w:numPr>
        <w:spacing w:after="80"/>
      </w:pPr>
      <w:r>
        <w:rPr>
          <w:rFonts w:ascii="Arial" w:cs="Arial" w:eastAsia="Arial" w:hAnsi="Arial"/>
          <w:sz w:val="22"/>
          <w:szCs w:val="22"/>
        </w:rPr>
        <w:t xml:space="preserve">speech-recognition/introduction.mdx</w:t>
      </w:r>
    </w:p>
    <w:p>
      <w:pPr>
        <w:pStyle w:val="ListParagraph"/>
        <w:numPr>
          <w:ilvl w:val="0"/>
          <w:numId w:val="2"/>
        </w:numPr>
        <w:spacing w:after="80"/>
      </w:pPr>
      <w:r>
        <w:rPr>
          <w:rFonts w:ascii="Arial" w:cs="Arial" w:eastAsia="Arial" w:hAnsi="Arial"/>
          <w:sz w:val="22"/>
          <w:szCs w:val="22"/>
        </w:rPr>
        <w:t xml:space="preserve">smart-analyst/introduction.mdx</w:t>
      </w:r>
    </w:p>
    <w:p>
      <w:pPr>
        <w:pStyle w:val="ListParagraph"/>
        <w:numPr>
          <w:ilvl w:val="0"/>
          <w:numId w:val="2"/>
        </w:numPr>
        <w:spacing w:after="80"/>
      </w:pPr>
      <w:r>
        <w:rPr>
          <w:rFonts w:ascii="Arial" w:cs="Arial" w:eastAsia="Arial" w:hAnsi="Arial"/>
          <w:sz w:val="22"/>
          <w:szCs w:val="22"/>
        </w:rPr>
        <w:t xml:space="preserve">integrations/introduction.mdx, integrations/mcp.mdx</w:t>
      </w:r>
    </w:p>
    <w:p>
      <w:pPr>
        <w:pStyle w:val="ListParagraph"/>
        <w:numPr>
          <w:ilvl w:val="0"/>
          <w:numId w:val="2"/>
        </w:numPr>
        <w:spacing w:after="80"/>
      </w:pPr>
      <w:r>
        <w:rPr>
          <w:rFonts w:ascii="Arial" w:cs="Arial" w:eastAsia="Arial" w:hAnsi="Arial"/>
          <w:sz w:val="22"/>
          <w:szCs w:val="22"/>
        </w:rPr>
        <w:t xml:space="preserve">telephony/introduction.mdx</w:t>
      </w:r>
    </w:p>
    <w:p>
      <w:pPr>
        <w:pStyle w:val="ListParagraph"/>
        <w:numPr>
          <w:ilvl w:val="0"/>
          <w:numId w:val="2"/>
        </w:numPr>
        <w:spacing w:after="80"/>
      </w:pPr>
      <w:r>
        <w:rPr>
          <w:rFonts w:ascii="Arial" w:cs="Arial" w:eastAsia="Arial" w:hAnsi="Arial"/>
          <w:sz w:val="22"/>
          <w:szCs w:val="22"/>
        </w:rPr>
        <w:t xml:space="preserve">api-reference/introduction.mdx (full read)</w:t>
      </w:r>
    </w:p>
    <w:p>
      <w:pPr>
        <w:pStyle w:val="ListParagraph"/>
        <w:numPr>
          <w:ilvl w:val="0"/>
          <w:numId w:val="2"/>
        </w:numPr>
        <w:spacing w:after="80"/>
      </w:pPr>
      <w:r>
        <w:rPr>
          <w:rFonts w:ascii="Arial" w:cs="Arial" w:eastAsia="Arial" w:hAnsi="Arial"/>
          <w:sz w:val="22"/>
          <w:szCs w:val="22"/>
        </w:rPr>
        <w:t xml:space="preserve">extend/introduction.mdx, extend/adk.mdx</w:t>
      </w:r>
    </w:p>
    <w:p>
      <w:pPr>
        <w:pStyle w:val="ListParagraph"/>
        <w:numPr>
          <w:ilvl w:val="0"/>
          <w:numId w:val="2"/>
        </w:numPr>
        <w:spacing w:after="80"/>
      </w:pPr>
      <w:r>
        <w:rPr>
          <w:rFonts w:ascii="Arial" w:cs="Arial" w:eastAsia="Arial" w:hAnsi="Arial"/>
          <w:sz w:val="22"/>
          <w:szCs w:val="22"/>
        </w:rPr>
        <w:t xml:space="preserve">learn/guides/polyacademy.mdx, learn/guides/introduction.mdx, learn/guides/design-principles.mdx</w:t>
      </w:r>
    </w:p>
    <w:p>
      <w:pPr>
        <w:pStyle w:val="ListParagraph"/>
        <w:numPr>
          <w:ilvl w:val="0"/>
          <w:numId w:val="2"/>
        </w:numPr>
        <w:spacing w:after="80"/>
      </w:pPr>
      <w:r>
        <w:rPr>
          <w:rFonts w:ascii="Arial" w:cs="Arial" w:eastAsia="Arial" w:hAnsi="Arial"/>
          <w:sz w:val="22"/>
          <w:szCs w:val="22"/>
        </w:rPr>
        <w:t xml:space="preserve">glossary/introduction.mdx</w:t>
      </w:r>
    </w:p>
    <w:p>
      <w:pPr>
        <w:pStyle w:val="ListParagraph"/>
        <w:numPr>
          <w:ilvl w:val="0"/>
          <w:numId w:val="2"/>
        </w:numPr>
        <w:spacing w:after="80"/>
      </w:pPr>
      <w:r>
        <w:rPr>
          <w:rFonts w:ascii="Arial" w:cs="Arial" w:eastAsia="Arial" w:hAnsi="Arial"/>
          <w:sz w:val="22"/>
          <w:szCs w:val="22"/>
        </w:rPr>
        <w:t xml:space="preserve">troubleshoot/faq.mdx</w:t>
      </w:r>
    </w:p>
    <w:p>
      <w:pPr>
        <w:pStyle w:val="ListParagraph"/>
        <w:numPr>
          <w:ilvl w:val="0"/>
          <w:numId w:val="2"/>
        </w:numPr>
        <w:spacing w:after="80"/>
      </w:pPr>
      <w:r>
        <w:rPr>
          <w:rFonts w:ascii="Arial" w:cs="Arial" w:eastAsia="Arial" w:hAnsi="Arial"/>
          <w:sz w:val="22"/>
          <w:szCs w:val="22"/>
        </w:rPr>
        <w:t xml:space="preserve">releases/overview.mdx</w:t>
      </w:r>
    </w:p>
    <w:p>
      <w:pPr>
        <w:pStyle w:val="Heading2"/>
        <w:spacing w:after="120" w:before="240"/>
      </w:pPr>
      <w:r>
        <w:rPr>
          <w:rFonts w:ascii="Arial" w:cs="Arial" w:eastAsia="Arial" w:hAnsi="Arial"/>
          <w:b/>
          <w:bCs/>
          <w:sz w:val="28"/>
          <w:szCs w:val="28"/>
        </w:rPr>
        <w:t xml:space="preserve">7.3 Method notes</w:t>
      </w:r>
    </w:p>
    <w:p>
      <w:pPr>
        <w:spacing w:after="120"/>
      </w:pPr>
      <w:r>
        <w:t xml:space="preserve">Tone observations are based on full reads of the pages listed. Tooling coverage is reconciled against the docs.json navigation tree (Agent Studio, Academy, Advanced, API reference, Integrations, Release notes tabs). Didactic flow observations are based on the role-picker on home.mdx, the structure of /learn/guides, and the ‘Next steps’ patterns on every page reviewed. ElevenLabs observations were gathered from a single fetch of llms-full.txt; any pages not in that file are not represented in this report.</w:t>
      </w:r>
    </w:p>
    <w:p>
      <w:pPr>
        <w:spacing w:after="120"/>
      </w:pPr>
      <w:r>
        <w:t xml:space="preserve">This is an automated weekly review. Next run: 18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Poly AI Docs Claw · 11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3A6B08"/>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4A7C10"/>
      <w:sz w:val="28"/>
      <w:szCs w:val="28"/>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2026-05-11T09:11:18.887Z</dcterms:created>
  <dcterms:modified xsi:type="dcterms:W3CDTF">2026-05-11T09:11:18.887Z</dcterms:modified>
</cp:coreProperties>
</file>

<file path=docProps/custom.xml><?xml version="1.0" encoding="utf-8"?>
<Properties xmlns="http://schemas.openxmlformats.org/officeDocument/2006/custom-properties" xmlns:vt="http://schemas.openxmlformats.org/officeDocument/2006/docPropsVTypes"/>
</file>