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5FB09">
      <w:pPr>
        <w:rPr>
          <w:rFonts w:hint="eastAsia"/>
        </w:rPr>
      </w:pPr>
      <w:r>
        <w:rPr>
          <w:rFonts w:hint="eastAsia"/>
        </w:rPr>
        <w:t xml:space="preserve"> FAF计算的四个步骤</w:t>
      </w:r>
    </w:p>
    <w:p w14:paraId="69BC74F6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数据提取：</w:t>
      </w:r>
    </w:p>
    <w:p w14:paraId="7124114E">
      <w:pPr>
        <w:rPr>
          <w:rFonts w:hint="eastAsia"/>
        </w:rPr>
      </w:pPr>
      <w:r>
        <w:rPr>
          <w:rFonts w:hint="eastAsia"/>
        </w:rPr>
        <w:t>从香港交易所收集相关材料和文件，以了解股东结构。</w:t>
      </w:r>
    </w:p>
    <w:p w14:paraId="72EA706B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数据映射与更新：</w:t>
      </w:r>
    </w:p>
    <w:p w14:paraId="6337943C">
      <w:pPr>
        <w:rPr>
          <w:rFonts w:hint="eastAsia"/>
        </w:rPr>
      </w:pPr>
      <w:r>
        <w:rPr>
          <w:rFonts w:hint="eastAsia"/>
        </w:rPr>
        <w:t>确保数据准确，整合不同文件的信息。</w:t>
      </w:r>
    </w:p>
    <w:p w14:paraId="2BAB36B8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文本阅读与判断：</w:t>
      </w:r>
    </w:p>
    <w:p w14:paraId="37BDBEBD">
      <w:pPr>
        <w:rPr>
          <w:rFonts w:hint="eastAsia"/>
        </w:rPr>
      </w:pPr>
      <w:r>
        <w:rPr>
          <w:rFonts w:hint="eastAsia"/>
        </w:rPr>
        <w:t>深入分析股东信息，合并相关股东的持股数据。</w:t>
      </w:r>
    </w:p>
    <w:p w14:paraId="0232FA24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自由流通计算：</w:t>
      </w:r>
    </w:p>
    <w:p w14:paraId="5AC0ABB7">
      <w:pPr>
        <w:rPr>
          <w:rFonts w:hint="eastAsia"/>
        </w:rPr>
      </w:pPr>
      <w:r>
        <w:rPr>
          <w:rFonts w:hint="eastAsia"/>
        </w:rPr>
        <w:t>对持股进行分类，计算自由流通股份数量。</w:t>
      </w:r>
    </w:p>
    <w:p w14:paraId="3223C3D6">
      <w:pPr>
        <w:rPr>
          <w:rFonts w:hint="eastAsia"/>
        </w:rPr>
      </w:pPr>
    </w:p>
    <w:p w14:paraId="3B4E32D3">
      <w:pPr>
        <w:rPr>
          <w:rFonts w:hint="eastAsia"/>
        </w:rPr>
      </w:pPr>
    </w:p>
    <w:p w14:paraId="325E52D4">
      <w:pPr>
        <w:rPr>
          <w:rFonts w:hint="eastAsia" w:eastAsiaTheme="minorEastAsia"/>
          <w:lang w:eastAsia="zh-CN"/>
        </w:rPr>
      </w:pPr>
      <w:r>
        <w:rPr>
          <w:rFonts w:hint="eastAsia"/>
        </w:rPr>
        <w:t>FAF计算演示</w:t>
      </w:r>
      <w:r>
        <w:rPr>
          <w:rFonts w:hint="eastAsia"/>
          <w:lang w:eastAsia="zh-CN"/>
        </w:rPr>
        <w:t>：</w:t>
      </w:r>
    </w:p>
    <w:p w14:paraId="2C3BED02">
      <w:pPr>
        <w:rPr>
          <w:rFonts w:hint="eastAsia"/>
        </w:rPr>
      </w:pPr>
      <w:r>
        <w:rPr>
          <w:rFonts w:hint="eastAsia"/>
        </w:rPr>
        <w:t>使用Ocumension（1477.HK）作为示例，计算截至2023年12月31日的FAF。</w:t>
      </w:r>
    </w:p>
    <w:p w14:paraId="089D8C3C">
      <w:pPr>
        <w:rPr>
          <w:rFonts w:hint="eastAsia"/>
        </w:rPr>
      </w:pPr>
      <w:r>
        <w:rPr>
          <w:rFonts w:hint="eastAsia"/>
        </w:rPr>
        <w:t>总发行股份来自于最新的财务报告。</w:t>
      </w:r>
    </w:p>
    <w:p w14:paraId="5D8C03C6">
      <w:pPr>
        <w:rPr>
          <w:rFonts w:hint="eastAsia"/>
        </w:rPr>
      </w:pPr>
      <w:r>
        <w:rPr>
          <w:rFonts w:hint="eastAsia"/>
        </w:rPr>
        <w:t>持股数据来源于以下文件：</w:t>
      </w:r>
    </w:p>
    <w:p w14:paraId="27DCF535">
      <w:pPr>
        <w:rPr>
          <w:rFonts w:hint="eastAsia"/>
        </w:rPr>
      </w:pPr>
      <w:r>
        <w:rPr>
          <w:rFonts w:hint="eastAsia"/>
        </w:rPr>
        <w:t>2023年中期报告</w:t>
      </w:r>
    </w:p>
    <w:p w14:paraId="3A8A7089">
      <w:pPr>
        <w:rPr>
          <w:rFonts w:hint="eastAsia"/>
        </w:rPr>
      </w:pPr>
      <w:r>
        <w:rPr>
          <w:rFonts w:hint="eastAsia"/>
        </w:rPr>
        <w:t>2022年年报</w:t>
      </w:r>
    </w:p>
    <w:p w14:paraId="247EAD25">
      <w:pPr>
        <w:rPr>
          <w:rFonts w:hint="eastAsia"/>
        </w:rPr>
      </w:pPr>
      <w:r>
        <w:rPr>
          <w:rFonts w:hint="eastAsia"/>
        </w:rPr>
        <w:t>持股披露信息（SDI）</w:t>
      </w:r>
    </w:p>
    <w:p w14:paraId="5AD653DA">
      <w:pPr>
        <w:rPr>
          <w:rFonts w:hint="eastAsia"/>
        </w:rPr>
      </w:pPr>
      <w:r>
        <w:rPr>
          <w:rFonts w:hint="eastAsia"/>
        </w:rPr>
        <w:t>重要持股分析：</w:t>
      </w:r>
    </w:p>
    <w:p w14:paraId="2A0ED980">
      <w:pPr>
        <w:rPr>
          <w:rFonts w:hint="eastAsia"/>
        </w:rPr>
      </w:pPr>
      <w:r>
        <w:rPr>
          <w:rFonts w:hint="eastAsia"/>
        </w:rPr>
        <w:t>董事持股：如Mr. Ye Liu和Dr. Hu的持股均低于5%，被视为自由流通。</w:t>
      </w:r>
    </w:p>
    <w:p w14:paraId="6C782242">
      <w:pPr>
        <w:rPr>
          <w:rFonts w:hint="eastAsia"/>
        </w:rPr>
      </w:pPr>
      <w:r>
        <w:rPr>
          <w:rFonts w:hint="eastAsia"/>
        </w:rPr>
        <w:t>主要股东：</w:t>
      </w:r>
    </w:p>
    <w:p w14:paraId="18C812B7">
      <w:pPr>
        <w:rPr>
          <w:rFonts w:hint="eastAsia"/>
        </w:rPr>
      </w:pPr>
      <w:r>
        <w:rPr>
          <w:rFonts w:hint="eastAsia"/>
        </w:rPr>
        <w:t>6 Dimensions和Suzhou及Ziqing Chen因与管理层的关系，被分类为非自由流通。</w:t>
      </w:r>
    </w:p>
    <w:p w14:paraId="76C4A5A5">
      <w:pPr>
        <w:rPr>
          <w:rFonts w:hint="eastAsia"/>
        </w:rPr>
      </w:pPr>
      <w:r>
        <w:rPr>
          <w:rFonts w:hint="eastAsia"/>
        </w:rPr>
        <w:t>Boyu Capital和Temasek的持股因管理层关联和政府背景也被视为非自由流通。</w:t>
      </w:r>
    </w:p>
    <w:p w14:paraId="6EC350E8">
      <w:pPr>
        <w:rPr>
          <w:rFonts w:hint="eastAsia"/>
        </w:rPr>
      </w:pPr>
      <w:r>
        <w:rPr>
          <w:rFonts w:hint="eastAsia"/>
        </w:rPr>
        <w:t>Capital Group因持股低于5%被视为自由流通。</w:t>
      </w:r>
    </w:p>
    <w:p w14:paraId="3724DC67">
      <w:pPr>
        <w:rPr>
          <w:rFonts w:hint="eastAsia"/>
        </w:rPr>
      </w:pPr>
      <w:r>
        <w:rPr>
          <w:rFonts w:hint="eastAsia"/>
        </w:rPr>
        <w:t>最后计算</w:t>
      </w:r>
    </w:p>
    <w:p w14:paraId="09862231">
      <w:pPr>
        <w:rPr>
          <w:rFonts w:hint="eastAsia"/>
        </w:rPr>
      </w:pPr>
      <w:r>
        <w:rPr>
          <w:rFonts w:hint="eastAsia"/>
        </w:rPr>
        <w:t>Ocumension截至2023年底的自由流通比例为43.57%。</w:t>
      </w:r>
    </w:p>
    <w:p w14:paraId="4DD8FF4C">
      <w:pPr>
        <w:rPr>
          <w:rFonts w:hint="eastAsia"/>
        </w:rPr>
      </w:pPr>
    </w:p>
    <w:p w14:paraId="1EA839A4">
      <w:pPr>
        <w:rPr>
          <w:rFonts w:hint="eastAsia"/>
        </w:rPr>
      </w:pPr>
    </w:p>
    <w:p w14:paraId="0ABE7C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总发行股份计算：</w:t>
      </w:r>
    </w:p>
    <w:p w14:paraId="20B23E3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最新财务报告提取总发行股份的信息</w:t>
      </w:r>
    </w:p>
    <w:p w14:paraId="109ACDC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涉及字段：总发行股份（Total Issued Shares）、股东结构（Shareholder Structure）、增发股份（Newly Issued Shares）、股份回购（Share Buybacks）、股本变动（Changes in Share Capital）、附录（Notes to Financial Statements）</w:t>
      </w:r>
    </w:p>
    <w:p w14:paraId="2AE24EB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查找股票代码相关的公告，确定更新的股份信息</w:t>
      </w:r>
    </w:p>
    <w:p w14:paraId="164A162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涉及字段：股票代码（Stock Code）、公告日期（Announcement Date）、总发行股份（Total Issued Shares）、股东结构（Shareholder Structure）、增发股份（Newly Issued Shares）、股份回购（Share Buybacks）、持股变动（Changes in Shareholdings）、股东结构（Shareholder Structure）、交易类型（Type of Transaction）、财务报告引用（Reference to Financial Reports）</w:t>
      </w:r>
    </w:p>
    <w:p w14:paraId="1A7EAC5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考虑股份变动：【1】是否新发股份（增加，如增发股票或员工持股） 【2】股份回购（减少）</w:t>
      </w:r>
    </w:p>
    <w:p w14:paraId="3E07824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核对数据，确定数据一致性</w:t>
      </w:r>
    </w:p>
    <w:p w14:paraId="1A5A2461">
      <w:pPr>
        <w:rPr>
          <w:rFonts w:hint="eastAsia"/>
          <w:lang w:val="en-US" w:eastAsia="zh-CN"/>
        </w:rPr>
      </w:pPr>
    </w:p>
    <w:p w14:paraId="4441278D">
      <w:pPr>
        <w:rPr>
          <w:rFonts w:hint="eastAsia"/>
          <w:lang w:val="en-US" w:eastAsia="zh-CN"/>
        </w:rPr>
      </w:pPr>
    </w:p>
    <w:p w14:paraId="2BE62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非流通股计算：</w:t>
      </w:r>
    </w:p>
    <w:p w14:paraId="654DB16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大股东持股：持股大于等于5%，非流通</w:t>
      </w:r>
    </w:p>
    <w:p w14:paraId="224A260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管理层持股：公司高管和董事持股，非流通</w:t>
      </w:r>
    </w:p>
    <w:p w14:paraId="3AD12E5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战略性持股：股份被母公司等上级公司持有，非流通</w:t>
      </w:r>
    </w:p>
    <w:p w14:paraId="75ED304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其他限制股份：如锁定期股份或法律限制股份</w:t>
      </w:r>
    </w:p>
    <w:p w14:paraId="0A99CEF2">
      <w:pPr>
        <w:numPr>
          <w:numId w:val="0"/>
        </w:numPr>
        <w:rPr>
          <w:rFonts w:hint="eastAsia"/>
          <w:lang w:val="en-US" w:eastAsia="zh-CN"/>
        </w:rPr>
      </w:pPr>
    </w:p>
    <w:p w14:paraId="5D177BD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自由流通股份 = 总发行股份 - 非自由流通股份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F6DF9"/>
    <w:multiLevelType w:val="singleLevel"/>
    <w:tmpl w:val="BFDF6DF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FFA4C39"/>
    <w:multiLevelType w:val="singleLevel"/>
    <w:tmpl w:val="4FFA4C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2C39"/>
    <w:rsid w:val="7D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2024-09-21T22:34:00Z</dcterms:created>
  <dc:creator>林木木</dc:creator>
  <cp:lastModifiedBy>林木木</cp:lastModifiedBy>
  <dcterms:modified xsi:type="dcterms:W3CDTF">2024-09-21T22:47:37Z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B3FA49B3102C8D546CD9EE66BE8D074A_41</vt:lpwstr>
  </property>
</Properties>
</file>