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D7" w:rsidRDefault="005455D7" w:rsidP="00C12B7B">
      <w:pPr>
        <w:rPr>
          <w:sz w:val="24"/>
          <w:szCs w:val="24"/>
        </w:rPr>
      </w:pPr>
      <w:r>
        <w:rPr>
          <w:sz w:val="24"/>
          <w:szCs w:val="24"/>
        </w:rPr>
        <w:t>Обход двоичного дерева поиска принято осуществлять в глубину, т.к. это позволяет посещать вершины в определённом порядке, зависящим от правила построения дерева.</w:t>
      </w:r>
      <w:r w:rsidR="004027D7">
        <w:rPr>
          <w:sz w:val="24"/>
          <w:szCs w:val="24"/>
        </w:rPr>
        <w:t xml:space="preserve"> Проблема в том, что задание требует итеративный обход, который заметно сложнее рекурсивного в плане реализации. Любой итеративный обход дерева будет требовать использования дополнительных данных. Таких, как список пройденных вершин или двоичную карту обхода.</w:t>
      </w:r>
    </w:p>
    <w:p w:rsidR="004027D7" w:rsidRDefault="004027D7" w:rsidP="00C12B7B">
      <w:pPr>
        <w:rPr>
          <w:sz w:val="24"/>
          <w:szCs w:val="24"/>
        </w:rPr>
      </w:pPr>
      <w:r>
        <w:rPr>
          <w:sz w:val="24"/>
          <w:szCs w:val="24"/>
        </w:rPr>
        <w:t>Моя идея состоит в том, чтобы обходить дерево в ширину</w:t>
      </w:r>
      <w:r w:rsidR="00870A6E">
        <w:rPr>
          <w:sz w:val="24"/>
          <w:szCs w:val="24"/>
        </w:rPr>
        <w:t xml:space="preserve"> и при этом строить упорядоченный список посещенных вершин. Вершины в список будут записываться по требуемым правилам, т.е. обход списка после его построения, будет равносилен </w:t>
      </w:r>
      <w:r w:rsidR="00C91A1E">
        <w:rPr>
          <w:sz w:val="24"/>
          <w:szCs w:val="24"/>
        </w:rPr>
        <w:t>обходу дерева по</w:t>
      </w:r>
      <w:r w:rsidR="00870A6E">
        <w:rPr>
          <w:sz w:val="24"/>
          <w:szCs w:val="24"/>
        </w:rPr>
        <w:t xml:space="preserve"> требуемому правилу. </w:t>
      </w:r>
      <w:r w:rsidR="006E3D2A">
        <w:rPr>
          <w:sz w:val="24"/>
          <w:szCs w:val="24"/>
        </w:rPr>
        <w:t>Итак,</w:t>
      </w:r>
      <w:r w:rsidR="00870A6E">
        <w:rPr>
          <w:sz w:val="24"/>
          <w:szCs w:val="24"/>
        </w:rPr>
        <w:t xml:space="preserve"> суть</w:t>
      </w:r>
      <w:r w:rsidR="00870A6E" w:rsidRPr="00870A6E">
        <w:rPr>
          <w:sz w:val="24"/>
          <w:szCs w:val="24"/>
        </w:rPr>
        <w:t>:</w:t>
      </w:r>
      <w:r w:rsidR="00870A6E">
        <w:rPr>
          <w:sz w:val="24"/>
          <w:szCs w:val="24"/>
        </w:rPr>
        <w:t xml:space="preserve"> выгрузка дерева в список при обходе в ширину (используя </w:t>
      </w:r>
      <w:r w:rsidR="006C22D9">
        <w:rPr>
          <w:sz w:val="24"/>
          <w:szCs w:val="24"/>
        </w:rPr>
        <w:t>итерации</w:t>
      </w:r>
      <w:r w:rsidR="00870A6E">
        <w:rPr>
          <w:sz w:val="24"/>
          <w:szCs w:val="24"/>
        </w:rPr>
        <w:t>).</w:t>
      </w:r>
    </w:p>
    <w:p w:rsidR="006E3D2A" w:rsidRDefault="006E3D2A" w:rsidP="00C12B7B">
      <w:pPr>
        <w:rPr>
          <w:sz w:val="24"/>
          <w:szCs w:val="24"/>
        </w:rPr>
      </w:pPr>
      <w:r>
        <w:rPr>
          <w:sz w:val="24"/>
          <w:szCs w:val="24"/>
        </w:rPr>
        <w:t xml:space="preserve">Список состоит из элементов типа </w:t>
      </w:r>
      <w:r>
        <w:rPr>
          <w:sz w:val="24"/>
          <w:szCs w:val="24"/>
          <w:lang w:val="en-US"/>
        </w:rPr>
        <w:t>element</w:t>
      </w:r>
      <w:r w:rsidRPr="006E3D2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="006C22D9">
        <w:rPr>
          <w:sz w:val="24"/>
          <w:szCs w:val="24"/>
        </w:rPr>
        <w:t>. Каждый элемент содержит указатель на узел дерева, к которому он относится</w:t>
      </w:r>
      <w:r w:rsidR="0006228D">
        <w:rPr>
          <w:sz w:val="24"/>
          <w:szCs w:val="24"/>
        </w:rPr>
        <w:t xml:space="preserve"> и глубину этого узла в дереве. Глубина сл</w:t>
      </w:r>
      <w:r w:rsidR="002072B5">
        <w:rPr>
          <w:sz w:val="24"/>
          <w:szCs w:val="24"/>
        </w:rPr>
        <w:t>у</w:t>
      </w:r>
      <w:r w:rsidR="0006228D">
        <w:rPr>
          <w:sz w:val="24"/>
          <w:szCs w:val="24"/>
        </w:rPr>
        <w:t>жит для идентификации тех узлов списка, которые должны посещаться на очередной итерации цикла (каждая итерация внешнего цикла соответствует обходу одного уровня списка).</w:t>
      </w:r>
    </w:p>
    <w:p w:rsidR="006C22D9" w:rsidRDefault="006C22D9" w:rsidP="006C2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element_t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6C22D9" w:rsidRDefault="006C22D9" w:rsidP="006C2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pNode : nodePtr; </w:t>
      </w:r>
      <w:r>
        <w:rPr>
          <w:rFonts w:ascii="Courier New" w:hAnsi="Courier New" w:cs="Courier New"/>
          <w:color w:val="008000"/>
          <w:sz w:val="20"/>
          <w:szCs w:val="20"/>
        </w:rPr>
        <w:t>{указатель на узел, которому принадлежит}</w:t>
      </w:r>
    </w:p>
    <w:p w:rsidR="006C22D9" w:rsidRDefault="006C22D9" w:rsidP="006C2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depth 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{глубина этого узла в дереве}</w:t>
      </w:r>
    </w:p>
    <w:p w:rsidR="006C22D9" w:rsidRDefault="006C22D9" w:rsidP="006C2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pPrev, pNext : elPtr; </w:t>
      </w:r>
      <w:r>
        <w:rPr>
          <w:rFonts w:ascii="Courier New" w:hAnsi="Courier New" w:cs="Courier New"/>
          <w:color w:val="008000"/>
          <w:sz w:val="20"/>
          <w:szCs w:val="20"/>
        </w:rPr>
        <w:t>{список двусвязный}</w:t>
      </w:r>
    </w:p>
    <w:p w:rsidR="0006228D" w:rsidRDefault="006C22D9" w:rsidP="006C22D9">
      <w:pPr>
        <w:rPr>
          <w:rFonts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06228D">
        <w:rPr>
          <w:rFonts w:ascii="Courier New" w:hAnsi="Courier New" w:cs="Courier New"/>
          <w:color w:val="000000"/>
          <w:sz w:val="20"/>
          <w:szCs w:val="20"/>
        </w:rPr>
        <w:br/>
      </w:r>
      <w:r w:rsidR="0006228D">
        <w:rPr>
          <w:rFonts w:ascii="Courier New" w:hAnsi="Courier New" w:cs="Courier New"/>
          <w:color w:val="000000"/>
          <w:sz w:val="20"/>
          <w:szCs w:val="20"/>
        </w:rPr>
        <w:br/>
      </w:r>
      <w:r w:rsidR="0006228D" w:rsidRPr="0006228D">
        <w:rPr>
          <w:rFonts w:cs="Courier New"/>
          <w:color w:val="000000"/>
          <w:sz w:val="24"/>
          <w:szCs w:val="24"/>
        </w:rPr>
        <w:t>Алгоритм</w:t>
      </w:r>
      <w:r w:rsidR="00E03487">
        <w:rPr>
          <w:rFonts w:cs="Courier New"/>
          <w:color w:val="000000"/>
          <w:sz w:val="24"/>
          <w:szCs w:val="24"/>
        </w:rPr>
        <w:t xml:space="preserve"> (р3)</w:t>
      </w:r>
      <w:r w:rsidR="0006228D" w:rsidRPr="0006228D">
        <w:rPr>
          <w:rFonts w:cs="Courier New"/>
          <w:color w:val="000000"/>
          <w:sz w:val="24"/>
          <w:szCs w:val="24"/>
        </w:rPr>
        <w:t>:</w:t>
      </w:r>
      <w:r w:rsidR="0006228D" w:rsidRPr="0006228D">
        <w:rPr>
          <w:rFonts w:cs="Courier New"/>
          <w:color w:val="000000"/>
          <w:sz w:val="24"/>
          <w:szCs w:val="24"/>
        </w:rPr>
        <w:br/>
        <w:t xml:space="preserve">в переменной </w:t>
      </w:r>
      <w:r w:rsidR="0006228D" w:rsidRPr="0006228D">
        <w:rPr>
          <w:rFonts w:cs="Courier New"/>
          <w:color w:val="000000"/>
          <w:sz w:val="24"/>
          <w:szCs w:val="24"/>
          <w:lang w:val="en-US"/>
        </w:rPr>
        <w:t>currDepth</w:t>
      </w:r>
      <w:r w:rsidR="0006228D" w:rsidRPr="0006228D">
        <w:rPr>
          <w:rFonts w:cs="Courier New"/>
          <w:color w:val="000000"/>
          <w:sz w:val="24"/>
          <w:szCs w:val="24"/>
        </w:rPr>
        <w:t xml:space="preserve"> содержится тот уровень дерева, который должен быть проверен на очередной итерации.</w:t>
      </w:r>
    </w:p>
    <w:p w:rsidR="00C025EA" w:rsidRPr="00C025EA" w:rsidRDefault="0006228D" w:rsidP="0006228D">
      <w:pPr>
        <w:pStyle w:val="a3"/>
        <w:numPr>
          <w:ilvl w:val="0"/>
          <w:numId w:val="1"/>
        </w:numPr>
        <w:rPr>
          <w:rFonts w:cs="Courier New"/>
          <w:color w:val="000000"/>
          <w:sz w:val="24"/>
          <w:szCs w:val="24"/>
        </w:rPr>
      </w:pPr>
      <w:r w:rsidRPr="0006228D">
        <w:rPr>
          <w:rFonts w:cs="Courier New"/>
          <w:color w:val="000000"/>
          <w:sz w:val="24"/>
          <w:szCs w:val="24"/>
        </w:rPr>
        <w:t>На каждой итерации внешнего цикла</w:t>
      </w:r>
      <w:r w:rsidR="00C025EA" w:rsidRPr="00C025EA">
        <w:rPr>
          <w:rFonts w:cs="Courier New"/>
          <w:color w:val="000000"/>
          <w:sz w:val="24"/>
          <w:szCs w:val="24"/>
        </w:rPr>
        <w:t>:</w:t>
      </w:r>
    </w:p>
    <w:p w:rsidR="00C025EA" w:rsidRDefault="00C025EA" w:rsidP="00C025EA">
      <w:pPr>
        <w:pStyle w:val="a3"/>
        <w:numPr>
          <w:ilvl w:val="1"/>
          <w:numId w:val="1"/>
        </w:num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вычисляем </w:t>
      </w:r>
      <w:r>
        <w:rPr>
          <w:rFonts w:cs="Courier New"/>
          <w:color w:val="000000"/>
          <w:sz w:val="24"/>
          <w:szCs w:val="24"/>
          <w:lang w:val="en-US"/>
        </w:rPr>
        <w:t>currDepth</w:t>
      </w:r>
      <w:r>
        <w:rPr>
          <w:rFonts w:cs="Courier New"/>
          <w:color w:val="000000"/>
          <w:sz w:val="24"/>
          <w:szCs w:val="24"/>
        </w:rPr>
        <w:t xml:space="preserve"> (просто наращивая значение на 1).</w:t>
      </w:r>
    </w:p>
    <w:p w:rsidR="0006228D" w:rsidRDefault="0006228D" w:rsidP="00C025EA">
      <w:pPr>
        <w:pStyle w:val="a3"/>
        <w:numPr>
          <w:ilvl w:val="1"/>
          <w:numId w:val="1"/>
        </w:numPr>
        <w:rPr>
          <w:rFonts w:cs="Courier New"/>
          <w:color w:val="000000"/>
          <w:sz w:val="24"/>
          <w:szCs w:val="24"/>
        </w:rPr>
      </w:pPr>
      <w:r w:rsidRPr="0006228D">
        <w:rPr>
          <w:rFonts w:cs="Courier New"/>
          <w:color w:val="000000"/>
          <w:sz w:val="24"/>
          <w:szCs w:val="24"/>
        </w:rPr>
        <w:t xml:space="preserve"> проходим по списку посещенных узлов и ищем те узлы, которые находятся на текущем уровне (</w:t>
      </w:r>
      <w:r w:rsidRPr="0006228D">
        <w:rPr>
          <w:rFonts w:cs="Courier New"/>
          <w:color w:val="000000"/>
          <w:sz w:val="24"/>
          <w:szCs w:val="24"/>
          <w:lang w:val="en-US"/>
        </w:rPr>
        <w:t>currDepth</w:t>
      </w:r>
      <w:r w:rsidRPr="0006228D">
        <w:rPr>
          <w:rFonts w:cs="Courier New"/>
          <w:color w:val="000000"/>
          <w:sz w:val="24"/>
          <w:szCs w:val="24"/>
        </w:rPr>
        <w:t>).</w:t>
      </w:r>
      <w:r w:rsidR="00C025EA">
        <w:rPr>
          <w:rFonts w:cs="Courier New"/>
          <w:color w:val="000000"/>
          <w:sz w:val="24"/>
          <w:szCs w:val="24"/>
        </w:rPr>
        <w:t xml:space="preserve"> Для каждого такого узла</w:t>
      </w:r>
      <w:r w:rsidR="00C025EA">
        <w:rPr>
          <w:rFonts w:cs="Courier New"/>
          <w:color w:val="000000"/>
          <w:sz w:val="24"/>
          <w:szCs w:val="24"/>
          <w:lang w:val="en-US"/>
        </w:rPr>
        <w:t>:</w:t>
      </w:r>
    </w:p>
    <w:p w:rsidR="0006228D" w:rsidRDefault="0006228D" w:rsidP="00C025EA">
      <w:pPr>
        <w:pStyle w:val="a3"/>
        <w:numPr>
          <w:ilvl w:val="2"/>
          <w:numId w:val="1"/>
        </w:numPr>
        <w:rPr>
          <w:rFonts w:cs="Courier New"/>
          <w:color w:val="000000"/>
          <w:sz w:val="24"/>
          <w:szCs w:val="24"/>
        </w:rPr>
      </w:pPr>
      <w:r w:rsidRPr="0006228D">
        <w:rPr>
          <w:rFonts w:cs="Courier New"/>
          <w:color w:val="000000"/>
          <w:sz w:val="24"/>
          <w:szCs w:val="24"/>
        </w:rPr>
        <w:t>добавляем все</w:t>
      </w:r>
      <w:r w:rsidR="00C025EA">
        <w:rPr>
          <w:rFonts w:cs="Courier New"/>
          <w:color w:val="000000"/>
          <w:sz w:val="24"/>
          <w:szCs w:val="24"/>
        </w:rPr>
        <w:t>х</w:t>
      </w:r>
      <w:r w:rsidRPr="0006228D">
        <w:rPr>
          <w:rFonts w:cs="Courier New"/>
          <w:color w:val="000000"/>
          <w:sz w:val="24"/>
          <w:szCs w:val="24"/>
        </w:rPr>
        <w:t xml:space="preserve"> его потомков (если они есть) в список обхода на соответствующие им места (с указанием глубины </w:t>
      </w:r>
      <w:r w:rsidRPr="0006228D">
        <w:rPr>
          <w:rFonts w:cs="Courier New"/>
          <w:color w:val="000000"/>
          <w:sz w:val="24"/>
          <w:szCs w:val="24"/>
          <w:lang w:val="en-US"/>
        </w:rPr>
        <w:t>currDepth</w:t>
      </w:r>
      <w:r w:rsidRPr="0006228D">
        <w:rPr>
          <w:rFonts w:cs="Courier New"/>
          <w:color w:val="000000"/>
          <w:sz w:val="24"/>
          <w:szCs w:val="24"/>
        </w:rPr>
        <w:t xml:space="preserve"> + 1, что </w:t>
      </w:r>
      <w:r w:rsidRPr="00C025EA">
        <w:rPr>
          <w:rFonts w:cs="Courier New"/>
          <w:color w:val="000000"/>
          <w:sz w:val="24"/>
          <w:szCs w:val="24"/>
        </w:rPr>
        <w:t>гарантирует их посещение на следующем проходе основного цикла).</w:t>
      </w:r>
    </w:p>
    <w:p w:rsidR="003F4657" w:rsidRDefault="003F4657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Важная деталь заключается в том, как проходит вставка элементов в список. Дело в том, что задание подразумевает обход по правилу левое-корень-правое. Т.е. элементы в список должны входить в том же прядке. Левый потомок встает в список слева от родителя, а правый – справа. Это гарантирует упорядоченность получаемого списка.</w:t>
      </w:r>
    </w:p>
    <w:p w:rsidR="007E3E83" w:rsidRDefault="007E3E83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lastRenderedPageBreak/>
        <w:t>Для приведенных входных данных (20</w:t>
      </w:r>
      <w:r w:rsidRPr="007E3E83">
        <w:rPr>
          <w:rFonts w:cs="Courier New"/>
          <w:color w:val="000000"/>
          <w:sz w:val="24"/>
          <w:szCs w:val="24"/>
        </w:rPr>
        <w:t>, 6, 8, 2, 4, 12, 10, 40, 30, 60)</w:t>
      </w:r>
      <w:r>
        <w:rPr>
          <w:rFonts w:cs="Courier New"/>
          <w:color w:val="000000"/>
          <w:sz w:val="24"/>
          <w:szCs w:val="24"/>
        </w:rPr>
        <w:t xml:space="preserve"> дерево будет выглядеть следующим образом.</w:t>
      </w:r>
      <w:r w:rsidRPr="007E3E83">
        <w:rPr>
          <w:rFonts w:cs="Courier New"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86605"/>
            <wp:effectExtent l="19050" t="0" r="3175" b="0"/>
            <wp:docPr id="2" name="Рисунок 0" descr="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83" w:rsidRDefault="007E3E83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Функция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getPassList </w:t>
      </w:r>
      <w:r w:rsidRPr="007E3E83">
        <w:rPr>
          <w:rFonts w:cs="Courier New"/>
          <w:color w:val="000000"/>
          <w:sz w:val="24"/>
          <w:szCs w:val="24"/>
        </w:rPr>
        <w:t>осуществляет</w:t>
      </w:r>
      <w:r>
        <w:rPr>
          <w:rFonts w:cs="Courier New"/>
          <w:color w:val="000000"/>
          <w:sz w:val="24"/>
          <w:szCs w:val="24"/>
        </w:rPr>
        <w:t xml:space="preserve"> обход дерева по указанному алгоритму. В ходе этого строится обходной список, указатель на который как раз и возвращает эта функция.</w:t>
      </w:r>
    </w:p>
    <w:p w:rsidR="007E3E83" w:rsidRDefault="007E3E83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Обходной список строится следующим образом</w:t>
      </w:r>
      <w:r w:rsidRPr="00B62592">
        <w:rPr>
          <w:rFonts w:cs="Courier New"/>
          <w:color w:val="000000"/>
          <w:sz w:val="24"/>
          <w:szCs w:val="24"/>
        </w:rPr>
        <w:t>:</w:t>
      </w:r>
    </w:p>
    <w:p w:rsidR="00B62592" w:rsidRPr="00827301" w:rsidRDefault="00B62592" w:rsidP="003F4657">
      <w:pPr>
        <w:rPr>
          <w:rFonts w:cs="Courier New"/>
          <w:color w:val="000000"/>
          <w:sz w:val="24"/>
          <w:szCs w:val="24"/>
          <w:lang w:val="en-US"/>
        </w:rPr>
      </w:pPr>
      <w:r>
        <w:rPr>
          <w:rFonts w:cs="Courier New"/>
          <w:color w:val="000000"/>
          <w:sz w:val="24"/>
          <w:szCs w:val="24"/>
        </w:rPr>
        <w:t>1)создаются 2 пустых элемента списка (головной и хвостовой). Это сделано для того, чтобы при вставке элементов в список не приходилось отдельно обрабатывать случаи, когда вставляемый элемент находится на границе списка.</w:t>
      </w:r>
      <w:r w:rsidR="00827301">
        <w:rPr>
          <w:rFonts w:cs="Courier New"/>
          <w:color w:val="000000"/>
          <w:sz w:val="24"/>
          <w:szCs w:val="24"/>
        </w:rPr>
        <w:t xml:space="preserve"> Список сразу после создания</w:t>
      </w:r>
      <w:r w:rsidR="00827301">
        <w:rPr>
          <w:rFonts w:cs="Courier New"/>
          <w:color w:val="000000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62592" w:rsidTr="00B62592">
        <w:tc>
          <w:tcPr>
            <w:tcW w:w="4785" w:type="dxa"/>
          </w:tcPr>
          <w:p w:rsidR="00B62592" w:rsidRPr="007C3DE4" w:rsidRDefault="00B62592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  <w:tc>
          <w:tcPr>
            <w:tcW w:w="4786" w:type="dxa"/>
          </w:tcPr>
          <w:p w:rsidR="00B62592" w:rsidRPr="007C3DE4" w:rsidRDefault="00B62592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</w:tr>
      <w:tr w:rsidR="00B62592" w:rsidTr="00B62592">
        <w:tc>
          <w:tcPr>
            <w:tcW w:w="4785" w:type="dxa"/>
          </w:tcPr>
          <w:p w:rsidR="00B62592" w:rsidRPr="007C3DE4" w:rsidRDefault="00B62592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 xml:space="preserve">Указатель на - </w:t>
            </w:r>
          </w:p>
        </w:tc>
        <w:tc>
          <w:tcPr>
            <w:tcW w:w="4786" w:type="dxa"/>
          </w:tcPr>
          <w:p w:rsidR="00B62592" w:rsidRPr="007C3DE4" w:rsidRDefault="00B62592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Указатель на -</w:t>
            </w:r>
          </w:p>
        </w:tc>
      </w:tr>
    </w:tbl>
    <w:p w:rsidR="00B62592" w:rsidRDefault="00B62592" w:rsidP="003F4657">
      <w:pPr>
        <w:rPr>
          <w:rFonts w:cs="Courier New"/>
          <w:color w:val="000000"/>
          <w:sz w:val="24"/>
          <w:szCs w:val="24"/>
        </w:rPr>
      </w:pPr>
    </w:p>
    <w:p w:rsidR="00AD6FAA" w:rsidRDefault="00AD6FAA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2)в список заносится первый элемент (корень)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AD6FAA" w:rsidTr="00AD6FAA">
        <w:tc>
          <w:tcPr>
            <w:tcW w:w="3190" w:type="dxa"/>
          </w:tcPr>
          <w:p w:rsidR="00AD6FAA" w:rsidRPr="007C3DE4" w:rsidRDefault="00AD6FAA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  <w:tc>
          <w:tcPr>
            <w:tcW w:w="3190" w:type="dxa"/>
          </w:tcPr>
          <w:p w:rsidR="00AD6FAA" w:rsidRPr="007C3DE4" w:rsidRDefault="00AD6FAA" w:rsidP="003F4657">
            <w:pPr>
              <w:rPr>
                <w:rFonts w:cs="Courier New"/>
                <w:color w:val="4BACC6" w:themeColor="accent5"/>
                <w:sz w:val="24"/>
                <w:szCs w:val="24"/>
              </w:rPr>
            </w:pPr>
            <w:r w:rsidRPr="007C3DE4">
              <w:rPr>
                <w:rFonts w:cs="Courier New"/>
                <w:color w:val="4BACC6" w:themeColor="accent5"/>
                <w:sz w:val="24"/>
                <w:szCs w:val="24"/>
              </w:rPr>
              <w:t>Глубина 0</w:t>
            </w:r>
          </w:p>
        </w:tc>
        <w:tc>
          <w:tcPr>
            <w:tcW w:w="3191" w:type="dxa"/>
          </w:tcPr>
          <w:p w:rsidR="00AD6FAA" w:rsidRPr="007C3DE4" w:rsidRDefault="00AD6FAA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</w:tr>
      <w:tr w:rsidR="00AD6FAA" w:rsidTr="00AD6FAA">
        <w:tc>
          <w:tcPr>
            <w:tcW w:w="3190" w:type="dxa"/>
          </w:tcPr>
          <w:p w:rsidR="00AD6FAA" w:rsidRPr="007C3DE4" w:rsidRDefault="00AD6FAA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Указатель на -</w:t>
            </w:r>
          </w:p>
        </w:tc>
        <w:tc>
          <w:tcPr>
            <w:tcW w:w="3190" w:type="dxa"/>
          </w:tcPr>
          <w:p w:rsidR="00AD6FAA" w:rsidRPr="007C3DE4" w:rsidRDefault="00AD6FAA" w:rsidP="003F4657">
            <w:pPr>
              <w:rPr>
                <w:rFonts w:cs="Courier New"/>
                <w:color w:val="4BACC6" w:themeColor="accent5"/>
                <w:sz w:val="24"/>
                <w:szCs w:val="24"/>
              </w:rPr>
            </w:pPr>
            <w:r w:rsidRPr="007C3DE4">
              <w:rPr>
                <w:rFonts w:cs="Courier New"/>
                <w:color w:val="4BACC6" w:themeColor="accent5"/>
                <w:sz w:val="24"/>
                <w:szCs w:val="24"/>
              </w:rPr>
              <w:t>Указатель на 20</w:t>
            </w:r>
          </w:p>
        </w:tc>
        <w:tc>
          <w:tcPr>
            <w:tcW w:w="3191" w:type="dxa"/>
          </w:tcPr>
          <w:p w:rsidR="00AD6FAA" w:rsidRPr="007C3DE4" w:rsidRDefault="00AD6FAA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Указатель на -</w:t>
            </w:r>
          </w:p>
        </w:tc>
      </w:tr>
    </w:tbl>
    <w:p w:rsidR="00AD6FAA" w:rsidRDefault="00AD6FAA" w:rsidP="003F4657">
      <w:pPr>
        <w:rPr>
          <w:rFonts w:cs="Courier New"/>
          <w:color w:val="000000"/>
          <w:sz w:val="24"/>
          <w:szCs w:val="24"/>
        </w:rPr>
      </w:pPr>
    </w:p>
    <w:p w:rsidR="001772A1" w:rsidRPr="000F2239" w:rsidRDefault="001772A1" w:rsidP="003F4657">
      <w:pPr>
        <w:rPr>
          <w:rFonts w:cs="Courier New"/>
          <w:b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3) </w:t>
      </w:r>
      <w:r w:rsidR="000F2239" w:rsidRPr="000F2239">
        <w:rPr>
          <w:rFonts w:cs="Courier New"/>
          <w:color w:val="000000"/>
          <w:sz w:val="24"/>
          <w:szCs w:val="24"/>
        </w:rPr>
        <w:t xml:space="preserve"> </w:t>
      </w:r>
      <w:r w:rsidR="000F2239" w:rsidRPr="000F2239">
        <w:rPr>
          <w:rFonts w:cs="Courier New"/>
          <w:b/>
          <w:color w:val="000000"/>
          <w:sz w:val="24"/>
          <w:szCs w:val="24"/>
        </w:rPr>
        <w:t xml:space="preserve">=== </w:t>
      </w:r>
      <w:r w:rsidRPr="000F2239">
        <w:rPr>
          <w:rFonts w:cs="Courier New"/>
          <w:b/>
          <w:color w:val="000000"/>
          <w:sz w:val="24"/>
          <w:szCs w:val="24"/>
        </w:rPr>
        <w:t xml:space="preserve">начинается основной цикл </w:t>
      </w:r>
      <w:r w:rsidR="000F2239" w:rsidRPr="000F2239">
        <w:rPr>
          <w:rFonts w:cs="Courier New"/>
          <w:b/>
          <w:color w:val="000000"/>
          <w:sz w:val="24"/>
          <w:szCs w:val="24"/>
        </w:rPr>
        <w:t>===</w:t>
      </w:r>
    </w:p>
    <w:p w:rsidR="005A087D" w:rsidRDefault="000F2239" w:rsidP="003F4657">
      <w:pPr>
        <w:rPr>
          <w:rFonts w:cs="Courier New"/>
          <w:color w:val="000000"/>
          <w:sz w:val="24"/>
          <w:szCs w:val="24"/>
        </w:rPr>
      </w:pPr>
      <w:r w:rsidRPr="000F2239">
        <w:rPr>
          <w:rFonts w:cs="Courier New"/>
          <w:b/>
          <w:color w:val="000000"/>
          <w:sz w:val="24"/>
          <w:szCs w:val="24"/>
        </w:rPr>
        <w:lastRenderedPageBreak/>
        <w:tab/>
      </w:r>
      <w:r>
        <w:rPr>
          <w:rFonts w:cs="Courier New"/>
          <w:color w:val="000000"/>
          <w:sz w:val="24"/>
          <w:szCs w:val="24"/>
        </w:rPr>
        <w:t>3.1) на каждой итерации цикла проходим по списку и ищем элемен</w:t>
      </w:r>
      <w:r w:rsidR="00A45868">
        <w:rPr>
          <w:rFonts w:cs="Courier New"/>
          <w:color w:val="000000"/>
          <w:sz w:val="24"/>
          <w:szCs w:val="24"/>
        </w:rPr>
        <w:t>т</w:t>
      </w:r>
      <w:r>
        <w:rPr>
          <w:rFonts w:cs="Courier New"/>
          <w:color w:val="000000"/>
          <w:sz w:val="24"/>
          <w:szCs w:val="24"/>
        </w:rPr>
        <w:t>ы с глубиной, соответствующей глубине текущего прохода (для первой итерации это 0).</w:t>
      </w:r>
      <w:r w:rsidR="005A087D">
        <w:rPr>
          <w:rFonts w:cs="Courier New"/>
          <w:color w:val="000000"/>
          <w:sz w:val="24"/>
          <w:szCs w:val="24"/>
        </w:rPr>
        <w:br/>
        <w:t>Для каждого из таких элементов мы добавляем их левого и правого потомка в список рядом с элементом (слева и справа, соответственно).</w:t>
      </w:r>
    </w:p>
    <w:p w:rsidR="00321FAB" w:rsidRPr="00321FAB" w:rsidRDefault="00321FAB" w:rsidP="003F4657">
      <w:pPr>
        <w:rPr>
          <w:rFonts w:cs="Courier New"/>
          <w:color w:val="000000"/>
          <w:sz w:val="24"/>
          <w:szCs w:val="24"/>
          <w:lang w:val="en-US"/>
        </w:rPr>
      </w:pPr>
      <w:r>
        <w:rPr>
          <w:rFonts w:cs="Courier New"/>
          <w:color w:val="000000"/>
          <w:sz w:val="24"/>
          <w:szCs w:val="24"/>
        </w:rPr>
        <w:t xml:space="preserve">После </w:t>
      </w:r>
      <w:r w:rsidR="00346182">
        <w:rPr>
          <w:rFonts w:cs="Courier New"/>
          <w:color w:val="000000"/>
          <w:sz w:val="24"/>
          <w:szCs w:val="24"/>
        </w:rPr>
        <w:t>1</w:t>
      </w:r>
      <w:r>
        <w:rPr>
          <w:rFonts w:cs="Courier New"/>
          <w:color w:val="000000"/>
          <w:sz w:val="24"/>
          <w:szCs w:val="24"/>
        </w:rPr>
        <w:t xml:space="preserve"> итерации</w:t>
      </w:r>
      <w:r>
        <w:rPr>
          <w:rFonts w:cs="Courier New"/>
          <w:color w:val="000000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5A087D" w:rsidTr="005A087D"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8064A2" w:themeColor="accent4"/>
                <w:sz w:val="24"/>
                <w:szCs w:val="24"/>
              </w:rPr>
            </w:pPr>
            <w:r w:rsidRPr="007C3DE4">
              <w:rPr>
                <w:rFonts w:cs="Courier New"/>
                <w:color w:val="8064A2" w:themeColor="accent4"/>
                <w:sz w:val="24"/>
                <w:szCs w:val="24"/>
              </w:rPr>
              <w:t>Глубина 1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4BACC6" w:themeColor="accent5"/>
                <w:sz w:val="24"/>
                <w:szCs w:val="24"/>
              </w:rPr>
            </w:pPr>
            <w:r w:rsidRPr="007C3DE4">
              <w:rPr>
                <w:rFonts w:cs="Courier New"/>
                <w:color w:val="4BACC6" w:themeColor="accent5"/>
                <w:sz w:val="24"/>
                <w:szCs w:val="24"/>
              </w:rPr>
              <w:t>Глубина 0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8064A2" w:themeColor="accent4"/>
                <w:sz w:val="24"/>
                <w:szCs w:val="24"/>
              </w:rPr>
            </w:pPr>
            <w:r w:rsidRPr="007C3DE4">
              <w:rPr>
                <w:rFonts w:cs="Courier New"/>
                <w:color w:val="8064A2" w:themeColor="accent4"/>
                <w:sz w:val="24"/>
                <w:szCs w:val="24"/>
              </w:rPr>
              <w:t>Глубина 1</w:t>
            </w:r>
          </w:p>
        </w:tc>
        <w:tc>
          <w:tcPr>
            <w:tcW w:w="1915" w:type="dxa"/>
          </w:tcPr>
          <w:p w:rsidR="005A087D" w:rsidRPr="007C3DE4" w:rsidRDefault="005A087D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Глубина 0</w:t>
            </w:r>
          </w:p>
        </w:tc>
      </w:tr>
      <w:tr w:rsidR="005A087D" w:rsidTr="005A087D"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Указатель на -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8064A2" w:themeColor="accent4"/>
                <w:sz w:val="24"/>
                <w:szCs w:val="24"/>
              </w:rPr>
            </w:pPr>
            <w:r w:rsidRPr="007C3DE4">
              <w:rPr>
                <w:rFonts w:cs="Courier New"/>
                <w:color w:val="8064A2" w:themeColor="accent4"/>
                <w:sz w:val="24"/>
                <w:szCs w:val="24"/>
              </w:rPr>
              <w:t>Указатель на 6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4BACC6" w:themeColor="accent5"/>
                <w:sz w:val="24"/>
                <w:szCs w:val="24"/>
              </w:rPr>
            </w:pPr>
            <w:r w:rsidRPr="007C3DE4">
              <w:rPr>
                <w:rFonts w:cs="Courier New"/>
                <w:color w:val="4BACC6" w:themeColor="accent5"/>
                <w:sz w:val="24"/>
                <w:szCs w:val="24"/>
              </w:rPr>
              <w:t>Указатель на 20</w:t>
            </w:r>
          </w:p>
        </w:tc>
        <w:tc>
          <w:tcPr>
            <w:tcW w:w="1914" w:type="dxa"/>
          </w:tcPr>
          <w:p w:rsidR="005A087D" w:rsidRPr="007C3DE4" w:rsidRDefault="005A087D" w:rsidP="003F4657">
            <w:pPr>
              <w:rPr>
                <w:rFonts w:cs="Courier New"/>
                <w:color w:val="8064A2" w:themeColor="accent4"/>
                <w:sz w:val="24"/>
                <w:szCs w:val="24"/>
              </w:rPr>
            </w:pPr>
            <w:r w:rsidRPr="007C3DE4">
              <w:rPr>
                <w:rFonts w:cs="Courier New"/>
                <w:color w:val="8064A2" w:themeColor="accent4"/>
                <w:sz w:val="24"/>
                <w:szCs w:val="24"/>
              </w:rPr>
              <w:t>Указатель на 40</w:t>
            </w:r>
          </w:p>
        </w:tc>
        <w:tc>
          <w:tcPr>
            <w:tcW w:w="1915" w:type="dxa"/>
          </w:tcPr>
          <w:p w:rsidR="005A087D" w:rsidRPr="007C3DE4" w:rsidRDefault="005A087D" w:rsidP="003F4657">
            <w:pPr>
              <w:rPr>
                <w:rFonts w:cs="Courier New"/>
                <w:color w:val="F79646" w:themeColor="accent6"/>
                <w:sz w:val="24"/>
                <w:szCs w:val="24"/>
              </w:rPr>
            </w:pPr>
            <w:r w:rsidRPr="007C3DE4">
              <w:rPr>
                <w:rFonts w:cs="Courier New"/>
                <w:color w:val="F79646" w:themeColor="accent6"/>
                <w:sz w:val="24"/>
                <w:szCs w:val="24"/>
              </w:rPr>
              <w:t>Указатель на -</w:t>
            </w:r>
          </w:p>
        </w:tc>
      </w:tr>
    </w:tbl>
    <w:p w:rsidR="005A087D" w:rsidRDefault="005A087D" w:rsidP="003F4657">
      <w:pPr>
        <w:rPr>
          <w:rFonts w:cs="Courier New"/>
          <w:color w:val="000000"/>
          <w:sz w:val="24"/>
          <w:szCs w:val="24"/>
          <w:lang w:val="en-US"/>
        </w:rPr>
      </w:pPr>
    </w:p>
    <w:p w:rsidR="00321FAB" w:rsidRPr="00321FAB" w:rsidRDefault="00321FAB" w:rsidP="003F4657">
      <w:pPr>
        <w:rPr>
          <w:rFonts w:cs="Courier New"/>
          <w:color w:val="000000"/>
          <w:sz w:val="24"/>
          <w:szCs w:val="24"/>
          <w:lang w:val="en-US"/>
        </w:rPr>
      </w:pPr>
      <w:r>
        <w:rPr>
          <w:rFonts w:cs="Courier New"/>
          <w:color w:val="000000"/>
          <w:sz w:val="24"/>
          <w:szCs w:val="24"/>
        </w:rPr>
        <w:t xml:space="preserve">После </w:t>
      </w:r>
      <w:r w:rsidR="00346182">
        <w:rPr>
          <w:rFonts w:cs="Courier New"/>
          <w:color w:val="000000"/>
          <w:sz w:val="24"/>
          <w:szCs w:val="24"/>
        </w:rPr>
        <w:t>2</w:t>
      </w:r>
      <w:r>
        <w:rPr>
          <w:rFonts w:cs="Courier New"/>
          <w:color w:val="000000"/>
          <w:sz w:val="24"/>
          <w:szCs w:val="24"/>
        </w:rPr>
        <w:t xml:space="preserve"> итерации</w:t>
      </w:r>
      <w:r>
        <w:rPr>
          <w:rFonts w:cs="Courier New"/>
          <w:color w:val="000000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1064"/>
        <w:gridCol w:w="1064"/>
        <w:gridCol w:w="1064"/>
        <w:gridCol w:w="1064"/>
        <w:gridCol w:w="1063"/>
        <w:gridCol w:w="1063"/>
        <w:gridCol w:w="1063"/>
        <w:gridCol w:w="1063"/>
        <w:gridCol w:w="1063"/>
      </w:tblGrid>
      <w:tr w:rsidR="00321FAB" w:rsidTr="00321FAB">
        <w:tc>
          <w:tcPr>
            <w:tcW w:w="1345" w:type="dxa"/>
          </w:tcPr>
          <w:p w:rsidR="00321FAB" w:rsidRPr="007C3DE4" w:rsidRDefault="00321FAB" w:rsidP="00383269">
            <w:pPr>
              <w:rPr>
                <w:rFonts w:cs="Courier New"/>
                <w:color w:val="F79646" w:themeColor="accent6"/>
                <w:sz w:val="20"/>
                <w:szCs w:val="20"/>
              </w:rPr>
            </w:pPr>
            <w:r w:rsidRPr="007C3DE4">
              <w:rPr>
                <w:rFonts w:cs="Courier New"/>
                <w:color w:val="F79646" w:themeColor="accent6"/>
                <w:sz w:val="20"/>
                <w:szCs w:val="20"/>
              </w:rPr>
              <w:t>Глубина 0</w:t>
            </w:r>
          </w:p>
        </w:tc>
        <w:tc>
          <w:tcPr>
            <w:tcW w:w="503" w:type="dxa"/>
          </w:tcPr>
          <w:p w:rsidR="00321FAB" w:rsidRPr="007C3DE4" w:rsidRDefault="00321FAB" w:rsidP="00383269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Глубина 2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8064A2" w:themeColor="accent4"/>
                <w:sz w:val="20"/>
                <w:szCs w:val="20"/>
              </w:rPr>
            </w:pPr>
            <w:r w:rsidRPr="007C3DE4">
              <w:rPr>
                <w:rFonts w:cs="Courier New"/>
                <w:color w:val="8064A2" w:themeColor="accent4"/>
                <w:sz w:val="20"/>
                <w:szCs w:val="20"/>
              </w:rPr>
              <w:t>Глубина 1</w:t>
            </w:r>
          </w:p>
        </w:tc>
        <w:tc>
          <w:tcPr>
            <w:tcW w:w="603" w:type="dxa"/>
          </w:tcPr>
          <w:p w:rsidR="00321FAB" w:rsidRPr="007C3DE4" w:rsidRDefault="00321FAB" w:rsidP="00321FAB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Глубина 2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4BACC6" w:themeColor="accent5"/>
                <w:sz w:val="20"/>
                <w:szCs w:val="20"/>
              </w:rPr>
            </w:pPr>
            <w:r w:rsidRPr="007C3DE4">
              <w:rPr>
                <w:rFonts w:cs="Courier New"/>
                <w:color w:val="4BACC6" w:themeColor="accent5"/>
                <w:sz w:val="20"/>
                <w:szCs w:val="20"/>
              </w:rPr>
              <w:t>Глубина 0</w:t>
            </w:r>
          </w:p>
        </w:tc>
        <w:tc>
          <w:tcPr>
            <w:tcW w:w="753" w:type="dxa"/>
          </w:tcPr>
          <w:p w:rsidR="00321FAB" w:rsidRPr="007C3DE4" w:rsidRDefault="00321FAB" w:rsidP="00321FAB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Глубина 2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8064A2" w:themeColor="accent4"/>
                <w:sz w:val="20"/>
                <w:szCs w:val="20"/>
              </w:rPr>
            </w:pPr>
            <w:r w:rsidRPr="007C3DE4">
              <w:rPr>
                <w:rFonts w:cs="Courier New"/>
                <w:color w:val="8064A2" w:themeColor="accent4"/>
                <w:sz w:val="20"/>
                <w:szCs w:val="20"/>
              </w:rPr>
              <w:t>Глубина 1</w:t>
            </w:r>
          </w:p>
        </w:tc>
        <w:tc>
          <w:tcPr>
            <w:tcW w:w="983" w:type="dxa"/>
          </w:tcPr>
          <w:p w:rsidR="00321FAB" w:rsidRPr="007C3DE4" w:rsidRDefault="00321FAB" w:rsidP="00321FAB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Глубина 2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F79646" w:themeColor="accent6"/>
                <w:sz w:val="20"/>
                <w:szCs w:val="20"/>
              </w:rPr>
            </w:pPr>
            <w:r w:rsidRPr="007C3DE4">
              <w:rPr>
                <w:rFonts w:cs="Courier New"/>
                <w:color w:val="F79646" w:themeColor="accent6"/>
                <w:sz w:val="20"/>
                <w:szCs w:val="20"/>
              </w:rPr>
              <w:t>Глубина 0</w:t>
            </w:r>
          </w:p>
        </w:tc>
      </w:tr>
      <w:tr w:rsidR="00321FAB" w:rsidTr="00321FAB">
        <w:tc>
          <w:tcPr>
            <w:tcW w:w="1345" w:type="dxa"/>
          </w:tcPr>
          <w:p w:rsidR="00321FAB" w:rsidRPr="007C3DE4" w:rsidRDefault="00321FAB" w:rsidP="00383269">
            <w:pPr>
              <w:rPr>
                <w:rFonts w:cs="Courier New"/>
                <w:color w:val="F79646" w:themeColor="accent6"/>
                <w:sz w:val="20"/>
                <w:szCs w:val="20"/>
              </w:rPr>
            </w:pPr>
            <w:r w:rsidRPr="007C3DE4">
              <w:rPr>
                <w:rFonts w:cs="Courier New"/>
                <w:color w:val="F79646" w:themeColor="accent6"/>
                <w:sz w:val="20"/>
                <w:szCs w:val="20"/>
              </w:rPr>
              <w:t>Указатель на -</w:t>
            </w:r>
          </w:p>
        </w:tc>
        <w:tc>
          <w:tcPr>
            <w:tcW w:w="503" w:type="dxa"/>
          </w:tcPr>
          <w:p w:rsidR="00321FAB" w:rsidRPr="007C3DE4" w:rsidRDefault="00321FAB" w:rsidP="00383269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Указатель на 2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8064A2" w:themeColor="accent4"/>
                <w:sz w:val="20"/>
                <w:szCs w:val="20"/>
              </w:rPr>
            </w:pPr>
            <w:r w:rsidRPr="007C3DE4">
              <w:rPr>
                <w:rFonts w:cs="Courier New"/>
                <w:color w:val="8064A2" w:themeColor="accent4"/>
                <w:sz w:val="20"/>
                <w:szCs w:val="20"/>
              </w:rPr>
              <w:t>Указатель на 6</w:t>
            </w:r>
          </w:p>
        </w:tc>
        <w:tc>
          <w:tcPr>
            <w:tcW w:w="603" w:type="dxa"/>
          </w:tcPr>
          <w:p w:rsidR="00321FAB" w:rsidRPr="007C3DE4" w:rsidRDefault="00321FAB" w:rsidP="00383269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Указатель на 8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4BACC6" w:themeColor="accent5"/>
                <w:sz w:val="20"/>
                <w:szCs w:val="20"/>
              </w:rPr>
            </w:pPr>
            <w:r w:rsidRPr="007C3DE4">
              <w:rPr>
                <w:rFonts w:cs="Courier New"/>
                <w:color w:val="4BACC6" w:themeColor="accent5"/>
                <w:sz w:val="20"/>
                <w:szCs w:val="20"/>
              </w:rPr>
              <w:t>Указатель на 20</w:t>
            </w:r>
          </w:p>
        </w:tc>
        <w:tc>
          <w:tcPr>
            <w:tcW w:w="753" w:type="dxa"/>
          </w:tcPr>
          <w:p w:rsidR="00321FAB" w:rsidRPr="007C3DE4" w:rsidRDefault="00321FAB" w:rsidP="00383269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Указатель на 30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8064A2" w:themeColor="accent4"/>
                <w:sz w:val="20"/>
                <w:szCs w:val="20"/>
              </w:rPr>
            </w:pPr>
            <w:r w:rsidRPr="007C3DE4">
              <w:rPr>
                <w:rFonts w:cs="Courier New"/>
                <w:color w:val="8064A2" w:themeColor="accent4"/>
                <w:sz w:val="20"/>
                <w:szCs w:val="20"/>
              </w:rPr>
              <w:t>Указатель на 40</w:t>
            </w:r>
          </w:p>
        </w:tc>
        <w:tc>
          <w:tcPr>
            <w:tcW w:w="983" w:type="dxa"/>
          </w:tcPr>
          <w:p w:rsidR="00321FAB" w:rsidRPr="007C3DE4" w:rsidRDefault="00321FAB" w:rsidP="00383269">
            <w:pPr>
              <w:rPr>
                <w:rFonts w:cs="Courier New"/>
                <w:color w:val="9BBB59" w:themeColor="accent3"/>
                <w:sz w:val="20"/>
                <w:szCs w:val="20"/>
              </w:rPr>
            </w:pPr>
            <w:r w:rsidRPr="007C3DE4">
              <w:rPr>
                <w:rFonts w:cs="Courier New"/>
                <w:color w:val="9BBB59" w:themeColor="accent3"/>
                <w:sz w:val="20"/>
                <w:szCs w:val="20"/>
              </w:rPr>
              <w:t>Указатель на 60</w:t>
            </w:r>
          </w:p>
        </w:tc>
        <w:tc>
          <w:tcPr>
            <w:tcW w:w="1346" w:type="dxa"/>
          </w:tcPr>
          <w:p w:rsidR="00321FAB" w:rsidRPr="007C3DE4" w:rsidRDefault="00321FAB" w:rsidP="00383269">
            <w:pPr>
              <w:rPr>
                <w:rFonts w:cs="Courier New"/>
                <w:color w:val="F79646" w:themeColor="accent6"/>
                <w:sz w:val="20"/>
                <w:szCs w:val="20"/>
              </w:rPr>
            </w:pPr>
            <w:r w:rsidRPr="007C3DE4">
              <w:rPr>
                <w:rFonts w:cs="Courier New"/>
                <w:color w:val="F79646" w:themeColor="accent6"/>
                <w:sz w:val="20"/>
                <w:szCs w:val="20"/>
              </w:rPr>
              <w:t>Указатель на -</w:t>
            </w:r>
          </w:p>
        </w:tc>
      </w:tr>
    </w:tbl>
    <w:p w:rsidR="00321FAB" w:rsidRDefault="00321FAB" w:rsidP="003F4657">
      <w:pPr>
        <w:rPr>
          <w:rFonts w:cs="Courier New"/>
          <w:color w:val="000000"/>
          <w:sz w:val="24"/>
          <w:szCs w:val="24"/>
        </w:rPr>
      </w:pPr>
    </w:p>
    <w:p w:rsidR="005D6F4F" w:rsidRDefault="005D6F4F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Итак</w:t>
      </w:r>
      <w:r w:rsidRPr="005D6F4F">
        <w:rPr>
          <w:rFonts w:cs="Courier New"/>
          <w:color w:val="000000"/>
          <w:sz w:val="24"/>
          <w:szCs w:val="24"/>
        </w:rPr>
        <w:t xml:space="preserve">: </w:t>
      </w:r>
      <w:r>
        <w:rPr>
          <w:rFonts w:cs="Courier New"/>
          <w:color w:val="000000"/>
          <w:sz w:val="24"/>
          <w:szCs w:val="24"/>
        </w:rPr>
        <w:t>Общее число итераций соответствует глубине дерева. На каждой итерации мы рассматриваем сразу все элементы текущего уровня</w:t>
      </w:r>
      <w:r w:rsidR="003812DB">
        <w:rPr>
          <w:rFonts w:cs="Courier New"/>
          <w:color w:val="000000"/>
          <w:sz w:val="24"/>
          <w:szCs w:val="24"/>
        </w:rPr>
        <w:t xml:space="preserve"> (выбирая их из списка)</w:t>
      </w:r>
      <w:r>
        <w:rPr>
          <w:rFonts w:cs="Courier New"/>
          <w:color w:val="000000"/>
          <w:sz w:val="24"/>
          <w:szCs w:val="24"/>
        </w:rPr>
        <w:t xml:space="preserve"> и добавляем в список их потомки, чтобы рассмотреть их на следующей итерации.</w:t>
      </w:r>
    </w:p>
    <w:p w:rsidR="00425FB6" w:rsidRPr="002072B5" w:rsidRDefault="00425FB6" w:rsidP="003F4657">
      <w:pPr>
        <w:rPr>
          <w:rFonts w:cs="Courier New"/>
          <w:color w:val="000000"/>
          <w:sz w:val="24"/>
          <w:szCs w:val="24"/>
        </w:rPr>
      </w:pPr>
      <w:r w:rsidRPr="00425FB6">
        <w:rPr>
          <w:rFonts w:cs="Courier New"/>
          <w:color w:val="000000"/>
          <w:sz w:val="24"/>
          <w:szCs w:val="24"/>
          <w:u w:val="single"/>
        </w:rPr>
        <w:t>Условие выхода из внешнего цикла:</w:t>
      </w:r>
      <w:r w:rsidRPr="00425FB6">
        <w:rPr>
          <w:rFonts w:cs="Courier New"/>
          <w:color w:val="000000"/>
          <w:sz w:val="24"/>
          <w:szCs w:val="24"/>
          <w:u w:val="single"/>
        </w:rPr>
        <w:br/>
      </w:r>
      <w:r>
        <w:rPr>
          <w:rFonts w:cs="Courier New"/>
          <w:color w:val="000000"/>
          <w:sz w:val="24"/>
          <w:szCs w:val="24"/>
        </w:rPr>
        <w:t>Условием выхода из цикла служит следующее выражение</w:t>
      </w:r>
      <w:r w:rsidRPr="00425FB6">
        <w:rPr>
          <w:rFonts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desCount</w:t>
      </w:r>
      <w:r w:rsidRPr="00425FB6">
        <w:rPr>
          <w:rFonts w:ascii="Courier New" w:hAnsi="Courier New" w:cs="Courier New"/>
          <w:color w:val="000000"/>
          <w:sz w:val="20"/>
          <w:szCs w:val="20"/>
        </w:rPr>
        <w:t xml:space="preserve"> &lt;&gt; 0; </w:t>
      </w:r>
      <w:r w:rsidRPr="00425FB6">
        <w:rPr>
          <w:rFonts w:cs="Courier New"/>
          <w:color w:val="000000"/>
          <w:sz w:val="24"/>
          <w:szCs w:val="24"/>
        </w:rPr>
        <w:t>Переменная</w:t>
      </w:r>
      <w:r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  <w:lang w:val="en-US"/>
        </w:rPr>
        <w:t>disCount</w:t>
      </w:r>
      <w:r>
        <w:rPr>
          <w:rFonts w:cs="Courier New"/>
          <w:color w:val="000000"/>
          <w:sz w:val="24"/>
          <w:szCs w:val="24"/>
        </w:rPr>
        <w:t xml:space="preserve"> служит для подсчёта числа вершин на след. уровне дерева. Значение её увеличивается при добавлении очередного элемента в список. Очевидно, что если на следующем уровне нет ни одного узла, то обход дерева окончен (мы дошли до самого нижнего уровня).</w:t>
      </w:r>
    </w:p>
    <w:p w:rsidR="00C31268" w:rsidRDefault="00C31268" w:rsidP="003F4657">
      <w:pPr>
        <w:rPr>
          <w:rFonts w:cs="Courier New"/>
          <w:color w:val="000000"/>
          <w:sz w:val="24"/>
          <w:szCs w:val="24"/>
        </w:rPr>
      </w:pPr>
      <w:r w:rsidRPr="00C31268">
        <w:rPr>
          <w:rFonts w:cs="Courier New"/>
          <w:color w:val="000000"/>
          <w:sz w:val="24"/>
          <w:szCs w:val="24"/>
          <w:u w:val="single"/>
        </w:rPr>
        <w:t>Использование полученного списка для обхода элементов дерева</w:t>
      </w:r>
      <w:r w:rsidR="001C08D3">
        <w:rPr>
          <w:rFonts w:cs="Courier New"/>
          <w:color w:val="000000"/>
          <w:sz w:val="24"/>
          <w:szCs w:val="24"/>
          <w:u w:val="single"/>
        </w:rPr>
        <w:t xml:space="preserve"> (</w:t>
      </w:r>
      <w:r w:rsidR="001C08D3" w:rsidRPr="00BE7D58">
        <w:rPr>
          <w:rFonts w:ascii="Courier New" w:hAnsi="Courier New" w:cs="Courier New"/>
          <w:color w:val="FF0000"/>
          <w:sz w:val="20"/>
          <w:szCs w:val="20"/>
        </w:rPr>
        <w:t>p2</w:t>
      </w:r>
      <w:r w:rsidR="001C08D3">
        <w:rPr>
          <w:rFonts w:cs="Courier New"/>
          <w:color w:val="000000"/>
          <w:sz w:val="24"/>
          <w:szCs w:val="24"/>
          <w:u w:val="single"/>
        </w:rPr>
        <w:t>)</w:t>
      </w:r>
      <w:r w:rsidRPr="00C31268">
        <w:rPr>
          <w:rFonts w:cs="Courier New"/>
          <w:color w:val="000000"/>
          <w:sz w:val="24"/>
          <w:szCs w:val="24"/>
          <w:u w:val="single"/>
        </w:rPr>
        <w:t>:</w:t>
      </w:r>
      <w:r w:rsidRPr="00C31268">
        <w:rPr>
          <w:rFonts w:cs="Courier New"/>
          <w:color w:val="000000"/>
          <w:sz w:val="24"/>
          <w:szCs w:val="24"/>
          <w:u w:val="single"/>
        </w:rPr>
        <w:br/>
      </w:r>
      <w:r w:rsidRPr="00C31268">
        <w:rPr>
          <w:rFonts w:cs="Courier New"/>
          <w:color w:val="000000"/>
          <w:sz w:val="24"/>
          <w:szCs w:val="24"/>
        </w:rPr>
        <w:t>Полученный список представляет последовательность указат</w:t>
      </w:r>
      <w:r>
        <w:rPr>
          <w:rFonts w:cs="Courier New"/>
          <w:color w:val="000000"/>
          <w:sz w:val="24"/>
          <w:szCs w:val="24"/>
        </w:rPr>
        <w:t>елей на элементы дерева, стоящих по возрастанию. Т.е. фактически мы выгрузили дерево в список. Теперь для того, чтобы вывести все элементы дерева по возрастанию достаточно просто пройти в цикле по списку от начала и до конца, выводя каждый элемент.</w:t>
      </w:r>
    </w:p>
    <w:p w:rsidR="001C08D3" w:rsidRDefault="001C08D3" w:rsidP="003F4657">
      <w:pPr>
        <w:rPr>
          <w:rFonts w:cs="Courier New"/>
          <w:color w:val="000000"/>
          <w:sz w:val="24"/>
          <w:szCs w:val="24"/>
        </w:rPr>
      </w:pPr>
      <w:r w:rsidRPr="001C08D3">
        <w:rPr>
          <w:rFonts w:cs="Courier New"/>
          <w:color w:val="000000"/>
          <w:sz w:val="24"/>
          <w:szCs w:val="24"/>
          <w:u w:val="single"/>
        </w:rPr>
        <w:t>Анализ данных при помощи списка (</w:t>
      </w:r>
      <w:r w:rsidRPr="00BE7D58">
        <w:rPr>
          <w:rFonts w:cs="Courier New"/>
          <w:color w:val="FF0000"/>
          <w:sz w:val="24"/>
          <w:szCs w:val="24"/>
          <w:u w:val="single"/>
          <w:lang w:val="en-US"/>
        </w:rPr>
        <w:t>p</w:t>
      </w:r>
      <w:r w:rsidRPr="00BE7D58">
        <w:rPr>
          <w:rFonts w:cs="Courier New"/>
          <w:color w:val="FF0000"/>
          <w:sz w:val="24"/>
          <w:szCs w:val="24"/>
          <w:u w:val="single"/>
        </w:rPr>
        <w:t>3</w:t>
      </w:r>
      <w:r w:rsidRPr="001C08D3">
        <w:rPr>
          <w:rFonts w:cs="Courier New"/>
          <w:color w:val="000000"/>
          <w:sz w:val="24"/>
          <w:szCs w:val="24"/>
          <w:u w:val="single"/>
        </w:rPr>
        <w:t>):</w:t>
      </w:r>
      <w:r>
        <w:rPr>
          <w:rFonts w:cs="Courier New"/>
          <w:color w:val="000000"/>
          <w:sz w:val="24"/>
          <w:szCs w:val="24"/>
          <w:u w:val="single"/>
        </w:rPr>
        <w:br/>
      </w:r>
      <w:r>
        <w:rPr>
          <w:rFonts w:cs="Courier New"/>
          <w:color w:val="000000"/>
          <w:sz w:val="24"/>
          <w:szCs w:val="24"/>
        </w:rPr>
        <w:t>Задача – вывести число людей, моложе указанного возраста. Очевидно, что если список содержит все элементы дерева, то достаточно пройти по этому списку, сравнивая каждое значение с ключо</w:t>
      </w:r>
      <w:r w:rsidR="006D632F">
        <w:rPr>
          <w:rFonts w:cs="Courier New"/>
          <w:color w:val="000000"/>
          <w:sz w:val="24"/>
          <w:szCs w:val="24"/>
        </w:rPr>
        <w:t>м и получая результат. Именно так я и поступил. Прошел по списку, сравнивая значения и суммируя их для получения  общего числа.</w:t>
      </w:r>
      <w:r w:rsidR="006D632F">
        <w:rPr>
          <w:rFonts w:cs="Courier New"/>
          <w:color w:val="000000"/>
          <w:sz w:val="24"/>
          <w:szCs w:val="24"/>
        </w:rPr>
        <w:br/>
        <w:t>Тут стоит отметить, что список отсортирован по возрастанию, а это значит, что можно проходить не весь список, а только его часть. Ведь когда очередной встреченный во время прохода элемент стал</w:t>
      </w:r>
      <w:r w:rsidR="006D632F" w:rsidRPr="006D632F">
        <w:rPr>
          <w:rFonts w:cs="Courier New"/>
          <w:color w:val="000000"/>
          <w:sz w:val="24"/>
          <w:szCs w:val="24"/>
        </w:rPr>
        <w:t xml:space="preserve"> &gt;= </w:t>
      </w:r>
      <w:r w:rsidR="006D632F">
        <w:rPr>
          <w:rFonts w:cs="Courier New"/>
          <w:color w:val="000000"/>
          <w:sz w:val="24"/>
          <w:szCs w:val="24"/>
        </w:rPr>
        <w:t>ключ (заданный возраст), сразу можно сделать вывод о том, что это же будет выполняться и для всех оставшихся элементов списка</w:t>
      </w:r>
      <w:r w:rsidR="00AB4468">
        <w:rPr>
          <w:rFonts w:cs="Courier New"/>
          <w:color w:val="000000"/>
          <w:sz w:val="24"/>
          <w:szCs w:val="24"/>
        </w:rPr>
        <w:t xml:space="preserve"> (а </w:t>
      </w:r>
      <w:r w:rsidR="000555D3">
        <w:rPr>
          <w:rFonts w:cs="Courier New"/>
          <w:color w:val="000000"/>
          <w:sz w:val="24"/>
          <w:szCs w:val="24"/>
        </w:rPr>
        <w:t>значит,</w:t>
      </w:r>
      <w:r w:rsidR="00AB4468">
        <w:rPr>
          <w:rFonts w:cs="Courier New"/>
          <w:color w:val="000000"/>
          <w:sz w:val="24"/>
          <w:szCs w:val="24"/>
        </w:rPr>
        <w:t xml:space="preserve"> они уже не подходят по условию)</w:t>
      </w:r>
      <w:r w:rsidR="006D632F">
        <w:rPr>
          <w:rFonts w:cs="Courier New"/>
          <w:color w:val="000000"/>
          <w:sz w:val="24"/>
          <w:szCs w:val="24"/>
        </w:rPr>
        <w:t>.</w:t>
      </w:r>
      <w:r w:rsidR="006D632F" w:rsidRPr="006D632F">
        <w:rPr>
          <w:rFonts w:cs="Courier New"/>
          <w:color w:val="000000"/>
          <w:sz w:val="24"/>
          <w:szCs w:val="24"/>
        </w:rPr>
        <w:t xml:space="preserve"> </w:t>
      </w:r>
    </w:p>
    <w:p w:rsidR="008204A8" w:rsidRPr="009A260C" w:rsidRDefault="008204A8" w:rsidP="003F4657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  <w:u w:val="single"/>
        </w:rPr>
        <w:lastRenderedPageBreak/>
        <w:t>Маленький бонус</w:t>
      </w:r>
      <w:r w:rsidRPr="002072B5">
        <w:rPr>
          <w:rFonts w:cs="Courier New"/>
          <w:color w:val="000000"/>
          <w:sz w:val="24"/>
          <w:szCs w:val="24"/>
          <w:u w:val="single"/>
        </w:rPr>
        <w:t xml:space="preserve">: </w:t>
      </w:r>
      <w:r w:rsidR="009A260C">
        <w:rPr>
          <w:rFonts w:cs="Courier New"/>
          <w:color w:val="000000"/>
          <w:sz w:val="24"/>
          <w:szCs w:val="24"/>
          <w:u w:val="single"/>
        </w:rPr>
        <w:t>расширяемость алгоритма.</w:t>
      </w:r>
      <w:r w:rsidR="009A260C" w:rsidRPr="002072B5">
        <w:rPr>
          <w:rFonts w:cs="Courier New"/>
          <w:color w:val="000000"/>
          <w:sz w:val="24"/>
          <w:szCs w:val="24"/>
          <w:u w:val="single"/>
        </w:rPr>
        <w:br/>
      </w:r>
      <w:r w:rsidR="009A260C">
        <w:rPr>
          <w:rFonts w:cs="Courier New"/>
          <w:color w:val="000000"/>
          <w:sz w:val="24"/>
          <w:szCs w:val="24"/>
        </w:rPr>
        <w:t xml:space="preserve">Очевидно, что данный алгоритм можно без усилий подстроить под любое требуемое правило обхода. Будь то </w:t>
      </w:r>
      <w:r w:rsidR="009A260C" w:rsidRPr="009A260C">
        <w:rPr>
          <w:rFonts w:cs="Courier New"/>
          <w:color w:val="000000"/>
          <w:sz w:val="24"/>
          <w:szCs w:val="24"/>
        </w:rPr>
        <w:t>(</w:t>
      </w:r>
      <w:r w:rsidR="009A260C">
        <w:rPr>
          <w:rFonts w:cs="Courier New"/>
          <w:color w:val="000000"/>
          <w:sz w:val="24"/>
          <w:szCs w:val="24"/>
        </w:rPr>
        <w:t>корень-левое-правое</w:t>
      </w:r>
      <w:r w:rsidR="009A260C" w:rsidRPr="009A260C">
        <w:rPr>
          <w:rFonts w:cs="Courier New"/>
          <w:color w:val="000000"/>
          <w:sz w:val="24"/>
          <w:szCs w:val="24"/>
        </w:rPr>
        <w:t>)</w:t>
      </w:r>
      <w:r w:rsidR="009A260C">
        <w:rPr>
          <w:rFonts w:cs="Courier New"/>
          <w:color w:val="000000"/>
          <w:sz w:val="24"/>
          <w:szCs w:val="24"/>
        </w:rPr>
        <w:t xml:space="preserve">, или </w:t>
      </w:r>
      <w:r w:rsidR="009A260C" w:rsidRPr="009A260C">
        <w:rPr>
          <w:rFonts w:cs="Courier New"/>
          <w:color w:val="000000"/>
          <w:sz w:val="24"/>
          <w:szCs w:val="24"/>
        </w:rPr>
        <w:t>(</w:t>
      </w:r>
      <w:r w:rsidR="009A260C">
        <w:rPr>
          <w:rFonts w:cs="Courier New"/>
          <w:color w:val="000000"/>
          <w:sz w:val="24"/>
          <w:szCs w:val="24"/>
        </w:rPr>
        <w:t xml:space="preserve">правое-левое-корень). Для подобных изменения достаточно лишь подправить место вставки новых элементов в список. Так для правила (корень-левое-правое) мы будем вставлять оба потомка элемента за ним, а для </w:t>
      </w:r>
      <w:r w:rsidR="009A260C" w:rsidRPr="009A260C">
        <w:rPr>
          <w:rFonts w:cs="Courier New"/>
          <w:color w:val="000000"/>
          <w:sz w:val="24"/>
          <w:szCs w:val="24"/>
        </w:rPr>
        <w:t>(</w:t>
      </w:r>
      <w:r w:rsidR="009A260C">
        <w:rPr>
          <w:rFonts w:cs="Courier New"/>
          <w:color w:val="000000"/>
          <w:sz w:val="24"/>
          <w:szCs w:val="24"/>
        </w:rPr>
        <w:t>правое-левое-корень</w:t>
      </w:r>
      <w:r w:rsidR="009A260C" w:rsidRPr="009A260C">
        <w:rPr>
          <w:rFonts w:cs="Courier New"/>
          <w:color w:val="000000"/>
          <w:sz w:val="24"/>
          <w:szCs w:val="24"/>
        </w:rPr>
        <w:t>)</w:t>
      </w:r>
      <w:r w:rsidR="009A260C">
        <w:rPr>
          <w:rFonts w:cs="Courier New"/>
          <w:color w:val="000000"/>
          <w:sz w:val="24"/>
          <w:szCs w:val="24"/>
        </w:rPr>
        <w:t xml:space="preserve"> оба потомка встанут п</w:t>
      </w:r>
      <w:r w:rsidR="004C6341">
        <w:rPr>
          <w:rFonts w:cs="Courier New"/>
          <w:color w:val="000000"/>
          <w:sz w:val="24"/>
          <w:szCs w:val="24"/>
        </w:rPr>
        <w:t>еред текущим эл</w:t>
      </w:r>
      <w:r w:rsidR="009A260C">
        <w:rPr>
          <w:rFonts w:cs="Courier New"/>
          <w:color w:val="000000"/>
          <w:sz w:val="24"/>
          <w:szCs w:val="24"/>
        </w:rPr>
        <w:t>ем</w:t>
      </w:r>
      <w:r w:rsidR="004C6341">
        <w:rPr>
          <w:rFonts w:cs="Courier New"/>
          <w:color w:val="000000"/>
          <w:sz w:val="24"/>
          <w:szCs w:val="24"/>
        </w:rPr>
        <w:t>е</w:t>
      </w:r>
      <w:r w:rsidR="009A260C">
        <w:rPr>
          <w:rFonts w:cs="Courier New"/>
          <w:color w:val="000000"/>
          <w:sz w:val="24"/>
          <w:szCs w:val="24"/>
        </w:rPr>
        <w:t>нтом. Других изменения не потребуется!</w:t>
      </w:r>
    </w:p>
    <w:sectPr w:rsidR="008204A8" w:rsidRPr="009A260C" w:rsidSect="001E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27A9"/>
    <w:multiLevelType w:val="hybridMultilevel"/>
    <w:tmpl w:val="5564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12B7B"/>
    <w:rsid w:val="000555D3"/>
    <w:rsid w:val="0006228D"/>
    <w:rsid w:val="000F2239"/>
    <w:rsid w:val="001772A1"/>
    <w:rsid w:val="001C08D3"/>
    <w:rsid w:val="001E33AF"/>
    <w:rsid w:val="002072B5"/>
    <w:rsid w:val="00321FAB"/>
    <w:rsid w:val="00346182"/>
    <w:rsid w:val="003812DB"/>
    <w:rsid w:val="003F4657"/>
    <w:rsid w:val="004027D7"/>
    <w:rsid w:val="00425FB6"/>
    <w:rsid w:val="004C6341"/>
    <w:rsid w:val="005455D7"/>
    <w:rsid w:val="005A087D"/>
    <w:rsid w:val="005D6F4F"/>
    <w:rsid w:val="006713DA"/>
    <w:rsid w:val="006C22D9"/>
    <w:rsid w:val="006D632F"/>
    <w:rsid w:val="006E3D2A"/>
    <w:rsid w:val="006F5CF9"/>
    <w:rsid w:val="00722DC2"/>
    <w:rsid w:val="007B1F8D"/>
    <w:rsid w:val="007C3DE4"/>
    <w:rsid w:val="007D121D"/>
    <w:rsid w:val="007E3E83"/>
    <w:rsid w:val="008204A8"/>
    <w:rsid w:val="00827301"/>
    <w:rsid w:val="00870A6E"/>
    <w:rsid w:val="00997A8A"/>
    <w:rsid w:val="009A260C"/>
    <w:rsid w:val="00A45868"/>
    <w:rsid w:val="00AB4468"/>
    <w:rsid w:val="00AD6FAA"/>
    <w:rsid w:val="00B62592"/>
    <w:rsid w:val="00BE7D58"/>
    <w:rsid w:val="00C025EA"/>
    <w:rsid w:val="00C12B7B"/>
    <w:rsid w:val="00C31268"/>
    <w:rsid w:val="00C91A1E"/>
    <w:rsid w:val="00CE4CF5"/>
    <w:rsid w:val="00D05281"/>
    <w:rsid w:val="00E0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8D"/>
    <w:pPr>
      <w:ind w:left="720"/>
      <w:contextualSpacing/>
    </w:pPr>
  </w:style>
  <w:style w:type="table" w:styleId="a4">
    <w:name w:val="Table Grid"/>
    <w:basedOn w:val="a1"/>
    <w:uiPriority w:val="59"/>
    <w:rsid w:val="00B62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Георгий</dc:creator>
  <cp:keywords/>
  <dc:description/>
  <cp:lastModifiedBy>Иванов Георгий</cp:lastModifiedBy>
  <cp:revision>38</cp:revision>
  <dcterms:created xsi:type="dcterms:W3CDTF">2013-12-20T23:17:00Z</dcterms:created>
  <dcterms:modified xsi:type="dcterms:W3CDTF">2013-12-21T00:53:00Z</dcterms:modified>
</cp:coreProperties>
</file>