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6E"/>
          <w:sz w:val="32"/>
        </w:rPr>
        <w:t>THESIS DEFENSE PRESENTATION SCRIPT</w:t>
      </w:r>
    </w:p>
    <w:p>
      <w:pPr>
        <w:jc w:val="center"/>
      </w:pPr>
      <w:r>
        <w:rPr>
          <w:color w:val="404040"/>
          <w:sz w:val="22"/>
        </w:rPr>
        <w:t>Adaptive Health Insurance Underwriting via Contextual Bandits:</w:t>
        <w:br/>
        <w:t>A Reinforcement Learning Approach for Cambodia</w:t>
        <w:br/>
        <w:br/>
        <w:t>LUN CHANPOLY  ·  ITC-AMS  ·  July 2026</w:t>
      </w:r>
    </w:p>
    <w:p/>
    <w:p>
      <w:r>
        <w:rPr>
          <w:i/>
          <w:sz w:val="20"/>
        </w:rPr>
        <w:t>HOW TO USE THIS SCRIPT</w:t>
        <w:br/>
        <w:t>Read aloud naturally — do not recite word-for-word if it feels unnatural. Bracketed notes [like this] are stage directions, not spoken text. The Sophea narrative beats are highlighted throughout — these are the emotional anchors of the presentation. Appendix slides A1–A5 are on standby; only advance to them if the Committee asks a question that slide addresses.</w:t>
      </w:r>
    </w:p>
    <w:p>
      <w:r>
        <w:br w:type="page"/>
      </w:r>
    </w:p>
    <w:p>
      <w:pPr>
        <w:pStyle w:val="Heading2"/>
      </w:pPr>
      <w:r>
        <w:rPr>
          <w:color w:val="2E74B5"/>
        </w:rPr>
        <w:t>SLIDE 1  ·  TITLE SLIDE</w:t>
      </w:r>
    </w:p>
    <w:p>
      <w:pPr>
        <w:spacing w:before="0" w:after="80"/>
      </w:pPr>
      <w:r>
        <w:rPr>
          <w:i/>
          <w:color w:val="707070"/>
          <w:sz w:val="18"/>
        </w:rPr>
        <w:t>Timing: ~1 min</w:t>
      </w:r>
    </w:p>
    <w:p>
      <w:pPr>
        <w:spacing w:before="80" w:after="80"/>
      </w:pPr>
      <w:r>
        <w:rPr>
          <w:sz w:val="22"/>
        </w:rPr>
        <w:t>Good morning, Distinguished Committee. I am Lun Chanpoly, and I am here to defend my master's thesis — Adaptive Health Insurance Underwriting via Contextual Bandits: A Reinforcement Learning Approach for Cambodia.</w:t>
      </w:r>
    </w:p>
    <w:p>
      <w:pPr>
        <w:spacing w:before="80" w:after="80"/>
      </w:pPr>
      <w:r>
        <w:rPr>
          <w:sz w:val="22"/>
        </w:rPr>
        <w:t>This work was carried out during my internship at Decent Actuarial Consultants in Phnom Penh, from March to June 2026, under the supervision of Dr. Has Sothea and the guidance of Mr. ON Radet at DAC.</w:t>
      </w:r>
    </w:p>
    <w:p>
      <w:pPr>
        <w:spacing w:before="80" w:after="80"/>
      </w:pPr>
      <w:r>
        <w:rPr>
          <w:sz w:val="22"/>
        </w:rPr>
        <w:t>I hope by the end of this presentation, I can convince you that the question I was given — how do we make underwriting smarter for Cambodia — has a rigorous, honest, and practically useful answer.</w:t>
      </w:r>
    </w:p>
    <w:p/>
    <w:p>
      <w:pPr>
        <w:pStyle w:val="Heading2"/>
      </w:pPr>
      <w:r>
        <w:rPr>
          <w:color w:val="2E74B5"/>
        </w:rPr>
        <w:t>SLIDE 2  ·  TABLE OF CONTENTS</w:t>
      </w:r>
    </w:p>
    <w:p>
      <w:pPr>
        <w:spacing w:before="0" w:after="80"/>
      </w:pPr>
      <w:r>
        <w:rPr>
          <w:i/>
          <w:color w:val="707070"/>
          <w:sz w:val="18"/>
        </w:rPr>
        <w:t>Timing: ~30 sec</w:t>
      </w:r>
    </w:p>
    <w:p>
      <w:pPr>
        <w:spacing w:before="80" w:after="80"/>
      </w:pPr>
      <w:r>
        <w:rPr>
          <w:sz w:val="22"/>
        </w:rPr>
        <w:t>I will take you through five sections. We begin with why this problem matters — which I will show you through a story. Then a brief survey of what the research literature offers. Then the methodology I designed and implemented. Then the results — including some honest findings that did not go as expected. And finally, what all of this means for Cambodia.</w:t>
      </w:r>
    </w:p>
    <w:p>
      <w:pPr>
        <w:spacing w:before="80" w:after="80"/>
      </w:pPr>
      <w:r>
        <w:rPr>
          <w:sz w:val="22"/>
        </w:rPr>
        <w:t>I also have five technical appendix slides available if the Committee wishes to go deeper on any specific point.</w:t>
      </w:r>
    </w:p>
    <w:p/>
    <w:p>
      <w:pPr>
        <w:pStyle w:val="Heading2"/>
      </w:pPr>
      <w:r>
        <w:rPr>
          <w:color w:val="2E74B5"/>
        </w:rPr>
        <w:t>SLIDE 3  ·  MEET SOPHEA</w:t>
      </w:r>
    </w:p>
    <w:p>
      <w:pPr>
        <w:spacing w:before="0" w:after="80"/>
      </w:pPr>
      <w:r>
        <w:rPr>
          <w:i/>
          <w:color w:val="707070"/>
          <w:sz w:val="18"/>
        </w:rPr>
        <w:t>Timing: ~1.5 min</w:t>
      </w:r>
    </w:p>
    <w:p>
      <w:pPr>
        <w:spacing w:before="80" w:after="80"/>
      </w:pPr>
      <w:r>
        <w:rPr>
          <w:sz w:val="22"/>
        </w:rPr>
        <w:t>[Point to the left card on screen.]</w:t>
      </w:r>
    </w:p>
    <w:p>
      <w:pPr>
        <w:spacing w:before="80" w:after="80"/>
      </w:pPr>
      <w:r>
        <w:rPr>
          <w:sz w:val="22"/>
        </w:rPr>
        <w:t>I would like to introduce you to Sophea. You can see her profile here on the left: 42 years old, rice farmer from Kampong Cham Province. BMI 24.1 — normal range. Non-smoker. High physical activity from field farming. One clinical flag: managed hypertension.</w:t>
      </w:r>
    </w:p>
    <w:p>
      <w:pPr>
        <w:spacing w:before="80" w:after="80"/>
      </w:pPr>
      <w:r>
        <w:rPr>
          <w:sz w:val="22"/>
        </w:rPr>
        <w:t>[Point to the two amber flag boxes on the right.]</w:t>
      </w:r>
    </w:p>
    <w:p>
      <w:pPr>
        <w:spacing w:before="80" w:after="80"/>
      </w:pPr>
      <w:r>
        <w:rPr>
          <w:sz w:val="22"/>
        </w:rPr>
        <w:t>In 2023, Sophea walks into a private insurer in Phnom Penh and applies for voluntary health insurance. The static rule-based system checks two fields: OCCUPATION — Agriculture. CONDITION FLAG — Hypertension. Both thresholds are crossed.</w:t>
      </w:r>
    </w:p>
    <w:p>
      <w:pPr>
        <w:spacing w:before="80" w:after="80"/>
      </w:pPr>
      <w:r>
        <w:rPr>
          <w:sz w:val="22"/>
        </w:rPr>
        <w:t>[Point to the red DECLINE box.]</w:t>
      </w:r>
    </w:p>
    <w:p>
      <w:pPr>
        <w:spacing w:before="80" w:after="80"/>
      </w:pPr>
      <w:r>
        <w:rPr>
          <w:sz w:val="22"/>
        </w:rPr>
        <w:t>The system decision, shown here in red: DECLINE. Sophea leaves without coverage.</w:t>
      </w:r>
    </w:p>
    <w:p>
      <w:pPr>
        <w:spacing w:before="80" w:after="80"/>
      </w:pPr>
      <w:r>
        <w:rPr>
          <w:sz w:val="22"/>
        </w:rPr>
        <w:t>Was that the right answer? This research begins with that question.</w:t>
      </w:r>
    </w:p>
    <w:p/>
    <w:p>
      <w:pPr>
        <w:pStyle w:val="Heading2"/>
      </w:pPr>
      <w:r>
        <w:rPr>
          <w:color w:val="2E74B5"/>
        </w:rPr>
        <w:t>SLIDE 4  ·  ABOUT DECENT ACTUARIAL CONSULTANTS</w:t>
      </w:r>
    </w:p>
    <w:p>
      <w:pPr>
        <w:spacing w:before="0" w:after="80"/>
      </w:pPr>
      <w:r>
        <w:rPr>
          <w:i/>
          <w:color w:val="707070"/>
          <w:sz w:val="18"/>
        </w:rPr>
        <w:t>Timing: ~1 min</w:t>
      </w:r>
    </w:p>
    <w:p>
      <w:pPr>
        <w:spacing w:before="80" w:after="80"/>
      </w:pPr>
      <w:r>
        <w:rPr>
          <w:sz w:val="22"/>
        </w:rPr>
        <w:t>To answer that question, I joined Decent Actuarial Consultants — DAC — as a research intern in March 2026.</w:t>
      </w:r>
    </w:p>
    <w:p>
      <w:pPr>
        <w:spacing w:before="80" w:after="80"/>
      </w:pPr>
      <w:r>
        <w:rPr>
          <w:sz w:val="22"/>
        </w:rPr>
        <w:t>DAC is a regional actuarial consultancy with offices in Taipei, Phnom Penh, and Vietnam. Their services span life and non-life insurance — appointed actuary work, IFRS 17 implementation, product development, ALM and ERM, M&amp;A advisory, and university partnerships.</w:t>
      </w:r>
    </w:p>
    <w:p>
      <w:pPr>
        <w:spacing w:before="80" w:after="80"/>
      </w:pPr>
      <w:r>
        <w:rPr>
          <w:sz w:val="22"/>
        </w:rPr>
        <w:t>Their clients include some of the insurers who work with applicants like Sophea every day. Supervised by Mr. ON Radet, my task was to design and validate an adaptive underwriting system — and build a working prototype. The thesis and demonstration you will see today are the outputs of that internship.</w:t>
      </w:r>
    </w:p>
    <w:p/>
    <w:p>
      <w:pPr>
        <w:pStyle w:val="Heading2"/>
      </w:pPr>
      <w:r>
        <w:rPr>
          <w:color w:val="2E74B5"/>
        </w:rPr>
        <w:t>SLIDE 5  ·  CAMBODIA HEALTH INSURANCE MARKET</w:t>
      </w:r>
    </w:p>
    <w:p>
      <w:pPr>
        <w:spacing w:before="0" w:after="80"/>
      </w:pPr>
      <w:r>
        <w:rPr>
          <w:i/>
          <w:color w:val="707070"/>
          <w:sz w:val="18"/>
        </w:rPr>
        <w:t>Timing: ~1.5 min</w:t>
      </w:r>
    </w:p>
    <w:p>
      <w:pPr>
        <w:spacing w:before="80" w:after="80"/>
      </w:pPr>
      <w:r>
        <w:rPr>
          <w:sz w:val="22"/>
        </w:rPr>
        <w:t>[Point to the large stat on the left.]</w:t>
      </w:r>
    </w:p>
    <w:p>
      <w:pPr>
        <w:spacing w:before="80" w:after="80"/>
      </w:pPr>
      <w:r>
        <w:rPr>
          <w:sz w:val="22"/>
        </w:rPr>
        <w:t>This number — under two percent — is the estimated health insurance penetration in Cambodia in 2023. Not 10 percent. Not 20 percent. Under two percent of the population with private voluntary health coverage.</w:t>
      </w:r>
    </w:p>
    <w:p>
      <w:pPr>
        <w:spacing w:before="80" w:after="80"/>
      </w:pPr>
      <w:r>
        <w:rPr>
          <w:sz w:val="22"/>
        </w:rPr>
        <w:t>The NSSF provides mandatory coverage, but only to formal-sector workers — roughly 16 percent of the population. Private underwriting is manual and rule-based. Agent networks consume 15 to 30 percent of premium revenue. And there is no demographic-parity monitoring in practice.</w:t>
      </w:r>
    </w:p>
    <w:p>
      <w:pPr>
        <w:spacing w:before="80" w:after="80"/>
      </w:pPr>
      <w:r>
        <w:rPr>
          <w:sz w:val="22"/>
        </w:rPr>
        <w:t>[Point to the SDG panel on the right.]</w:t>
      </w:r>
    </w:p>
    <w:p>
      <w:pPr>
        <w:spacing w:before="80" w:after="80"/>
      </w:pPr>
      <w:r>
        <w:rPr>
          <w:sz w:val="22"/>
        </w:rPr>
        <w:t>This research connects directly to three of Cambodia's SDGs. SDG 3 — Good Health and Well-being — by widening access. SDG 1 — No Poverty — by shielding households from catastrophic health costs. SDG 10 — Reduced Inequalities — through the PSI fairness guardrail.</w:t>
      </w:r>
    </w:p>
    <w:p>
      <w:pPr>
        <w:spacing w:before="80" w:after="80"/>
      </w:pPr>
      <w:r>
        <w:rPr>
          <w:sz w:val="22"/>
        </w:rPr>
        <w:t>Sophea's situation is not an edge case — she is one of the 98 percent the current market was not built for.</w:t>
      </w:r>
    </w:p>
    <w:p/>
    <w:p>
      <w:pPr>
        <w:pStyle w:val="Heading2"/>
      </w:pPr>
      <w:r>
        <w:rPr>
          <w:color w:val="2E74B5"/>
        </w:rPr>
        <w:t>SLIDE 6  ·  PROBLEM STATEMENT</w:t>
      </w:r>
    </w:p>
    <w:p>
      <w:pPr>
        <w:spacing w:before="0" w:after="80"/>
      </w:pPr>
      <w:r>
        <w:rPr>
          <w:i/>
          <w:color w:val="707070"/>
          <w:sz w:val="18"/>
        </w:rPr>
        <w:t>Timing: ~1.5 min</w:t>
      </w:r>
    </w:p>
    <w:p>
      <w:pPr>
        <w:spacing w:before="80" w:after="80"/>
      </w:pPr>
      <w:r>
        <w:rPr>
          <w:sz w:val="22"/>
        </w:rPr>
        <w:t>The static system that declined Sophea has four specific failure modes — each one visible in her case.</w:t>
      </w:r>
    </w:p>
    <w:p>
      <w:pPr>
        <w:spacing w:before="80" w:after="80"/>
      </w:pPr>
      <w:r>
        <w:rPr>
          <w:sz w:val="22"/>
        </w:rPr>
        <w:t>First: Static Thresholds. Fixed cutoffs ignore context. Sophea's BMI, her physical activity, her non-smoking status — all invisible to the rule engine. Two ones triggered two thresholds and the system said no.</w:t>
      </w:r>
    </w:p>
    <w:p>
      <w:pPr>
        <w:spacing w:before="80" w:after="80"/>
      </w:pPr>
      <w:r>
        <w:rPr>
          <w:sz w:val="22"/>
        </w:rPr>
        <w:t>Second: No Online Adaptation. Claims feedback never reaches the model. Static weights trained once on historical data do not update from new outcomes. Every applicant — including Sophea — is assessed against stale beliefs.</w:t>
      </w:r>
    </w:p>
    <w:p>
      <w:pPr>
        <w:spacing w:before="80" w:after="80"/>
      </w:pPr>
      <w:r>
        <w:rPr>
          <w:sz w:val="22"/>
        </w:rPr>
        <w:t>Third: Demographic Blindspot. No parity metric is tracked. If the system systematically declined farmers or rural applicants at elevated rates, that pattern would be invisible to the insurer.</w:t>
      </w:r>
    </w:p>
    <w:p>
      <w:pPr>
        <w:spacing w:before="80" w:after="80"/>
      </w:pPr>
      <w:r>
        <w:rPr>
          <w:sz w:val="22"/>
        </w:rPr>
        <w:t>Fourth: No Intelligent Triage. Human experts review routine cases instead of the borderline ones — like Sophea's — that actually need expert judgment.</w:t>
      </w:r>
    </w:p>
    <w:p>
      <w:pPr>
        <w:spacing w:before="80" w:after="80"/>
      </w:pPr>
      <w:r>
        <w:rPr>
          <w:sz w:val="22"/>
        </w:rPr>
        <w:t>Each failure costs Sophea. Together, they define the problem.</w:t>
      </w:r>
    </w:p>
    <w:p/>
    <w:p>
      <w:pPr>
        <w:pStyle w:val="Heading2"/>
      </w:pPr>
      <w:r>
        <w:rPr>
          <w:color w:val="2E74B5"/>
        </w:rPr>
        <w:t>SLIDE 7  ·  RESEARCH QUESTIONS</w:t>
      </w:r>
    </w:p>
    <w:p>
      <w:pPr>
        <w:spacing w:before="0" w:after="80"/>
      </w:pPr>
      <w:r>
        <w:rPr>
          <w:i/>
          <w:color w:val="707070"/>
          <w:sz w:val="18"/>
        </w:rPr>
        <w:t>Timing: ~1.5 min</w:t>
      </w:r>
    </w:p>
    <w:p>
      <w:pPr>
        <w:spacing w:before="80" w:after="80"/>
      </w:pPr>
      <w:r>
        <w:rPr>
          <w:sz w:val="22"/>
        </w:rPr>
        <w:t>Four research questions frame this work.</w:t>
      </w:r>
    </w:p>
    <w:p>
      <w:pPr>
        <w:spacing w:before="80" w:after="80"/>
      </w:pPr>
      <w:r>
        <w:rPr>
          <w:sz w:val="22"/>
        </w:rPr>
        <w:t>RQ1 asks the primary empirical question: do contextual bandits achieve higher cumulative reward and lower regret than the Static XGBoost baseline over 5,000 rounds?</w:t>
      </w:r>
    </w:p>
    <w:p>
      <w:pPr>
        <w:spacing w:before="80" w:after="80"/>
      </w:pPr>
      <w:r>
        <w:rPr>
          <w:sz w:val="22"/>
        </w:rPr>
        <w:t>RQ2 asks about fairness: does the bandit framework maintain demographic parity on regional and occupational approval rates — without explicit fairness constraints baked into the reward?</w:t>
      </w:r>
    </w:p>
    <w:p>
      <w:pPr>
        <w:spacing w:before="80" w:after="80"/>
      </w:pPr>
      <w:r>
        <w:rPr>
          <w:sz w:val="22"/>
        </w:rPr>
        <w:t>RQ3 asks about the ranking: what is the relative performance of LinTS, LinUCB, Epsilon-Greedy, and Static XGB?</w:t>
      </w:r>
    </w:p>
    <w:p>
      <w:pPr>
        <w:spacing w:before="80" w:after="80"/>
      </w:pPr>
      <w:r>
        <w:rPr>
          <w:sz w:val="22"/>
        </w:rPr>
        <w:t>RQ4 asks about deployment feasibility: is the system technically viable for low-resource mobile infrastructure — under 200 milliseconds latency?</w:t>
      </w:r>
    </w:p>
    <w:p>
      <w:pPr>
        <w:spacing w:before="80" w:after="80"/>
      </w:pPr>
      <w:r>
        <w:rPr>
          <w:sz w:val="22"/>
        </w:rPr>
        <w:t>All four questions have empirical answers in the results section. I will tell you which ones came back exactly as expected — and which ones did not.</w:t>
      </w:r>
    </w:p>
    <w:p/>
    <w:p>
      <w:pPr>
        <w:pStyle w:val="Heading2"/>
      </w:pPr>
      <w:r>
        <w:rPr>
          <w:color w:val="2E74B5"/>
        </w:rPr>
        <w:t>SLIDE 8  ·  PROJECT OBJECTIVES &amp; DELIVERABLES</w:t>
      </w:r>
    </w:p>
    <w:p>
      <w:pPr>
        <w:spacing w:before="0" w:after="80"/>
      </w:pPr>
      <w:r>
        <w:rPr>
          <w:i/>
          <w:color w:val="707070"/>
          <w:sz w:val="18"/>
        </w:rPr>
        <w:t>Timing: ~1.5 min</w:t>
      </w:r>
    </w:p>
    <w:p>
      <w:pPr>
        <w:spacing w:before="80" w:after="80"/>
      </w:pPr>
      <w:r>
        <w:rPr>
          <w:sz w:val="22"/>
        </w:rPr>
        <w:t>The project produced four deliverables and five measurable secondary objectives.</w:t>
      </w:r>
    </w:p>
    <w:p>
      <w:pPr>
        <w:spacing w:before="80" w:after="80"/>
      </w:pPr>
      <w:r>
        <w:rPr>
          <w:sz w:val="22"/>
        </w:rPr>
        <w:t>On the left — the four deliverables.</w:t>
      </w:r>
    </w:p>
    <w:p>
      <w:pPr>
        <w:spacing w:before="80" w:after="80"/>
      </w:pPr>
      <w:r>
        <w:rPr>
          <w:sz w:val="22"/>
        </w:rPr>
        <w:t>D1: a 2,000-record synthetic Cambodia health insurance dataset, anchored on CDHS 2021-22, STEPS, ILO, and WHO sources. Sophea is one of those 2,000. She is statistically realistic — not a cartoon.</w:t>
      </w:r>
    </w:p>
    <w:p>
      <w:pPr>
        <w:spacing w:before="80" w:after="80"/>
      </w:pPr>
      <w:r>
        <w:rPr>
          <w:sz w:val="22"/>
        </w:rPr>
        <w:t>D2: the contextual bandit underwriting engine — LinUCB, LinTS, and Epsilon-Greedy — with sub-200 millisecond latency.</w:t>
      </w:r>
    </w:p>
    <w:p>
      <w:pPr>
        <w:spacing w:before="80" w:after="80"/>
      </w:pPr>
      <w:r>
        <w:rPr>
          <w:sz w:val="22"/>
        </w:rPr>
        <w:t>D3: the actuarial reward simulator that converts underwriting decisions into a profit signal the bandit can learn from.</w:t>
      </w:r>
    </w:p>
    <w:p>
      <w:pPr>
        <w:spacing w:before="80" w:after="80"/>
      </w:pPr>
      <w:r>
        <w:rPr>
          <w:sz w:val="22"/>
        </w:rPr>
        <w:t>D4: the PSI fairness monitoring framework with GREEN-AMBER-RED alerts.</w:t>
      </w:r>
    </w:p>
    <w:p>
      <w:pPr>
        <w:spacing w:before="80" w:after="80"/>
      </w:pPr>
      <w:r>
        <w:rPr>
          <w:sz w:val="22"/>
        </w:rPr>
        <w:t>On the right — the five secondary objectives that map directly to the experiments I will describe in the results section.</w:t>
      </w:r>
    </w:p>
    <w:p/>
    <w:p>
      <w:pPr>
        <w:pStyle w:val="Heading2"/>
      </w:pPr>
      <w:r>
        <w:rPr>
          <w:color w:val="2E74B5"/>
        </w:rPr>
        <w:t>SLIDE 9  ·  SECTION DIVIDER — Literature Review</w:t>
      </w:r>
    </w:p>
    <w:p>
      <w:pPr>
        <w:spacing w:before="0" w:after="80"/>
      </w:pPr>
      <w:r>
        <w:rPr>
          <w:i/>
          <w:color w:val="707070"/>
          <w:sz w:val="18"/>
        </w:rPr>
        <w:t>Timing: ~5 sec</w:t>
      </w:r>
    </w:p>
    <w:p>
      <w:pPr>
        <w:spacing w:before="80" w:after="80"/>
      </w:pPr>
      <w:r>
        <w:rPr>
          <w:sz w:val="22"/>
        </w:rPr>
        <w:t>Before I show you the system I built, let me briefly survey what the research literature told me about how to build it.</w:t>
      </w:r>
    </w:p>
    <w:p/>
    <w:p>
      <w:pPr>
        <w:pStyle w:val="Heading2"/>
      </w:pPr>
      <w:r>
        <w:rPr>
          <w:color w:val="2E74B5"/>
        </w:rPr>
        <w:t>SLIDE 10  ·  LITERATURE REVIEW</w:t>
      </w:r>
    </w:p>
    <w:p>
      <w:pPr>
        <w:spacing w:before="0" w:after="80"/>
      </w:pPr>
      <w:r>
        <w:rPr>
          <w:i/>
          <w:color w:val="707070"/>
          <w:sz w:val="18"/>
        </w:rPr>
        <w:t>Timing: ~2 min</w:t>
      </w:r>
    </w:p>
    <w:p>
      <w:pPr>
        <w:spacing w:before="80" w:after="80"/>
      </w:pPr>
      <w:r>
        <w:rPr>
          <w:sz w:val="22"/>
        </w:rPr>
        <w:t>Five research areas shaped the design of this system.</w:t>
      </w:r>
    </w:p>
    <w:p>
      <w:pPr>
        <w:spacing w:before="80" w:after="80"/>
      </w:pPr>
      <w:r>
        <w:rPr>
          <w:sz w:val="22"/>
        </w:rPr>
        <w:t>First: emerging-market health insurance. Reports from CDHS 2021-22, ILO 2023, and ADB established Cambodia's context. Under 2 percent penetration. NSSF covering only the formal sector. Private insurers working with manual, rule-based systems.</w:t>
      </w:r>
    </w:p>
    <w:p>
      <w:pPr>
        <w:spacing w:before="80" w:after="80"/>
      </w:pPr>
      <w:r>
        <w:rPr>
          <w:sz w:val="22"/>
        </w:rPr>
        <w:t>Second: linear contextual bandits. LinUCB from Li et al. 2010 and LinTS from Agrawal and Goyal 2013 both achieve sub-linear regret of order d-root-T-log-T. This theoretical guarantee is why I chose them: provably efficient, interpretable, and low compute.</w:t>
      </w:r>
    </w:p>
    <w:p>
      <w:pPr>
        <w:spacing w:before="80" w:after="80"/>
      </w:pPr>
      <w:r>
        <w:rPr>
          <w:sz w:val="22"/>
        </w:rPr>
        <w:t>Third: neural bandits. NeuralUCB, NeuralTS, and EE-Net relax the linear reward assumption. Natural future-work candidates, but they require large datasets and risk overfitting on 2,000 records.</w:t>
      </w:r>
    </w:p>
    <w:p>
      <w:pPr>
        <w:spacing w:before="80" w:after="80"/>
      </w:pPr>
      <w:r>
        <w:rPr>
          <w:sz w:val="22"/>
        </w:rPr>
        <w:t>Fourth: fairness in insurance machine learning. Barocas et al. and Ensign et al. warned specifically about feedback loops that harm rural and occupational groups — exactly Sophea's category.</w:t>
      </w:r>
    </w:p>
    <w:p>
      <w:pPr>
        <w:spacing w:before="80" w:after="80"/>
      </w:pPr>
      <w:r>
        <w:rPr>
          <w:sz w:val="22"/>
        </w:rPr>
        <w:t>Fifth: Population Stability Index. PSI gives us three interpretable zones: GREEN below 0.10, AMBER 0.10 to 0.25, RED above 0.25. The full review cites 25 sources in APA format.</w:t>
      </w:r>
    </w:p>
    <w:p/>
    <w:p>
      <w:pPr>
        <w:pStyle w:val="Heading2"/>
      </w:pPr>
      <w:r>
        <w:rPr>
          <w:color w:val="2E74B5"/>
        </w:rPr>
        <w:t>SLIDE 11  ·  ALGORITHM COMPARISON</w:t>
      </w:r>
    </w:p>
    <w:p>
      <w:pPr>
        <w:spacing w:before="0" w:after="80"/>
      </w:pPr>
      <w:r>
        <w:rPr>
          <w:i/>
          <w:color w:val="707070"/>
          <w:sz w:val="18"/>
        </w:rPr>
        <w:t>Timing: ~1.5 min</w:t>
      </w:r>
    </w:p>
    <w:p>
      <w:pPr>
        <w:spacing w:before="80" w:after="80"/>
      </w:pPr>
      <w:r>
        <w:rPr>
          <w:sz w:val="22"/>
        </w:rPr>
        <w:t>[Point to the table.]</w:t>
      </w:r>
    </w:p>
    <w:p>
      <w:pPr>
        <w:spacing w:before="80" w:after="80"/>
      </w:pPr>
      <w:r>
        <w:rPr>
          <w:sz w:val="22"/>
        </w:rPr>
        <w:t>Five algorithms appear in this comparison. The two highlighted rows — LinUCB and LinTS — are our proposed policies.</w:t>
      </w:r>
    </w:p>
    <w:p>
      <w:pPr>
        <w:spacing w:before="80" w:after="80"/>
      </w:pPr>
      <w:r>
        <w:rPr>
          <w:sz w:val="22"/>
        </w:rPr>
        <w:t>Both achieve sub-linear regret of order d-root-T-log-T. Both have per-round cost of order d-squared — fast enough for real-time underwriting decisions. Both require only moderate data.</w:t>
      </w:r>
    </w:p>
    <w:p>
      <w:pPr>
        <w:spacing w:before="80" w:after="80"/>
      </w:pPr>
      <w:r>
        <w:rPr>
          <w:sz w:val="22"/>
        </w:rPr>
        <w:t>LinUCB uses a deterministic UCB exploration bonus — a confidence interval around the estimated reward. LinTS uses posterior sampling — it draws a sample from the Bayesian posterior and picks the best arm under that sample.</w:t>
      </w:r>
    </w:p>
    <w:p>
      <w:pPr>
        <w:spacing w:before="80" w:after="80"/>
      </w:pPr>
      <w:r>
        <w:rPr>
          <w:sz w:val="22"/>
        </w:rPr>
        <w:t>NeuralUCB and EE-Net are included for context. They relax the linear reward assumption but require much larger datasets and are not viable for our 2,000-record setting.</w:t>
      </w:r>
    </w:p>
    <w:p>
      <w:pPr>
        <w:spacing w:before="80" w:after="80"/>
      </w:pPr>
      <w:r>
        <w:rPr>
          <w:sz w:val="22"/>
        </w:rPr>
        <w:t>Epsilon-Greedy is included as a weaker admissible baseline — it achieves only O of T to the two-thirds regret in the worst case.</w:t>
      </w:r>
    </w:p>
    <w:p/>
    <w:p>
      <w:pPr>
        <w:pStyle w:val="Heading2"/>
      </w:pPr>
      <w:r>
        <w:rPr>
          <w:color w:val="2E74B5"/>
        </w:rPr>
        <w:t>SLIDE 12  ·  SECTION DIVIDER — Methodology &amp; Model Design</w:t>
      </w:r>
    </w:p>
    <w:p>
      <w:pPr>
        <w:spacing w:before="0" w:after="80"/>
      </w:pPr>
      <w:r>
        <w:rPr>
          <w:i/>
          <w:color w:val="707070"/>
          <w:sz w:val="18"/>
        </w:rPr>
        <w:t>Timing: ~5 sec</w:t>
      </w:r>
    </w:p>
    <w:p>
      <w:pPr>
        <w:spacing w:before="80" w:after="80"/>
      </w:pPr>
      <w:r>
        <w:rPr>
          <w:sz w:val="22"/>
        </w:rPr>
        <w:t>Let me now show you the system I built to give Sophea a better answer.</w:t>
      </w:r>
    </w:p>
    <w:p/>
    <w:p>
      <w:pPr>
        <w:pStyle w:val="Heading2"/>
      </w:pPr>
      <w:r>
        <w:rPr>
          <w:color w:val="2E74B5"/>
        </w:rPr>
        <w:t>SLIDE 13  ·  SYSTEM ARCHITECTURE</w:t>
      </w:r>
    </w:p>
    <w:p>
      <w:pPr>
        <w:spacing w:before="0" w:after="80"/>
      </w:pPr>
      <w:r>
        <w:rPr>
          <w:i/>
          <w:color w:val="707070"/>
          <w:sz w:val="18"/>
        </w:rPr>
        <w:t>Timing: ~1.5 min</w:t>
      </w:r>
    </w:p>
    <w:p>
      <w:pPr>
        <w:spacing w:before="80" w:after="80"/>
      </w:pPr>
      <w:r>
        <w:rPr>
          <w:sz w:val="22"/>
        </w:rPr>
        <w:t>[Point to the pipeline diagram left to right.]</w:t>
      </w:r>
    </w:p>
    <w:p>
      <w:pPr>
        <w:spacing w:before="80" w:after="80"/>
      </w:pPr>
      <w:r>
        <w:rPr>
          <w:sz w:val="22"/>
        </w:rPr>
        <w:t>The system is a closed-loop pipeline. An applicant's context vector enters on the left. A bandit policy selects one of four underwriting arms. An actuarial reward simulator returns a profit signal. PSI and HITL guardrails monitor the decision. The final decision goes out on the right — and the reward loops back to update the bandit.</w:t>
      </w:r>
    </w:p>
    <w:p>
      <w:pPr>
        <w:spacing w:before="80" w:after="80"/>
      </w:pPr>
      <w:r>
        <w:rPr>
          <w:sz w:val="22"/>
        </w:rPr>
        <w:t>Five key components:</w:t>
      </w:r>
    </w:p>
    <w:p>
      <w:pPr>
        <w:spacing w:before="80" w:after="80"/>
      </w:pPr>
      <w:r>
        <w:rPr>
          <w:sz w:val="22"/>
        </w:rPr>
        <w:t>One — a 34-dimensional standardised context vector per applicant.</w:t>
      </w:r>
    </w:p>
    <w:p>
      <w:pPr>
        <w:spacing w:before="80" w:after="80"/>
      </w:pPr>
      <w:r>
        <w:rPr>
          <w:sz w:val="22"/>
        </w:rPr>
        <w:t>Two — four underwriting arms: STANDARD, RATED, DECLINE, REFER.</w:t>
      </w:r>
    </w:p>
    <w:p>
      <w:pPr>
        <w:spacing w:before="80" w:after="80"/>
      </w:pPr>
      <w:r>
        <w:rPr>
          <w:sz w:val="22"/>
        </w:rPr>
        <w:t>Three — actuarial simulator returning revenue minus expected claims plus noise of plus-or-minus 8 percent.</w:t>
      </w:r>
    </w:p>
    <w:p>
      <w:pPr>
        <w:spacing w:before="80" w:after="80"/>
      </w:pPr>
      <w:r>
        <w:rPr>
          <w:sz w:val="22"/>
        </w:rPr>
        <w:t>Four — PSI guardrail on a 500-round sliding window.</w:t>
      </w:r>
    </w:p>
    <w:p>
      <w:pPr>
        <w:spacing w:before="80" w:after="80"/>
      </w:pPr>
      <w:r>
        <w:rPr>
          <w:sz w:val="22"/>
        </w:rPr>
        <w:t>Five — HITL wrapper that escalates when the bandit's uncertainty exceeds threshold kappa.</w:t>
      </w:r>
    </w:p>
    <w:p>
      <w:pPr>
        <w:spacing w:before="80" w:after="80"/>
      </w:pPr>
      <w:r>
        <w:rPr>
          <w:sz w:val="22"/>
        </w:rPr>
        <w:t>Every decision feeds back into making the next decision sharper. That is the fundamental difference from the static system.</w:t>
      </w:r>
    </w:p>
    <w:p/>
    <w:p>
      <w:pPr>
        <w:pStyle w:val="Heading2"/>
      </w:pPr>
      <w:r>
        <w:rPr>
          <w:color w:val="2E74B5"/>
        </w:rPr>
        <w:t>SLIDE 14  ·  DATASET &amp; CONTEXT</w:t>
      </w:r>
    </w:p>
    <w:p>
      <w:pPr>
        <w:spacing w:before="0" w:after="80"/>
      </w:pPr>
      <w:r>
        <w:rPr>
          <w:i/>
          <w:color w:val="707070"/>
          <w:sz w:val="18"/>
        </w:rPr>
        <w:t>Timing: ~1.5 min</w:t>
      </w:r>
    </w:p>
    <w:p>
      <w:pPr>
        <w:spacing w:before="80" w:after="80"/>
      </w:pPr>
      <w:r>
        <w:rPr>
          <w:sz w:val="22"/>
        </w:rPr>
        <w:t>Here is how the system sees Sophea: 34 numbers, nothing more.</w:t>
      </w:r>
    </w:p>
    <w:p>
      <w:pPr>
        <w:spacing w:before="80" w:after="80"/>
      </w:pPr>
      <w:r>
        <w:rPr>
          <w:sz w:val="22"/>
        </w:rPr>
        <w:t>[Point to the stat boxes at the top.]</w:t>
      </w:r>
    </w:p>
    <w:p>
      <w:pPr>
        <w:spacing w:before="80" w:after="80"/>
      </w:pPr>
      <w:r>
        <w:rPr>
          <w:sz w:val="22"/>
        </w:rPr>
        <w:t>2,000 synthetic applicants. 34 context features. 4 underwriting arms. 4 real-world anchoring sources.</w:t>
      </w:r>
    </w:p>
    <w:p>
      <w:pPr>
        <w:spacing w:before="80" w:after="80"/>
      </w:pPr>
      <w:r>
        <w:rPr>
          <w:sz w:val="22"/>
        </w:rPr>
        <w:t>[Point to the feature table.]</w:t>
      </w:r>
    </w:p>
    <w:p>
      <w:pPr>
        <w:spacing w:before="80" w:after="80"/>
      </w:pPr>
      <w:r>
        <w:rPr>
          <w:sz w:val="22"/>
        </w:rPr>
        <w:t>The 34 dimensions come from seven feature categories. Demographics and vitals — age, gender, BMI. Lifestyle — smoking, alcohol, exercise. Social determinants — education, wealth, self-rated health. Economic features. Clinical flags — hypertension, diabetes, heart disease, COPD, arthritis, TB, hepatitis B. Region — eight one-hot encoded CDHS macro-regions. Occupation — seven one-hot encoded categories.</w:t>
      </w:r>
    </w:p>
    <w:p>
      <w:pPr>
        <w:spacing w:before="80" w:after="80"/>
      </w:pPr>
      <w:r>
        <w:rPr>
          <w:sz w:val="22"/>
        </w:rPr>
        <w:t>Sophea is represented in this dataset as a vector: age 42, female, BMI 24.1, non-smoker, hypertension flag on, Kampong Cham indicator on, agriculture indicator on, and twenty-seven more features. The static system saw two of those features. The bandit sees all 34.</w:t>
      </w:r>
    </w:p>
    <w:p/>
    <w:p>
      <w:pPr>
        <w:pStyle w:val="Heading2"/>
      </w:pPr>
      <w:r>
        <w:rPr>
          <w:color w:val="2E74B5"/>
        </w:rPr>
        <w:t>SLIDE 15  ·  ACTUARIAL REWARD SIMULATOR (TABLE 8)</w:t>
      </w:r>
    </w:p>
    <w:p>
      <w:pPr>
        <w:spacing w:before="0" w:after="80"/>
      </w:pPr>
      <w:r>
        <w:rPr>
          <w:i/>
          <w:color w:val="707070"/>
          <w:sz w:val="18"/>
        </w:rPr>
        <w:t>Timing: ~1.5 min</w:t>
      </w:r>
    </w:p>
    <w:p>
      <w:pPr>
        <w:spacing w:before="80" w:after="80"/>
      </w:pPr>
      <w:r>
        <w:rPr>
          <w:sz w:val="22"/>
        </w:rPr>
        <w:t>[Point to the reward formula at the top.]</w:t>
      </w:r>
    </w:p>
    <w:p>
      <w:pPr>
        <w:spacing w:before="80" w:after="80"/>
      </w:pPr>
      <w:r>
        <w:rPr>
          <w:sz w:val="22"/>
        </w:rPr>
        <w:t>Reward equals premium revenue minus expected claims, with noise of plus-or-minus 8 percent. The adverse-selection factor of 1.35 applies when the risk multiplier exceeds 2.0 — this penalises overloading high-risk applicants who then drop out of the pool.</w:t>
      </w:r>
    </w:p>
    <w:p>
      <w:pPr>
        <w:spacing w:before="80" w:after="80"/>
      </w:pPr>
      <w:r>
        <w:rPr>
          <w:sz w:val="22"/>
        </w:rPr>
        <w:t>[Point to the table rows.]</w:t>
      </w:r>
    </w:p>
    <w:p>
      <w:pPr>
        <w:spacing w:before="80" w:after="80"/>
      </w:pPr>
      <w:r>
        <w:rPr>
          <w:sz w:val="22"/>
        </w:rPr>
        <w:t>STANDARD: accept at standard premium. Positive net reward for a correctly priced risk. Sophea at STANDARD earns a healthy actuarial margin.</w:t>
      </w:r>
    </w:p>
    <w:p>
      <w:pPr>
        <w:spacing w:before="80" w:after="80"/>
      </w:pPr>
      <w:r>
        <w:rPr>
          <w:sz w:val="22"/>
        </w:rPr>
        <w:t>RATED: accept with a 25 percent loading. Higher revenue, but elastic demand penalises over-charging healthy applicants. The slope is negative 3.5.</w:t>
      </w:r>
    </w:p>
    <w:p>
      <w:pPr>
        <w:spacing w:before="80" w:after="80"/>
      </w:pPr>
      <w:r>
        <w:rPr>
          <w:sz w:val="22"/>
        </w:rPr>
        <w:t>DECLINE: reject. Zero premium revenue. The penalty of minus $10 captures the opportunity cost of refusing a viable applicant.</w:t>
      </w:r>
    </w:p>
    <w:p>
      <w:pPr>
        <w:spacing w:before="80" w:after="80"/>
      </w:pPr>
      <w:r>
        <w:rPr>
          <w:sz w:val="22"/>
        </w:rPr>
        <w:t>REFER: escalate to human. Deferred reward — 70 percent of the best available arm, minus $35 review cost. This incentivises selective escalation, not blanket referral.</w:t>
      </w:r>
    </w:p>
    <w:p/>
    <w:p>
      <w:pPr>
        <w:pStyle w:val="Heading2"/>
      </w:pPr>
      <w:r>
        <w:rPr>
          <w:color w:val="2E74B5"/>
        </w:rPr>
        <w:t>SLIDE 16  ·  BANDIT IN ACTION: SOPHEA'S CONTEXT &amp; ARM SCORES</w:t>
      </w:r>
    </w:p>
    <w:p>
      <w:pPr>
        <w:spacing w:before="0" w:after="80"/>
      </w:pPr>
      <w:r>
        <w:rPr>
          <w:i/>
          <w:color w:val="707070"/>
          <w:sz w:val="18"/>
        </w:rPr>
        <w:t>Timing: ~1.5 min</w:t>
      </w:r>
    </w:p>
    <w:p>
      <w:pPr>
        <w:spacing w:before="80" w:after="80"/>
      </w:pPr>
      <w:r>
        <w:rPr>
          <w:sz w:val="22"/>
        </w:rPr>
        <w:t>Step one: Sophea's vector enters the bandit.</w:t>
      </w:r>
    </w:p>
    <w:p>
      <w:pPr>
        <w:spacing w:before="80" w:after="80"/>
      </w:pPr>
      <w:r>
        <w:rPr>
          <w:sz w:val="22"/>
        </w:rPr>
        <w:t>[Point to the left feature list.]</w:t>
      </w:r>
    </w:p>
    <w:p>
      <w:pPr>
        <w:spacing w:before="80" w:after="80"/>
      </w:pPr>
      <w:r>
        <w:rPr>
          <w:sz w:val="22"/>
        </w:rPr>
        <w:t>`age_std=0.3, bmi_std=−0.1, smoker=0, hypertension=1, kampong_cham=1, agriculture=1` — and twenty-eight more standardised features. This 34-dimensional vector is the bandit's complete and only view of Sophea. No underwriter notes. No prior history.</w:t>
      </w:r>
    </w:p>
    <w:p>
      <w:pPr>
        <w:spacing w:before="80" w:after="80"/>
      </w:pPr>
      <w:r>
        <w:rPr>
          <w:sz w:val="22"/>
        </w:rPr>
        <w:t>[Point to the LinUCB formula on the right.]</w:t>
      </w:r>
    </w:p>
    <w:p>
      <w:pPr>
        <w:spacing w:before="80" w:after="80"/>
      </w:pPr>
      <w:r>
        <w:rPr>
          <w:sz w:val="22"/>
        </w:rPr>
        <w:t>The LinUCB arm score formula: theta-hat transposed Sophea's vector, plus alpha times the square root of her vector transposed A-inverse her vector. The second term is the exploration bonus — large early in training when A is sparse, shrinking as the gram matrix fills in.</w:t>
      </w:r>
    </w:p>
    <w:p>
      <w:pPr>
        <w:spacing w:before="80" w:after="80"/>
      </w:pPr>
      <w:r>
        <w:rPr>
          <w:sz w:val="22"/>
        </w:rPr>
        <w:t>The bandit computes this score for each of the four arms — RATED, STANDARD, DECLINE, REFER — and takes the argmax.</w:t>
      </w:r>
    </w:p>
    <w:p/>
    <w:p>
      <w:pPr>
        <w:pStyle w:val="Heading2"/>
      </w:pPr>
      <w:r>
        <w:rPr>
          <w:color w:val="2E74B5"/>
        </w:rPr>
        <w:t>SLIDE 17  ·  POLICY LADDER: CUMULATIVE REWARD OVER 5,000 ROUNDS</w:t>
      </w:r>
    </w:p>
    <w:p>
      <w:pPr>
        <w:spacing w:before="0" w:after="80"/>
      </w:pPr>
      <w:r>
        <w:rPr>
          <w:i/>
          <w:color w:val="707070"/>
          <w:sz w:val="18"/>
        </w:rPr>
        <w:t>Timing: ~2 min</w:t>
      </w:r>
    </w:p>
    <w:p>
      <w:pPr>
        <w:spacing w:before="80" w:after="80"/>
      </w:pPr>
      <w:r>
        <w:rPr>
          <w:sz w:val="22"/>
        </w:rPr>
        <w:t>[Point to the argmax banner at the top.]</w:t>
      </w:r>
    </w:p>
    <w:p>
      <w:pPr>
        <w:spacing w:before="80" w:after="80"/>
      </w:pPr>
      <w:r>
        <w:rPr>
          <w:sz w:val="22"/>
        </w:rPr>
        <w:t>ArgMax = STANDARD (0.52). The bandit gives Sophea the right answer.</w:t>
      </w:r>
    </w:p>
    <w:p>
      <w:pPr>
        <w:spacing w:before="80" w:after="80"/>
      </w:pPr>
      <w:r>
        <w:rPr>
          <w:sz w:val="22"/>
        </w:rPr>
        <w:t>After sufficient training, the computed arm values for Sophea are: RATED 0.31, STANDARD 0.52, DECLINE 0.10, REFER 0.28. The STANDARD arm wins by a clear margin. The system issues coverage at the correct actuarial price.</w:t>
      </w:r>
    </w:p>
    <w:p>
      <w:pPr>
        <w:spacing w:before="80" w:after="80"/>
      </w:pPr>
      <w:r>
        <w:rPr>
          <w:sz w:val="22"/>
        </w:rPr>
        <w:t>[Point to the policy ladder table.]</w:t>
      </w:r>
    </w:p>
    <w:p>
      <w:pPr>
        <w:spacing w:before="80" w:after="80"/>
      </w:pPr>
      <w:r>
        <w:rPr>
          <w:sz w:val="22"/>
        </w:rPr>
        <w:t>Here is the full policy ladder across 5,000 rounds. Oracle — the theoretically perfect policy — earns $126,804. That is the ceiling.</w:t>
      </w:r>
    </w:p>
    <w:p>
      <w:pPr>
        <w:spacing w:before="80" w:after="80"/>
      </w:pPr>
      <w:r>
        <w:rPr>
          <w:sz w:val="22"/>
        </w:rPr>
        <w:t>LinTS earns $93,723 at plus 29.8 percent over Static XGB. LinUCB earns $91,864 at plus 27.2 percent. Epsilon-Greedy earns $76,441. Static XGB — the system that declined Sophea — earns $72,206.</w:t>
      </w:r>
    </w:p>
    <w:p>
      <w:pPr>
        <w:spacing w:before="80" w:after="80"/>
      </w:pPr>
      <w:r>
        <w:rPr>
          <w:sz w:val="22"/>
        </w:rPr>
        <w:t>[Point to the note at the bottom.]</w:t>
      </w:r>
    </w:p>
    <w:p>
      <w:pPr>
        <w:spacing w:before="80" w:after="80"/>
      </w:pPr>
      <w:r>
        <w:rPr>
          <w:sz w:val="22"/>
        </w:rPr>
        <w:t>AlwaysRATED earns $122,287 — between Oracle and LinTS. This is reported honestly in the note: commercially and regulatorily inadmissible. It cannot be deployed. The admissible comparison is LinUCB versus Static XGB.</w:t>
      </w:r>
    </w:p>
    <w:p/>
    <w:p>
      <w:pPr>
        <w:pStyle w:val="Heading2"/>
      </w:pPr>
      <w:r>
        <w:rPr>
          <w:color w:val="2E74B5"/>
        </w:rPr>
        <w:t>SLIDE 18  ·  PSI FAIRNESS GUARDRAIL</w:t>
      </w:r>
    </w:p>
    <w:p>
      <w:pPr>
        <w:spacing w:before="0" w:after="80"/>
      </w:pPr>
      <w:r>
        <w:rPr>
          <w:i/>
          <w:color w:val="707070"/>
          <w:sz w:val="18"/>
        </w:rPr>
        <w:t>Timing: ~1.5 min</w:t>
      </w:r>
    </w:p>
    <w:p>
      <w:pPr>
        <w:spacing w:before="80" w:after="80"/>
      </w:pPr>
      <w:r>
        <w:rPr>
          <w:sz w:val="22"/>
        </w:rPr>
        <w:t>[Point to the traffic-light zones.]</w:t>
      </w:r>
    </w:p>
    <w:p>
      <w:pPr>
        <w:spacing w:before="80" w:after="80"/>
      </w:pPr>
      <w:r>
        <w:rPr>
          <w:sz w:val="22"/>
        </w:rPr>
        <w:t>The PSI guardrail monitors the approved-portfolio distribution against the applicant population on a rolling 500-round window — separately for region and occupation.</w:t>
      </w:r>
    </w:p>
    <w:p>
      <w:pPr>
        <w:spacing w:before="80" w:after="80"/>
      </w:pPr>
      <w:r>
        <w:rPr>
          <w:sz w:val="22"/>
        </w:rPr>
        <w:t>PSI equals the sum over each segment of: actual approval percentage minus expected percentage, times the natural log of actual over expected. This follows Siddiqi 2006, validated by Yurdakul and Naranjo 2020.</w:t>
      </w:r>
    </w:p>
    <w:p>
      <w:pPr>
        <w:spacing w:before="80" w:after="80"/>
      </w:pPr>
      <w:r>
        <w:rPr>
          <w:sz w:val="22"/>
        </w:rPr>
        <w:t>GREEN below 0.10 — no significant shift, policy is stable.</w:t>
      </w:r>
    </w:p>
    <w:p>
      <w:pPr>
        <w:spacing w:before="80" w:after="80"/>
      </w:pPr>
      <w:r>
        <w:rPr>
          <w:sz w:val="22"/>
        </w:rPr>
        <w:t>AMBER 0.10 to 0.25 — moderate shift, monitor closely, flag for review.</w:t>
      </w:r>
    </w:p>
    <w:p>
      <w:pPr>
        <w:spacing w:before="80" w:after="80"/>
      </w:pPr>
      <w:r>
        <w:rPr>
          <w:sz w:val="22"/>
        </w:rPr>
        <w:t>RED above 0.25 — major shift, halt or recalibrate the bandit, escalate to compliance.</w:t>
      </w:r>
    </w:p>
    <w:p>
      <w:pPr>
        <w:spacing w:before="80" w:after="80"/>
      </w:pPr>
      <w:r>
        <w:rPr>
          <w:sz w:val="22"/>
        </w:rPr>
        <w:t>The EXP-006 result: LinUCB sits GREEN on all 8 regions and 7 occupations across 20 seeds. Mean PSI 0.042 for region and 0.037 for occupation. Sophea's Kampong Cham region PSI: 0.082 — GREEN. Her occupation category PSI max: 0.123 — AMBER, in the monitor zone, below RED.</w:t>
      </w:r>
    </w:p>
    <w:p/>
    <w:p>
      <w:pPr>
        <w:pStyle w:val="Heading2"/>
      </w:pPr>
      <w:r>
        <w:rPr>
          <w:color w:val="2E74B5"/>
        </w:rPr>
        <w:t>SLIDE 19  ·  HUMAN-IN-THE-LOOP (HITL) WRAPPER</w:t>
      </w:r>
    </w:p>
    <w:p>
      <w:pPr>
        <w:spacing w:before="0" w:after="80"/>
      </w:pPr>
      <w:r>
        <w:rPr>
          <w:i/>
          <w:color w:val="707070"/>
          <w:sz w:val="18"/>
        </w:rPr>
        <w:t>Timing: ~1.5 min</w:t>
      </w:r>
    </w:p>
    <w:p>
      <w:pPr>
        <w:spacing w:before="80" w:after="80"/>
      </w:pPr>
      <w:r>
        <w:rPr>
          <w:sz w:val="22"/>
        </w:rPr>
        <w:t>[Point to the four-step loop on the left.]</w:t>
      </w:r>
    </w:p>
    <w:p>
      <w:pPr>
        <w:spacing w:before="80" w:after="80"/>
      </w:pPr>
      <w:r>
        <w:rPr>
          <w:sz w:val="22"/>
        </w:rPr>
        <w:t>The HITL wrapper adds a safety layer on top of the bandit.</w:t>
      </w:r>
    </w:p>
    <w:p>
      <w:pPr>
        <w:spacing w:before="80" w:after="80"/>
      </w:pPr>
      <w:r>
        <w:rPr>
          <w:sz w:val="22"/>
        </w:rPr>
        <w:t>Step 1: the bandit selects an arm as usual. Step 2: if the margin between the best and second-best arm score is below threshold kappa of 0.7 — the system is genuinely uncertain — the case is escalated to REFER. Step 3: a human actuary reviews the full context and makes the final call. Step 4: the system performs a dual update — updating both the selected arm on the human label, and penalising the REFER arm to prevent over-selection.</w:t>
      </w:r>
    </w:p>
    <w:p>
      <w:pPr>
        <w:spacing w:before="80" w:after="80"/>
      </w:pPr>
      <w:r>
        <w:rPr>
          <w:sz w:val="22"/>
        </w:rPr>
        <w:t>[Point to the gotcha card on the right.]</w:t>
      </w:r>
    </w:p>
    <w:p>
      <w:pPr>
        <w:spacing w:before="80" w:after="80"/>
      </w:pPr>
      <w:r>
        <w:rPr>
          <w:sz w:val="22"/>
        </w:rPr>
        <w:t>The dual update is critical. Without it, REFER accumulates reward without cost, creating an over-selection spiral. This was an implementation gotcha discovered during EXP-008 development.</w:t>
      </w:r>
    </w:p>
    <w:p>
      <w:pPr>
        <w:spacing w:before="80" w:after="80"/>
      </w:pPr>
      <w:r>
        <w:rPr>
          <w:sz w:val="22"/>
        </w:rPr>
        <w:t>The headline result: plus 6.5 percent reward gain over vanilla bandit, at a review rate of only 1.5 percent. 75 applications reviewed out of 5,000. That is the value of targeted human judgment.</w:t>
      </w:r>
    </w:p>
    <w:p/>
    <w:p>
      <w:pPr>
        <w:pStyle w:val="Heading2"/>
      </w:pPr>
      <w:r>
        <w:rPr>
          <w:color w:val="2E74B5"/>
        </w:rPr>
        <w:t>SLIDE 20  ·  EXPERIMENTAL DESIGN</w:t>
      </w:r>
    </w:p>
    <w:p>
      <w:pPr>
        <w:spacing w:before="0" w:after="80"/>
      </w:pPr>
      <w:r>
        <w:rPr>
          <w:i/>
          <w:color w:val="707070"/>
          <w:sz w:val="18"/>
        </w:rPr>
        <w:t>Timing: ~1.5 min</w:t>
      </w:r>
    </w:p>
    <w:p>
      <w:pPr>
        <w:spacing w:before="80" w:after="80"/>
      </w:pPr>
      <w:r>
        <w:rPr>
          <w:sz w:val="22"/>
        </w:rPr>
        <w:t>[Point to the statistics protocol banner.]</w:t>
      </w:r>
    </w:p>
    <w:p>
      <w:pPr>
        <w:spacing w:before="80" w:after="80"/>
      </w:pPr>
      <w:r>
        <w:rPr>
          <w:sz w:val="22"/>
        </w:rPr>
        <w:t>Every experiment follows the same rigorous protocol: 20 independent seeds, bootstrap 95 percent confidence intervals, paired Wilcoxon signed-rank tests, Bonferroni correction for multiple comparisons, and Cohen's d effect sizes.</w:t>
      </w:r>
    </w:p>
    <w:p>
      <w:pPr>
        <w:spacing w:before="80" w:after="80"/>
      </w:pPr>
      <w:r>
        <w:rPr>
          <w:sz w:val="22"/>
        </w:rPr>
        <w:t>[Point to the experiment table.]</w:t>
      </w:r>
    </w:p>
    <w:p>
      <w:pPr>
        <w:spacing w:before="80" w:after="80"/>
      </w:pPr>
      <w:r>
        <w:rPr>
          <w:sz w:val="22"/>
        </w:rPr>
        <w:t>Nine experiments in total.</w:t>
      </w:r>
    </w:p>
    <w:p>
      <w:pPr>
        <w:spacing w:before="80" w:after="80"/>
      </w:pPr>
      <w:r>
        <w:rPr>
          <w:sz w:val="22"/>
        </w:rPr>
        <w:t>EXP-005 is the primary pre-registered test — LinUCB versus Static XGB over 5,000 rounds, 20 seeds. This is the experiment that answers RQ1.</w:t>
      </w:r>
    </w:p>
    <w:p>
      <w:pPr>
        <w:spacing w:before="80" w:after="80"/>
      </w:pPr>
      <w:r>
        <w:rPr>
          <w:sz w:val="22"/>
        </w:rPr>
        <w:t>EXP-006 runs the six fairness criteria — PSI plus EEOC four-fifths rule — answering RQ2.</w:t>
      </w:r>
    </w:p>
    <w:p>
      <w:pPr>
        <w:spacing w:before="80" w:after="80"/>
      </w:pPr>
      <w:r>
        <w:rPr>
          <w:sz w:val="22"/>
        </w:rPr>
        <w:t>EXP-007 is the full benchmark ladder using Common Random Numbers for variance reduction.</w:t>
      </w:r>
    </w:p>
    <w:p>
      <w:pPr>
        <w:spacing w:before="80" w:after="80"/>
      </w:pPr>
      <w:r>
        <w:rPr>
          <w:sz w:val="22"/>
        </w:rPr>
        <w:t>EXP-008 to EXP-015 cover HITL, drift adaptation, cold start, ablation, regret bound validation, and drift rescue — progressively interrogating the system's boundaries.</w:t>
      </w:r>
    </w:p>
    <w:p/>
    <w:p>
      <w:pPr>
        <w:pStyle w:val="Heading2"/>
      </w:pPr>
      <w:r>
        <w:rPr>
          <w:color w:val="2E74B5"/>
        </w:rPr>
        <w:t>SLIDE 21  ·  SECTION DIVIDER — Results &amp; Evaluation</w:t>
      </w:r>
    </w:p>
    <w:p>
      <w:pPr>
        <w:spacing w:before="0" w:after="80"/>
      </w:pPr>
      <w:r>
        <w:rPr>
          <w:i/>
          <w:color w:val="707070"/>
          <w:sz w:val="18"/>
        </w:rPr>
        <w:t>Timing: ~5 sec</w:t>
      </w:r>
    </w:p>
    <w:p>
      <w:pPr>
        <w:spacing w:before="80" w:after="80"/>
      </w:pPr>
      <w:r>
        <w:rPr>
          <w:sz w:val="22"/>
        </w:rPr>
        <w:t>Let me now tell you what the system actually did — including what it got right, what it got wrong, and what I reported honestly either way.</w:t>
      </w:r>
    </w:p>
    <w:p/>
    <w:p>
      <w:pPr>
        <w:pStyle w:val="Heading2"/>
      </w:pPr>
      <w:r>
        <w:rPr>
          <w:color w:val="2E74B5"/>
        </w:rPr>
        <w:t>SLIDE 22  ·  THE BASELINE LADDER</w:t>
      </w:r>
    </w:p>
    <w:p>
      <w:pPr>
        <w:spacing w:before="0" w:after="80"/>
      </w:pPr>
      <w:r>
        <w:rPr>
          <w:i/>
          <w:color w:val="707070"/>
          <w:sz w:val="18"/>
        </w:rPr>
        <w:t>Timing: ~2 min</w:t>
      </w:r>
    </w:p>
    <w:p>
      <w:pPr>
        <w:spacing w:before="80" w:after="80"/>
      </w:pPr>
      <w:r>
        <w:rPr>
          <w:sz w:val="22"/>
        </w:rPr>
        <w:t>[Point to the full ladder table.]</w:t>
      </w:r>
    </w:p>
    <w:p>
      <w:pPr>
        <w:spacing w:before="80" w:after="80"/>
      </w:pPr>
      <w:r>
        <w:rPr>
          <w:sz w:val="22"/>
        </w:rPr>
        <w:t>This is the complete baseline ladder across 20 seeds. Oracle sits at $126,804 — the theoretical ceiling. LinTS at $93,723. LinUCB at $91,864. Both are highlighted in green as our proposed admissible policies.</w:t>
      </w:r>
    </w:p>
    <w:p>
      <w:pPr>
        <w:spacing w:before="80" w:after="80"/>
      </w:pPr>
      <w:r>
        <w:rPr>
          <w:sz w:val="22"/>
        </w:rPr>
        <w:t>[Point to the AlwaysRATED row.]</w:t>
      </w:r>
    </w:p>
    <w:p>
      <w:pPr>
        <w:spacing w:before="80" w:after="80"/>
      </w:pPr>
      <w:r>
        <w:rPr>
          <w:sz w:val="22"/>
        </w:rPr>
        <w:t>I want to be direct about this number — $122,287. AlwaysRATED beats both bandits. I report this honestly. AlwaysRATED is inadmissible: no Cambodian insurer can apply a blanket 25% surcharge to every applicant regardless of risk. Our claim is scoped to admissible policies. Among those, bandits rank first and second.</w:t>
      </w:r>
    </w:p>
    <w:p>
      <w:pPr>
        <w:spacing w:before="80" w:after="80"/>
      </w:pPr>
      <w:r>
        <w:rPr>
          <w:sz w:val="22"/>
        </w:rPr>
        <w:t>That +25.2% is the gap between 2023 Sophea and 2026 Sophea — between the static system that declined her and the bandit that learned to see her correctly.</w:t>
      </w:r>
    </w:p>
    <w:p>
      <w:pPr>
        <w:spacing w:before="80" w:after="80"/>
      </w:pPr>
      <w:r>
        <w:rPr>
          <w:sz w:val="22"/>
        </w:rPr>
        <w:t>Two additional points of transparency:</w:t>
      </w:r>
    </w:p>
    <w:p>
      <w:pPr>
        <w:spacing w:before="80" w:after="80"/>
      </w:pPr>
      <w:r>
        <w:rPr>
          <w:sz w:val="22"/>
        </w:rPr>
        <w:t>LinTS versus LinUCB: p equals 0.87. They are statistically tied at the top of the admissible set. I do not claim one beats the other.</w:t>
      </w:r>
    </w:p>
    <w:p>
      <w:pPr>
        <w:spacing w:before="80" w:after="80"/>
      </w:pPr>
      <w:r>
        <w:rPr>
          <w:sz w:val="22"/>
        </w:rPr>
        <w:t>AlwaysSTANDARD earns only $34,684 — well below Static XGB. A naive all-approve policy is not the answer.</w:t>
      </w:r>
    </w:p>
    <w:p/>
    <w:p>
      <w:pPr>
        <w:pStyle w:val="Heading2"/>
      </w:pPr>
      <w:r>
        <w:rPr>
          <w:color w:val="2E74B5"/>
        </w:rPr>
        <w:t>SLIDE 23  ·  EXP-005: CONVERGENCE VALIDATION</w:t>
      </w:r>
    </w:p>
    <w:p>
      <w:pPr>
        <w:spacing w:before="0" w:after="80"/>
      </w:pPr>
      <w:r>
        <w:rPr>
          <w:i/>
          <w:color w:val="707070"/>
          <w:sz w:val="18"/>
        </w:rPr>
        <w:t>Timing: ~1.5 min</w:t>
      </w:r>
    </w:p>
    <w:p>
      <w:pPr>
        <w:spacing w:before="80" w:after="80"/>
      </w:pPr>
      <w:r>
        <w:rPr>
          <w:sz w:val="22"/>
        </w:rPr>
        <w:t>[Point to the metrics on the left.]</w:t>
      </w:r>
    </w:p>
    <w:p>
      <w:pPr>
        <w:spacing w:before="80" w:after="80"/>
      </w:pPr>
      <w:r>
        <w:rPr>
          <w:sz w:val="22"/>
        </w:rPr>
        <w:t>EXP-005 is the pre-registered primary experiment. Paired Wilcoxon test across 20 independent seeds, LinUCB versus Static XGB.</w:t>
      </w:r>
    </w:p>
    <w:p>
      <w:pPr>
        <w:spacing w:before="80" w:after="80"/>
      </w:pPr>
      <w:r>
        <w:rPr>
          <w:sz w:val="22"/>
        </w:rPr>
        <w:t>LinUCB cumulative reward: $90,540 plus-or-minus $5,382, 95 percent CI [88,287 – 92,886]. Static XGB: $72,292 plus-or-minus $4,120, CI [70,646 – 74,136].</w:t>
      </w:r>
    </w:p>
    <w:p>
      <w:pPr>
        <w:spacing w:before="80" w:after="80"/>
      </w:pPr>
      <w:r>
        <w:rPr>
          <w:sz w:val="22"/>
        </w:rPr>
        <w:t>Improvement: plus $18,248 — that is +25.2%. Cohen's d equals 2.98. P less than 0.001.</w:t>
      </w:r>
    </w:p>
    <w:p>
      <w:pPr>
        <w:spacing w:before="80" w:after="80"/>
      </w:pPr>
      <w:r>
        <w:rPr>
          <w:sz w:val="22"/>
        </w:rPr>
        <w:t>[Point to the bottom banner.]</w:t>
      </w:r>
    </w:p>
    <w:p>
      <w:pPr>
        <w:spacing w:before="80" w:after="80"/>
      </w:pPr>
      <w:r>
        <w:rPr>
          <w:sz w:val="22"/>
        </w:rPr>
        <w:t>+25.2% is the gap between 2023 Sophea and 2026 Sophea — between the system that declined her and the bandit that learned to price her correctly.</w:t>
      </w:r>
    </w:p>
    <w:p>
      <w:pPr>
        <w:spacing w:before="80" w:after="80"/>
      </w:pPr>
      <w:r>
        <w:rPr>
          <w:sz w:val="22"/>
        </w:rPr>
        <w:t>[Point to the convergence panel on the right.]</w:t>
      </w:r>
    </w:p>
    <w:p>
      <w:pPr>
        <w:spacing w:before="80" w:after="80"/>
      </w:pPr>
      <w:r>
        <w:rPr>
          <w:sz w:val="22"/>
        </w:rPr>
        <w:t>The convergence indicators confirm the learning is genuine. Action entropy drops from 1.314 to 1.105 nats — exploration giving way to exploitation. Oracle-agreement in the last 500 rounds reaches 37.8 percent. And the regret curve follows O of root-T — log-log slope 0.572, R-squared 0.9915. All five EXP-005 criteria: PASSED.</w:t>
      </w:r>
    </w:p>
    <w:p/>
    <w:p>
      <w:pPr>
        <w:pStyle w:val="Heading2"/>
      </w:pPr>
      <w:r>
        <w:rPr>
          <w:color w:val="2E74B5"/>
        </w:rPr>
        <w:t>SLIDE 24  ·  EXP-006: FAIRNESS AUDIT</w:t>
      </w:r>
    </w:p>
    <w:p>
      <w:pPr>
        <w:spacing w:before="0" w:after="80"/>
      </w:pPr>
      <w:r>
        <w:rPr>
          <w:i/>
          <w:color w:val="707070"/>
          <w:sz w:val="18"/>
        </w:rPr>
        <w:t>Timing: ~2 min</w:t>
      </w:r>
    </w:p>
    <w:p>
      <w:pPr>
        <w:spacing w:before="80" w:after="80"/>
      </w:pPr>
      <w:r>
        <w:rPr>
          <w:sz w:val="22"/>
        </w:rPr>
        <w:t>The fairness audit evaluates six pre-registered criteria. Five passed. One failed — and I want to address that failure directly.</w:t>
      </w:r>
    </w:p>
    <w:p>
      <w:pPr>
        <w:spacing w:before="80" w:after="80"/>
      </w:pPr>
      <w:r>
        <w:rPr>
          <w:sz w:val="22"/>
        </w:rPr>
        <w:t>[Point to the six criterion cards.]</w:t>
      </w:r>
    </w:p>
    <w:p>
      <w:pPr>
        <w:spacing w:before="80" w:after="80"/>
      </w:pPr>
      <w:r>
        <w:rPr>
          <w:sz w:val="22"/>
        </w:rPr>
        <w:t>Region PSI: 0.082 — GREEN. Occupation PSI: 0.123 — AMBER, in the monitor zone but below RED. Region parity at 85.72 percent — above the 80 percent four-fifths threshold. Occupation parity at 90.12 percent — also above 80 percent. Region permutation test: p equals 0.132 — no significant association.</w:t>
      </w:r>
    </w:p>
    <w:p>
      <w:pPr>
        <w:spacing w:before="80" w:after="80"/>
      </w:pPr>
      <w:r>
        <w:rPr>
          <w:sz w:val="22"/>
        </w:rPr>
        <w:t>[Point to the amber Criterion 6 card.]</w:t>
      </w:r>
    </w:p>
    <w:p>
      <w:pPr>
        <w:spacing w:before="80" w:after="80"/>
      </w:pPr>
      <w:r>
        <w:rPr>
          <w:sz w:val="22"/>
        </w:rPr>
        <w:t>Criterion 6 — occupation-to-action independence — FAILED, p less than 0.001. The system's decisions are statistically associated with occupation.</w:t>
      </w:r>
    </w:p>
    <w:p>
      <w:pPr>
        <w:spacing w:before="80" w:after="80"/>
      </w:pPr>
      <w:r>
        <w:rPr>
          <w:sz w:val="22"/>
        </w:rPr>
        <w:t>My interpretation: occupation is an actuarially valid risk factor. Rice farmers, garment workers, and office workers carry genuinely different health risk profiles. The association is statistically significant but practically small — no regulatory threshold is breached. I call this FAILED-with-interpretation. I stand by that verdict. PSI is a monitor, not an enforcer — constrained-action guardrails are future work.</w:t>
      </w:r>
    </w:p>
    <w:p/>
    <w:p>
      <w:pPr>
        <w:pStyle w:val="Heading2"/>
      </w:pPr>
      <w:r>
        <w:rPr>
          <w:color w:val="2E74B5"/>
        </w:rPr>
        <w:t>SLIDE 25  ·  EXP-007: BENCHMARK COMPARISON (CRN)</w:t>
      </w:r>
    </w:p>
    <w:p>
      <w:pPr>
        <w:spacing w:before="0" w:after="80"/>
      </w:pPr>
      <w:r>
        <w:rPr>
          <w:i/>
          <w:color w:val="707070"/>
          <w:sz w:val="18"/>
        </w:rPr>
        <w:t>Timing: ~1.5 min</w:t>
      </w:r>
    </w:p>
    <w:p>
      <w:pPr>
        <w:spacing w:before="80" w:after="80"/>
      </w:pPr>
      <w:r>
        <w:rPr>
          <w:sz w:val="22"/>
        </w:rPr>
        <w:t>EXP-007 uses the CRN — Common Random Numbers — harness for variance reduction. All policies run on the same sequence of applicant draws, making comparisons sharper.</w:t>
      </w:r>
    </w:p>
    <w:p>
      <w:pPr>
        <w:spacing w:before="80" w:after="80"/>
      </w:pPr>
      <w:r>
        <w:rPr>
          <w:sz w:val="22"/>
        </w:rPr>
        <w:t>[Point to the left table.]</w:t>
      </w:r>
    </w:p>
    <w:p>
      <w:pPr>
        <w:spacing w:before="80" w:after="80"/>
      </w:pPr>
      <w:r>
        <w:rPr>
          <w:sz w:val="22"/>
        </w:rPr>
        <w:t>AlwaysRATED leads at $122,287 — as expected and reported honestly. LinTS at $93,723. LinUCB at $91,864. Epsilon-Greedy at $76,441. Static XGB at $72,206.</w:t>
      </w:r>
    </w:p>
    <w:p>
      <w:pPr>
        <w:spacing w:before="80" w:after="80"/>
      </w:pPr>
      <w:r>
        <w:rPr>
          <w:sz w:val="22"/>
        </w:rPr>
        <w:t>[Point to the pairwise comparison cards on the right.]</w:t>
      </w:r>
    </w:p>
    <w:p>
      <w:pPr>
        <w:spacing w:before="80" w:after="80"/>
      </w:pPr>
      <w:r>
        <w:rPr>
          <w:sz w:val="22"/>
        </w:rPr>
        <w:t>LinTS versus LinUCB: p equals 0.87, d equals 0.26 — TIED. They are statistically indistinguishable at the top of the admissible set.</w:t>
      </w:r>
    </w:p>
    <w:p>
      <w:pPr>
        <w:spacing w:before="80" w:after="80"/>
      </w:pPr>
      <w:r>
        <w:rPr>
          <w:sz w:val="22"/>
        </w:rPr>
        <w:t>LinUCB versus Static XGB: minus $19,774 regret, p less than 0.001, d equals negative 3.41 — WIN.</w:t>
      </w:r>
    </w:p>
    <w:p>
      <w:pPr>
        <w:spacing w:before="80" w:after="80"/>
      </w:pPr>
      <w:r>
        <w:rPr>
          <w:sz w:val="22"/>
        </w:rPr>
        <w:t>LinTS versus Static XGB: minus $21,400 regret, p less than 0.001, d equals negative 3.89 — WIN.</w:t>
      </w:r>
    </w:p>
    <w:p>
      <w:pPr>
        <w:spacing w:before="80" w:after="80"/>
      </w:pPr>
      <w:r>
        <w:rPr>
          <w:sz w:val="22"/>
        </w:rPr>
        <w:t>Two coexisting findings: adaptive bandits decisively beat the frozen static rule. And the trivial constant AlwaysRATED still beats all bandits — honestly reported.</w:t>
      </w:r>
    </w:p>
    <w:p/>
    <w:p>
      <w:pPr>
        <w:pStyle w:val="Heading2"/>
      </w:pPr>
      <w:r>
        <w:rPr>
          <w:color w:val="2E74B5"/>
        </w:rPr>
        <w:t>SLIDE 26  ·  EXP-008: HUMAN-IN-THE-LOOP</w:t>
      </w:r>
    </w:p>
    <w:p>
      <w:pPr>
        <w:spacing w:before="0" w:after="80"/>
      </w:pPr>
      <w:r>
        <w:rPr>
          <w:i/>
          <w:color w:val="707070"/>
          <w:sz w:val="18"/>
        </w:rPr>
        <w:t>Timing: ~1.5 min</w:t>
      </w:r>
    </w:p>
    <w:p>
      <w:pPr>
        <w:spacing w:before="80" w:after="80"/>
      </w:pPr>
      <w:r>
        <w:rPr>
          <w:sz w:val="22"/>
        </w:rPr>
        <w:t>[Point to the key metrics.]</w:t>
      </w:r>
    </w:p>
    <w:p>
      <w:pPr>
        <w:spacing w:before="80" w:after="80"/>
      </w:pPr>
      <w:r>
        <w:rPr>
          <w:sz w:val="22"/>
        </w:rPr>
        <w:t>EXP-008 evaluates the HITL wrapper with kappa of 0.7 — the headline setting.</w:t>
      </w:r>
    </w:p>
    <w:p>
      <w:pPr>
        <w:spacing w:before="80" w:after="80"/>
      </w:pPr>
      <w:r>
        <w:rPr>
          <w:sz w:val="22"/>
        </w:rPr>
        <w:t>HITL reward: $102,100. Vanilla bandit: $95,872. Improvement: plus $6,228 — that is plus 6.5 percent. Review cost: $2,625 — about 2.6 percent of reward. Human overrides: 75 out of 5,000 applications. A review rate of 1.5 percent. Alignment score between human expert and bandit: 60 percent.</w:t>
      </w:r>
    </w:p>
    <w:p>
      <w:pPr>
        <w:spacing w:before="80" w:after="80"/>
      </w:pPr>
      <w:r>
        <w:rPr>
          <w:sz w:val="22"/>
        </w:rPr>
        <w:t>[Point to the note at the bottom.]</w:t>
      </w:r>
    </w:p>
    <w:p>
      <w:pPr>
        <w:spacing w:before="80" w:after="80"/>
      </w:pPr>
      <w:r>
        <w:rPr>
          <w:sz w:val="22"/>
        </w:rPr>
        <w:t>Important scope note: plus 6.5 percent is versus the vanilla bandit — not versus AlwaysRATED, not versus Static XGB. This measures the incremental value of targeted human oversight on top of the bandit baseline.</w:t>
      </w:r>
    </w:p>
    <w:p>
      <w:pPr>
        <w:spacing w:before="80" w:after="80"/>
      </w:pPr>
      <w:r>
        <w:rPr>
          <w:sz w:val="22"/>
        </w:rPr>
        <w:t>Thirteen applicants reviewed per thousand. The actuary's judgment on those thirteen cases is worth a 6.5 percent gain on the whole portfolio. That is the value of the HITL layer.</w:t>
      </w:r>
    </w:p>
    <w:p/>
    <w:p>
      <w:pPr>
        <w:pStyle w:val="Heading2"/>
      </w:pPr>
      <w:r>
        <w:rPr>
          <w:color w:val="2E74B5"/>
        </w:rPr>
        <w:t>SLIDE 27  ·  WHAT DRIVES THE VALUE? (EXP-011 + EXP-015)</w:t>
      </w:r>
    </w:p>
    <w:p>
      <w:pPr>
        <w:spacing w:before="0" w:after="80"/>
      </w:pPr>
      <w:r>
        <w:rPr>
          <w:i/>
          <w:color w:val="707070"/>
          <w:sz w:val="18"/>
        </w:rPr>
        <w:t>Timing: ~2 min</w:t>
      </w:r>
    </w:p>
    <w:p>
      <w:pPr>
        <w:spacing w:before="80" w:after="80"/>
      </w:pPr>
      <w:r>
        <w:rPr>
          <w:sz w:val="22"/>
        </w:rPr>
        <w:t>[Point to the left ablation panel.]</w:t>
      </w:r>
    </w:p>
    <w:p>
      <w:pPr>
        <w:spacing w:before="80" w:after="80"/>
      </w:pPr>
      <w:r>
        <w:rPr>
          <w:sz w:val="22"/>
        </w:rPr>
        <w:t>EXP-011 tells us the exploration bonus is not what drives the value — Greedy-only ties full LinUCB. The value comes from online ridge updating. EXP-015 tells us that even under drift, the constant beats us. These two findings together define the boundary of what this thesis can and cannot claim.</w:t>
      </w:r>
    </w:p>
    <w:p>
      <w:pPr>
        <w:spacing w:before="80" w:after="80"/>
      </w:pPr>
      <w:r>
        <w:rPr>
          <w:sz w:val="22"/>
        </w:rPr>
        <w:t>On the left: EXP-011. Full LinUCB versus Greedy-only with alpha equals zero. p equals 0.580, d equals 0.13 — statistically tied. Exploration is not load-bearing.</w:t>
      </w:r>
    </w:p>
    <w:p>
      <w:pPr>
        <w:spacing w:before="80" w:after="80"/>
      </w:pPr>
      <w:r>
        <w:rPr>
          <w:sz w:val="22"/>
        </w:rPr>
        <w:t>But Greedy-only versus Static XGB: plus $18,969, p less than 0.001, d equals 3.01. Online ridge updating IS the mechanism. The bandit beats Static XGB not because of its UCB exploration bonus but because it updates its ridge estimator from every new applicant.</w:t>
      </w:r>
    </w:p>
    <w:p>
      <w:pPr>
        <w:spacing w:before="80" w:after="80"/>
      </w:pPr>
      <w:r>
        <w:rPr>
          <w:sz w:val="22"/>
        </w:rPr>
        <w:t>[Point to the right drift panel.]</w:t>
      </w:r>
    </w:p>
    <w:p>
      <w:pPr>
        <w:spacing w:before="80" w:after="80"/>
      </w:pPr>
      <w:r>
        <w:rPr>
          <w:sz w:val="22"/>
        </w:rPr>
        <w:t>On the right: EXP-015. Under a realistic drift shock, AlwaysRATED earns $99,321. LinTS earns $71,429 — minus 39 percent. LinUCB earns $71,373 — minus 39.2 percent. The discounted LinUCB with gamma of 0.999 earns $70,995 — no meaningful improvement.</w:t>
      </w:r>
    </w:p>
    <w:p>
      <w:pPr>
        <w:spacing w:before="80" w:after="80"/>
      </w:pPr>
      <w:r>
        <w:rPr>
          <w:sz w:val="22"/>
        </w:rPr>
        <w:t>Non-stationarity does not rescue the bandit. We honestly report this as a boundary of the current framework.</w:t>
      </w:r>
    </w:p>
    <w:p/>
    <w:p>
      <w:pPr>
        <w:pStyle w:val="Heading2"/>
      </w:pPr>
      <w:r>
        <w:rPr>
          <w:color w:val="2E74B5"/>
        </w:rPr>
        <w:t>SLIDE 28  ·  COLD START &amp; REGRET BOUND (EXP-010 + EXP-013)</w:t>
      </w:r>
    </w:p>
    <w:p>
      <w:pPr>
        <w:spacing w:before="0" w:after="80"/>
      </w:pPr>
      <w:r>
        <w:rPr>
          <w:i/>
          <w:color w:val="707070"/>
          <w:sz w:val="18"/>
        </w:rPr>
        <w:t>Timing: ~1.5 min</w:t>
      </w:r>
    </w:p>
    <w:p>
      <w:pPr>
        <w:spacing w:before="80" w:after="80"/>
      </w:pPr>
      <w:r>
        <w:rPr>
          <w:sz w:val="22"/>
        </w:rPr>
        <w:t>[Point to the cold start table on the left.]</w:t>
      </w:r>
    </w:p>
    <w:p>
      <w:pPr>
        <w:spacing w:before="80" w:after="80"/>
      </w:pPr>
      <w:r>
        <w:rPr>
          <w:sz w:val="22"/>
        </w:rPr>
        <w:t>EXP-010 asks: at what horizon does the bandit certify its superiority? This matters because a real insurer cannot wait 5,000 applicants before trusting the system.</w:t>
      </w:r>
    </w:p>
    <w:p>
      <w:pPr>
        <w:spacing w:before="80" w:after="80"/>
      </w:pPr>
      <w:r>
        <w:rPr>
          <w:sz w:val="22"/>
        </w:rPr>
        <w:t>At T equals 200, FreshXGB leads bandits by 2.1 times. At T equals 500, still 1.26 times. At T equals 1,000, the systems tie. At T equals 2,000, bandits cross over and take the lead.</w:t>
      </w:r>
    </w:p>
    <w:p>
      <w:pPr>
        <w:spacing w:before="80" w:after="80"/>
      </w:pPr>
      <w:r>
        <w:rPr>
          <w:sz w:val="22"/>
        </w:rPr>
        <w:t>Operational implication: warm-start required for the first 1,000 to 2,000 applications. A hybrid deployment — XGBoost until crossover, bandit thereafter — is the practical path.</w:t>
      </w:r>
    </w:p>
    <w:p>
      <w:pPr>
        <w:spacing w:before="80" w:after="80"/>
      </w:pPr>
      <w:r>
        <w:rPr>
          <w:sz w:val="22"/>
        </w:rPr>
        <w:t>LinTS passes the T equals 2,000 Wilcoxon test with p equals 0.0039. LinUCB draws level but is not certified — p equals 0.0840. I report LinUCB honestly as draws-level, not a proven win at 2,000.</w:t>
      </w:r>
    </w:p>
    <w:p>
      <w:pPr>
        <w:spacing w:before="80" w:after="80"/>
      </w:pPr>
      <w:r>
        <w:rPr>
          <w:sz w:val="22"/>
        </w:rPr>
        <w:t>[Point to the regret bound panel on the right.]</w:t>
      </w:r>
    </w:p>
    <w:p>
      <w:pPr>
        <w:spacing w:before="80" w:after="80"/>
      </w:pPr>
      <w:r>
        <w:rPr>
          <w:sz w:val="22"/>
        </w:rPr>
        <w:t>EXP-013: log-log slope 0.572, theory 0.5 — near-optimal. R-squared 0.9915. Sublinear regret confirmed empirically.</w:t>
      </w:r>
    </w:p>
    <w:p/>
    <w:p>
      <w:pPr>
        <w:pStyle w:val="Heading2"/>
      </w:pPr>
      <w:r>
        <w:rPr>
          <w:color w:val="2E74B5"/>
        </w:rPr>
        <w:t>SLIDE 29  ·  LIVE DEMONSTRATION</w:t>
      </w:r>
    </w:p>
    <w:p>
      <w:pPr>
        <w:spacing w:before="0" w:after="80"/>
      </w:pPr>
      <w:r>
        <w:rPr>
          <w:i/>
          <w:color w:val="707070"/>
          <w:sz w:val="18"/>
        </w:rPr>
        <w:t>Timing: ~3 min</w:t>
      </w:r>
    </w:p>
    <w:p>
      <w:pPr>
        <w:spacing w:before="80" w:after="80"/>
      </w:pPr>
      <w:r>
        <w:rPr>
          <w:sz w:val="22"/>
        </w:rPr>
        <w:t>[Open browser at localhost:8000 before this slide.]</w:t>
      </w:r>
    </w:p>
    <w:p>
      <w:pPr>
        <w:spacing w:before="80" w:after="80"/>
      </w:pPr>
      <w:r>
        <w:rPr>
          <w:sz w:val="22"/>
        </w:rPr>
        <w:t>I will now show you Sophea's application — not as a number in a table, but as a live interaction with the prototype dashboard.</w:t>
      </w:r>
    </w:p>
    <w:p>
      <w:pPr>
        <w:spacing w:before="80" w:after="80"/>
      </w:pPr>
      <w:r>
        <w:rPr>
          <w:sz w:val="22"/>
        </w:rPr>
        <w:t>[Enter Sophea's profile: age 42, female, BMI 24.1, smoker: no, hypertension: yes, Kampong Cham, agriculture.]</w:t>
      </w:r>
    </w:p>
    <w:p>
      <w:pPr>
        <w:spacing w:before="80" w:after="80"/>
      </w:pPr>
      <w:r>
        <w:rPr>
          <w:sz w:val="22"/>
        </w:rPr>
        <w:t>Enter Sophea's profile live — show STANDARD decision. Age 42, female, BMI 24.1, non-smoker, hypertension managed, Kampong Cham, agriculture. The bandit sees her 34 features, computes the arm scores, and issues its decision.</w:t>
      </w:r>
    </w:p>
    <w:p>
      <w:pPr>
        <w:spacing w:before="80" w:after="80"/>
      </w:pPr>
      <w:r>
        <w:rPr>
          <w:sz w:val="22"/>
        </w:rPr>
        <w:t>[Show the STANDARD decision.]</w:t>
      </w:r>
    </w:p>
    <w:p>
      <w:pPr>
        <w:spacing w:before="80" w:after="80"/>
      </w:pPr>
      <w:r>
        <w:rPr>
          <w:sz w:val="22"/>
        </w:rPr>
        <w:t>STANDARD premium. The correct actuarial answer. The one she was denied in 2023.</w:t>
      </w:r>
    </w:p>
    <w:p>
      <w:pPr>
        <w:spacing w:before="80" w:after="80"/>
      </w:pPr>
      <w:r>
        <w:rPr>
          <w:sz w:val="22"/>
        </w:rPr>
        <w:t>[Submit a high-risk applicant — older, smoker, high BMI, multiple flags.]</w:t>
      </w:r>
    </w:p>
    <w:p>
      <w:pPr>
        <w:spacing w:before="80" w:after="80"/>
      </w:pPr>
      <w:r>
        <w:rPr>
          <w:sz w:val="22"/>
        </w:rPr>
        <w:t>Now a higher-risk applicant. The system selects REFER — escalating to the HITL queue. Switch to the HITL tab to show the running referral rate and cumulative review cost.</w:t>
      </w:r>
    </w:p>
    <w:p>
      <w:pPr>
        <w:spacing w:before="80" w:after="80"/>
      </w:pPr>
      <w:r>
        <w:rPr>
          <w:sz w:val="22"/>
        </w:rPr>
        <w:t>[This is the FastAPI prototype deployed on Render — not a mockup.]</w:t>
      </w:r>
    </w:p>
    <w:p>
      <w:pPr>
        <w:spacing w:before="80" w:after="80"/>
      </w:pPr>
      <w:r>
        <w:rPr>
          <w:sz w:val="22"/>
        </w:rPr>
        <w:t>This is not a simulation. This is the same FastAPI stack described in the thesis, deployed on Render, running in real time.</w:t>
      </w:r>
    </w:p>
    <w:p/>
    <w:p>
      <w:pPr>
        <w:pStyle w:val="Heading2"/>
      </w:pPr>
      <w:r>
        <w:rPr>
          <w:color w:val="2E74B5"/>
        </w:rPr>
        <w:t>SLIDE 30  ·  SECTION DIVIDER — Conclusion &amp; Future Work</w:t>
      </w:r>
    </w:p>
    <w:p>
      <w:pPr>
        <w:spacing w:before="0" w:after="80"/>
      </w:pPr>
      <w:r>
        <w:rPr>
          <w:i/>
          <w:color w:val="707070"/>
          <w:sz w:val="18"/>
        </w:rPr>
        <w:t>Timing: ~5 sec</w:t>
      </w:r>
    </w:p>
    <w:p>
      <w:pPr>
        <w:spacing w:before="80" w:after="80"/>
      </w:pPr>
      <w:r>
        <w:rPr>
          <w:sz w:val="22"/>
        </w:rPr>
        <w:t>Let me bring this back to Sophea — and to the four key findings.</w:t>
      </w:r>
    </w:p>
    <w:p/>
    <w:p>
      <w:pPr>
        <w:pStyle w:val="Heading2"/>
      </w:pPr>
      <w:r>
        <w:rPr>
          <w:color w:val="2E74B5"/>
        </w:rPr>
        <w:t>SLIDE 31  ·  4 KEY FINDINGS</w:t>
      </w:r>
    </w:p>
    <w:p>
      <w:pPr>
        <w:spacing w:before="0" w:after="80"/>
      </w:pPr>
      <w:r>
        <w:rPr>
          <w:i/>
          <w:color w:val="707070"/>
          <w:sz w:val="18"/>
        </w:rPr>
        <w:t>Timing: ~2.5 min</w:t>
      </w:r>
    </w:p>
    <w:p>
      <w:pPr>
        <w:spacing w:before="80" w:after="80"/>
      </w:pPr>
      <w:r>
        <w:rPr>
          <w:sz w:val="22"/>
        </w:rPr>
        <w:t>[Point to Finding 1.]</w:t>
      </w:r>
    </w:p>
    <w:p>
      <w:pPr>
        <w:spacing w:before="80" w:after="80"/>
      </w:pPr>
      <w:r>
        <w:rPr>
          <w:sz w:val="22"/>
        </w:rPr>
        <w:t>Finding 1 — EXP-005: Online adaptation beats static rules. Plus 25.2 percent, p less than 0.001, d equals 2.98. LinUCB earns plus $18,248 over Static XGB across 20 seeds.</w:t>
      </w:r>
    </w:p>
    <w:p>
      <w:pPr>
        <w:spacing w:before="80" w:after="80"/>
      </w:pPr>
      <w:r>
        <w:rPr>
          <w:sz w:val="22"/>
        </w:rPr>
        <w:t>[Point to Finding 2.]</w:t>
      </w:r>
    </w:p>
    <w:p>
      <w:pPr>
        <w:spacing w:before="80" w:after="80"/>
      </w:pPr>
      <w:r>
        <w:rPr>
          <w:sz w:val="22"/>
        </w:rPr>
        <w:t>Finding 2 — EXP-006: No demographic bias introduced. 85.72 and 90.12 percent parity for region and occupation. PSI GREEN-AMBER throughout. Criterion 6 FAILED-with-interpretation — occupation is an actuarially valid signal, not a bias.</w:t>
      </w:r>
    </w:p>
    <w:p>
      <w:pPr>
        <w:spacing w:before="80" w:after="80"/>
      </w:pPr>
      <w:r>
        <w:rPr>
          <w:sz w:val="22"/>
        </w:rPr>
        <w:t>[Point to Finding 3.]</w:t>
      </w:r>
    </w:p>
    <w:p>
      <w:pPr>
        <w:spacing w:before="80" w:after="80"/>
      </w:pPr>
      <w:r>
        <w:rPr>
          <w:sz w:val="22"/>
        </w:rPr>
        <w:t>Finding 3 — EXP-011: The mechanism is online ridge updating, not exploration. Greedy-only ties full LinUCB. The value comes from learning, not from exploration bonuses.</w:t>
      </w:r>
    </w:p>
    <w:p>
      <w:pPr>
        <w:spacing w:before="80" w:after="80"/>
      </w:pPr>
      <w:r>
        <w:rPr>
          <w:sz w:val="22"/>
        </w:rPr>
        <w:t>[Point to Finding 4.]</w:t>
      </w:r>
    </w:p>
    <w:p>
      <w:pPr>
        <w:spacing w:before="80" w:after="80"/>
      </w:pPr>
      <w:r>
        <w:rPr>
          <w:sz w:val="22"/>
        </w:rPr>
        <w:t>Finding 4 — EXP-008: HITL adds value at low cost. Plus 6.5 percent at 1.5 percent review rate. Alignment score 60 percent — human oversight is meaningful.</w:t>
      </w:r>
    </w:p>
    <w:p>
      <w:pPr>
        <w:spacing w:before="80" w:after="80"/>
      </w:pPr>
      <w:r>
        <w:rPr>
          <w:sz w:val="22"/>
        </w:rPr>
        <w:t>In 2023, the static system declined Sophea. In 2026, the bandit issues STANDARD premium. That is the 25.2%. It is not everything — a trivial constant earns more. But it is a principled, fair, auditable step forward for an insurance market that needs one.</w:t>
      </w:r>
    </w:p>
    <w:p/>
    <w:p>
      <w:pPr>
        <w:pStyle w:val="Heading2"/>
      </w:pPr>
      <w:r>
        <w:rPr>
          <w:color w:val="2E74B5"/>
        </w:rPr>
        <w:t>SLIDE 32  ·  LIMITATIONS</w:t>
      </w:r>
    </w:p>
    <w:p>
      <w:pPr>
        <w:spacing w:before="0" w:after="80"/>
      </w:pPr>
      <w:r>
        <w:rPr>
          <w:i/>
          <w:color w:val="707070"/>
          <w:sz w:val="18"/>
        </w:rPr>
        <w:t>Timing: ~1.5 min</w:t>
      </w:r>
    </w:p>
    <w:p>
      <w:pPr>
        <w:spacing w:before="80" w:after="80"/>
      </w:pPr>
      <w:r>
        <w:rPr>
          <w:sz w:val="22"/>
        </w:rPr>
        <w:t>I want to be transparent about the boundaries of this work.</w:t>
      </w:r>
    </w:p>
    <w:p>
      <w:pPr>
        <w:spacing w:before="80" w:after="80"/>
      </w:pPr>
      <w:r>
        <w:rPr>
          <w:sz w:val="22"/>
        </w:rPr>
        <w:t>[Point to the four limitation cards.]</w:t>
      </w:r>
    </w:p>
    <w:p>
      <w:pPr>
        <w:spacing w:before="80" w:after="80"/>
      </w:pPr>
      <w:r>
        <w:rPr>
          <w:sz w:val="22"/>
        </w:rPr>
        <w:t>First: synthetic data. 2,000 records cannot capture rare comorbidities, fraud patterns, or the full complexity of real Cambodian claims. The dataset is CDHS-anchored but not real insurance claims.</w:t>
      </w:r>
    </w:p>
    <w:p>
      <w:pPr>
        <w:spacing w:before="80" w:after="80"/>
      </w:pPr>
      <w:r>
        <w:rPr>
          <w:sz w:val="22"/>
        </w:rPr>
        <w:t>Second: single-period rewards. The reward function is a one-shot proxy for profitability. It does not capture multi-year claims, customer retention, or renewal cycles.</w:t>
      </w:r>
    </w:p>
    <w:p>
      <w:pPr>
        <w:spacing w:before="80" w:after="80"/>
      </w:pPr>
      <w:r>
        <w:rPr>
          <w:sz w:val="22"/>
        </w:rPr>
        <w:t>Third: stationarity assumption. EXP-009 and EXP-015 partially address this, but DiscountedLinUCB helps only marginally under a shock. Non-stationarity remains a meaningful limit of the current design.</w:t>
      </w:r>
    </w:p>
    <w:p>
      <w:pPr>
        <w:spacing w:before="80" w:after="80"/>
      </w:pPr>
      <w:r>
        <w:rPr>
          <w:sz w:val="22"/>
        </w:rPr>
        <w:t>Fourth: the constant-policy ceiling. AlwaysRATED beats bandits by roughly 30 percent. Bandits lead every admissible deployable alternative — but the headroom to Oracle remains large. This is honestly reported and defines the next phase of work.</w:t>
      </w:r>
    </w:p>
    <w:p/>
    <w:p>
      <w:pPr>
        <w:pStyle w:val="Heading2"/>
      </w:pPr>
      <w:r>
        <w:rPr>
          <w:color w:val="2E74B5"/>
        </w:rPr>
        <w:t>SLIDE 33  ·  FUTURE WORK</w:t>
      </w:r>
    </w:p>
    <w:p>
      <w:pPr>
        <w:spacing w:before="0" w:after="80"/>
      </w:pPr>
      <w:r>
        <w:rPr>
          <w:i/>
          <w:color w:val="707070"/>
          <w:sz w:val="18"/>
        </w:rPr>
        <w:t>Timing: ~1 min</w:t>
      </w:r>
    </w:p>
    <w:p>
      <w:pPr>
        <w:spacing w:before="80" w:after="80"/>
      </w:pPr>
      <w:r>
        <w:rPr>
          <w:sz w:val="22"/>
        </w:rPr>
        <w:t>Four directions for future work.</w:t>
      </w:r>
    </w:p>
    <w:p>
      <w:pPr>
        <w:spacing w:before="80" w:after="80"/>
      </w:pPr>
      <w:r>
        <w:rPr>
          <w:sz w:val="22"/>
        </w:rPr>
        <w:t>First: non-stationary drift. DiscountedLinUCB plus PSI early-warning pipeline, with threshold-adaptive forgetting factors. The current gamma of 0.999 helped only marginally — better discount schedules need investigation.</w:t>
      </w:r>
    </w:p>
    <w:p>
      <w:pPr>
        <w:spacing w:before="80" w:after="80"/>
      </w:pPr>
      <w:r>
        <w:rPr>
          <w:sz w:val="22"/>
        </w:rPr>
        <w:t>Second: neural bandit extensions. NeuralUCB and Neural-Linear hybrids would relax the linear reward assumption. Viable once dataset size scales beyond 2,000 records.</w:t>
      </w:r>
    </w:p>
    <w:p>
      <w:pPr>
        <w:spacing w:before="80" w:after="80"/>
      </w:pPr>
      <w:r>
        <w:rPr>
          <w:sz w:val="22"/>
        </w:rPr>
        <w:t>Third: live A/B deployment. Delayed reward via survival proxy — real claims lag 6 to 24 months. The thesis uses a simulator; a live trial with real Cambodian insurers is the natural next step.</w:t>
      </w:r>
    </w:p>
    <w:p>
      <w:pPr>
        <w:spacing w:before="80" w:after="80"/>
      </w:pPr>
      <w:r>
        <w:rPr>
          <w:sz w:val="22"/>
        </w:rPr>
        <w:t>Fourth: multi-period customer value. Customer lifetime value, retention, and cross-selling would move the system beyond the single-decision reward framing.</w:t>
      </w:r>
    </w:p>
    <w:p/>
    <w:p>
      <w:pPr>
        <w:pStyle w:val="Heading2"/>
      </w:pPr>
      <w:r>
        <w:rPr>
          <w:color w:val="2E74B5"/>
        </w:rPr>
        <w:t>SLIDE 34  ·  THANK YOU / Q&amp;A</w:t>
      </w:r>
    </w:p>
    <w:p>
      <w:pPr>
        <w:spacing w:before="0" w:after="80"/>
      </w:pPr>
      <w:r>
        <w:rPr>
          <w:i/>
          <w:color w:val="707070"/>
          <w:sz w:val="18"/>
        </w:rPr>
        <w:t>Timing: ~30 sec</w:t>
      </w:r>
    </w:p>
    <w:p>
      <w:pPr>
        <w:spacing w:before="80" w:after="80"/>
      </w:pPr>
      <w:r>
        <w:rPr>
          <w:sz w:val="22"/>
        </w:rPr>
        <w:t>[The slide reads: 2023: DECLINE. 2026: STANDARD.]</w:t>
      </w:r>
    </w:p>
    <w:p>
      <w:pPr>
        <w:spacing w:before="80" w:after="80"/>
      </w:pPr>
      <w:r>
        <w:rPr>
          <w:sz w:val="22"/>
        </w:rPr>
        <w:t>That is the story of this thesis.</w:t>
      </w:r>
    </w:p>
    <w:p>
      <w:pPr>
        <w:spacing w:before="80" w:after="80"/>
      </w:pPr>
      <w:r>
        <w:rPr>
          <w:sz w:val="22"/>
        </w:rPr>
        <w:t>In 2023, the static system declined Sophea. In 2026, the bandit issues STANDARD premium. Cambodia has hundreds of thousands of applicants like her — people whose risk profiles are nuanced, whose context matters, and who deserve a decision system capable of seeing them fully.</w:t>
      </w:r>
    </w:p>
    <w:p>
      <w:pPr>
        <w:spacing w:before="80" w:after="80"/>
      </w:pPr>
      <w:r>
        <w:rPr>
          <w:sz w:val="22"/>
        </w:rPr>
        <w:t>Thank you, Distinguished Committee, for your time and attention.</w:t>
      </w:r>
    </w:p>
    <w:p>
      <w:pPr>
        <w:spacing w:before="80" w:after="80"/>
      </w:pPr>
      <w:r>
        <w:rPr>
          <w:sz w:val="22"/>
        </w:rPr>
        <w:t>I am now ready for your questions. If it would be helpful, I have five appendix slides available: A1 covers the complete baseline ladder with all nine policies; A2 reconciles the three reward-lift numbers — plus 25.2, plus 29.8, and plus 6.5 percent; A3 shows all six fairness criteria verdicts; A4 has the full mathematical details for LinUCB, PSI, and the HITL dual update; and A5 has the full sensitivity parameter tables.</w:t>
      </w:r>
    </w:p>
    <w:p/>
    <w:p>
      <w:pPr>
        <w:pStyle w:val="Heading2"/>
      </w:pPr>
      <w:r>
        <w:rPr>
          <w:color w:val="2E74B5"/>
        </w:rPr>
        <w:t>APPENDIX A1  ·  A1: COMPLETE BASELINE LADDER</w:t>
      </w:r>
    </w:p>
    <w:p>
      <w:pPr>
        <w:spacing w:before="0" w:after="80"/>
      </w:pPr>
      <w:r>
        <w:rPr>
          <w:i/>
          <w:color w:val="707070"/>
          <w:sz w:val="18"/>
        </w:rPr>
        <w:t>Timing: if asked</w:t>
      </w:r>
    </w:p>
    <w:p>
      <w:pPr>
        <w:spacing w:before="80" w:after="80"/>
      </w:pPr>
      <w:r>
        <w:rPr>
          <w:sz w:val="22"/>
        </w:rPr>
        <w:t>[Show if Committee asks about AlwaysRATED or the full ranking.]</w:t>
      </w:r>
    </w:p>
    <w:p>
      <w:pPr>
        <w:spacing w:before="80" w:after="80"/>
      </w:pPr>
      <w:r>
        <w:rPr>
          <w:sz w:val="22"/>
        </w:rPr>
        <w:t>The complete ladder across all nine policies — 20 seeds, CRN harness.</w:t>
      </w:r>
    </w:p>
    <w:p>
      <w:pPr>
        <w:spacing w:before="80" w:after="80"/>
      </w:pPr>
      <w:r>
        <w:rPr>
          <w:sz w:val="22"/>
        </w:rPr>
        <w:t>Oracle: $126,804 — theoretical ceiling, not deployable. LogisticOracle: $123,977 — fit in-sample on oracle labels, not deployable, diagnostic only.</w:t>
      </w:r>
    </w:p>
    <w:p>
      <w:pPr>
        <w:spacing w:before="80" w:after="80"/>
      </w:pPr>
      <w:r>
        <w:rPr>
          <w:sz w:val="22"/>
        </w:rPr>
        <w:t>AlwaysRATED: $122,287. This is the trivial constant that applies a blanket 25% loading to every applicant regardless of risk. No Cambodian insurer can commercially or regulatorily apply this uniformly. It would create severe adverse selection, drive healthy applicants out of the pool, and face regulatory challenge. Our pre-registered expectation was that bandits would outperform AlwaysRATED. That expectation was falsified. We report it as the scientifically informative outcome it is.</w:t>
      </w:r>
    </w:p>
    <w:p>
      <w:pPr>
        <w:spacing w:before="80" w:after="80"/>
      </w:pPr>
      <w:r>
        <w:rPr>
          <w:sz w:val="22"/>
        </w:rPr>
        <w:t>LinTS: $93,723. LinUCB: $91,864. Both proposed admissible policies.</w:t>
      </w:r>
    </w:p>
    <w:p>
      <w:pPr>
        <w:spacing w:before="80" w:after="80"/>
      </w:pPr>
      <w:r>
        <w:rPr>
          <w:sz w:val="22"/>
        </w:rPr>
        <w:t>Epsilon-Greedy: $76,441. Static XGB (the system that declined Sophea): $72,206. AlwaysSTANDARD: $34,684. Random: $1,980.</w:t>
      </w:r>
    </w:p>
    <w:p>
      <w:pPr>
        <w:spacing w:before="80" w:after="80"/>
      </w:pPr>
      <w:r>
        <w:rPr>
          <w:sz w:val="22"/>
        </w:rPr>
        <w:t>The headline claim stands: bandits rank first and second among every admissible policy a real insurer could deploy.</w:t>
      </w:r>
    </w:p>
    <w:p/>
    <w:p>
      <w:pPr>
        <w:pStyle w:val="Heading2"/>
      </w:pPr>
      <w:r>
        <w:rPr>
          <w:color w:val="2E74B5"/>
        </w:rPr>
        <w:t>APPENDIX A2  ·  A2: NUMBER RECONCILIATION</w:t>
      </w:r>
    </w:p>
    <w:p>
      <w:pPr>
        <w:spacing w:before="0" w:after="80"/>
      </w:pPr>
      <w:r>
        <w:rPr>
          <w:i/>
          <w:color w:val="707070"/>
          <w:sz w:val="18"/>
        </w:rPr>
        <w:t>Timing: if asked</w:t>
      </w:r>
    </w:p>
    <w:p>
      <w:pPr>
        <w:spacing w:before="80" w:after="80"/>
      </w:pPr>
      <w:r>
        <w:rPr>
          <w:sz w:val="22"/>
        </w:rPr>
        <w:t>[Show if Committee asks why there are multiple reward-lift numbers.]</w:t>
      </w:r>
    </w:p>
    <w:p>
      <w:pPr>
        <w:spacing w:before="80" w:after="80"/>
      </w:pPr>
      <w:r>
        <w:rPr>
          <w:sz w:val="22"/>
        </w:rPr>
        <w:t>Three different reward-lift numbers appear across the thesis. They answer three different questions and are mutually consistent.</w:t>
      </w:r>
    </w:p>
    <w:p>
      <w:pPr>
        <w:spacing w:before="80" w:after="80"/>
      </w:pPr>
      <w:r>
        <w:rPr>
          <w:sz w:val="22"/>
        </w:rPr>
        <w:t>Plus 25.2 percent: EXP-005. LinUCB versus Static XGB. Pre-registered primary metric. Paired design, 20 seeds, standardised evaluation. LinUCB mean $90,540 versus Static XGB mean $72,292. This is the headline figure cited throughout the thesis.</w:t>
      </w:r>
    </w:p>
    <w:p>
      <w:pPr>
        <w:spacing w:before="80" w:after="80"/>
      </w:pPr>
      <w:r>
        <w:rPr>
          <w:sz w:val="22"/>
        </w:rPr>
        <w:t>Plus 29.8 percent: EXP-007. LinTS versus Static XGB. CRN benchmark harness — common random numbers for variance reduction. Different experimental setup from EXP-005, which is why the number is slightly higher. Reported for completeness; the pre-registered comparison is EXP-005.</w:t>
      </w:r>
    </w:p>
    <w:p>
      <w:pPr>
        <w:spacing w:before="80" w:after="80"/>
      </w:pPr>
      <w:r>
        <w:rPr>
          <w:sz w:val="22"/>
        </w:rPr>
        <w:t>Plus 6.5 percent: EXP-008. HITL reward versus vanilla bandit. HITL $102,100 versus vanilla $95,872 on seed 42. Completely different baseline — this measures the incremental value of human oversight on top of the bandit, not versus Static XGB.</w:t>
      </w:r>
    </w:p>
    <w:p>
      <w:pPr>
        <w:spacing w:before="80" w:after="80"/>
      </w:pPr>
      <w:r>
        <w:rPr>
          <w:sz w:val="22"/>
        </w:rPr>
        <w:t>When I cite the headline result, I cite 25.2 percent — the conservative pre-registered figure.</w:t>
      </w:r>
    </w:p>
    <w:p/>
    <w:p>
      <w:pPr>
        <w:pStyle w:val="Heading2"/>
      </w:pPr>
      <w:r>
        <w:rPr>
          <w:color w:val="2E74B5"/>
        </w:rPr>
        <w:t>APPENDIX A3  ·  A3: ALL 6 FAIRNESS CRITERIA</w:t>
      </w:r>
    </w:p>
    <w:p>
      <w:pPr>
        <w:spacing w:before="0" w:after="80"/>
      </w:pPr>
      <w:r>
        <w:rPr>
          <w:i/>
          <w:color w:val="707070"/>
          <w:sz w:val="18"/>
        </w:rPr>
        <w:t>Timing: if asked</w:t>
      </w:r>
    </w:p>
    <w:p>
      <w:pPr>
        <w:spacing w:before="80" w:after="80"/>
      </w:pPr>
      <w:r>
        <w:rPr>
          <w:sz w:val="22"/>
        </w:rPr>
        <w:t>[Show if Committee asks about the fairness methodology or Criterion 6.]</w:t>
      </w:r>
    </w:p>
    <w:p>
      <w:pPr>
        <w:spacing w:before="80" w:after="80"/>
      </w:pPr>
      <w:r>
        <w:rPr>
          <w:sz w:val="22"/>
        </w:rPr>
        <w:t>The six pre-registered fairness criteria.</w:t>
      </w:r>
    </w:p>
    <w:p>
      <w:pPr>
        <w:spacing w:before="80" w:after="80"/>
      </w:pPr>
      <w:r>
        <w:rPr>
          <w:sz w:val="22"/>
        </w:rPr>
        <w:t>Criterion 1: Region PSI must be at or below 0.25. Result: PSI equals 0.082 — GREEN. PASSED.</w:t>
      </w:r>
    </w:p>
    <w:p>
      <w:pPr>
        <w:spacing w:before="80" w:after="80"/>
      </w:pPr>
      <w:r>
        <w:rPr>
          <w:sz w:val="22"/>
        </w:rPr>
        <w:t>Criterion 2: Occupation PSI must be at or below 0.25. Result: PSI equals 0.123 — AMBER, below RED. PASSED.</w:t>
      </w:r>
    </w:p>
    <w:p>
      <w:pPr>
        <w:spacing w:before="80" w:after="80"/>
      </w:pPr>
      <w:r>
        <w:rPr>
          <w:sz w:val="22"/>
        </w:rPr>
        <w:t>Criterion 3: EEOC four-fifths rule for region — approval rates across all regions must be at least 80 percent of the highest. Result: 85.72 percent. PASSED.</w:t>
      </w:r>
    </w:p>
    <w:p>
      <w:pPr>
        <w:spacing w:before="80" w:after="80"/>
      </w:pPr>
      <w:r>
        <w:rPr>
          <w:sz w:val="22"/>
        </w:rPr>
        <w:t>Criterion 4: EEOC four-fifths rule for occupation. Result: 90.12 percent. PASSED.</w:t>
      </w:r>
    </w:p>
    <w:p>
      <w:pPr>
        <w:spacing w:before="80" w:after="80"/>
      </w:pPr>
      <w:r>
        <w:rPr>
          <w:sz w:val="22"/>
        </w:rPr>
        <w:t>Criterion 5: Permutation test for region-to-action independence. p equals 0.132. PASSED.</w:t>
      </w:r>
    </w:p>
    <w:p>
      <w:pPr>
        <w:spacing w:before="80" w:after="80"/>
      </w:pPr>
      <w:r>
        <w:rPr>
          <w:sz w:val="22"/>
        </w:rPr>
        <w:t>Criterion 6: Permutation test for occupation-to-action independence. p less than 0.001. FAILED-with-interpretation.</w:t>
      </w:r>
    </w:p>
    <w:p>
      <w:pPr>
        <w:spacing w:before="80" w:after="80"/>
      </w:pPr>
      <w:r>
        <w:rPr>
          <w:sz w:val="22"/>
        </w:rPr>
        <w:t>My interpretation of Criterion 6: occupation predicts the underwriting action because occupation is a genuine actuarial risk signal. Sophea's agricultural occupation is correctly associated with a different risk profile than an office worker's — that is actuarially sound. The association is statistically significant but practically small. No regulatory threshold is breached. I call this FAILED-with-interpretation, and I stand by that verdict.</w:t>
      </w:r>
    </w:p>
    <w:p/>
    <w:p>
      <w:pPr>
        <w:pStyle w:val="Heading2"/>
      </w:pPr>
      <w:r>
        <w:rPr>
          <w:color w:val="2E74B5"/>
        </w:rPr>
        <w:t>APPENDIX A4  ·  A4: MATHEMATICAL DETAILS</w:t>
      </w:r>
    </w:p>
    <w:p>
      <w:pPr>
        <w:spacing w:before="0" w:after="80"/>
      </w:pPr>
      <w:r>
        <w:rPr>
          <w:i/>
          <w:color w:val="707070"/>
          <w:sz w:val="18"/>
        </w:rPr>
        <w:t>Timing: if asked</w:t>
      </w:r>
    </w:p>
    <w:p>
      <w:pPr>
        <w:spacing w:before="80" w:after="80"/>
      </w:pPr>
      <w:r>
        <w:rPr>
          <w:sz w:val="22"/>
        </w:rPr>
        <w:t>[Show if Committee asks about the LinUCB update rule, PSI formula, or HITL dual-update mechanics.]</w:t>
      </w:r>
    </w:p>
    <w:p>
      <w:pPr>
        <w:spacing w:before="80" w:after="80"/>
      </w:pPr>
      <w:r>
        <w:rPr>
          <w:sz w:val="22"/>
        </w:rPr>
        <w:t>Three mathematical components — using Sophea's application as the concrete example.</w:t>
      </w:r>
    </w:p>
    <w:p>
      <w:pPr>
        <w:spacing w:before="80" w:after="80"/>
      </w:pPr>
      <w:r>
        <w:rPr>
          <w:sz w:val="22"/>
        </w:rPr>
        <w:t>LinUCB update rule:</w:t>
        <w:br/>
        <w:t>Design matrix update: A receives Sophea's vector x transposed times x. Reward vector update: b receives reward times x. Ridge estimate: theta-hat equals A-inverse times b. UCB score for arm a: theta-hat transposed x, plus alpha times the square root of x-transposed A-inverse x — where x is Sophea's 34-dimensional vector.</w:t>
      </w:r>
    </w:p>
    <w:p>
      <w:pPr>
        <w:spacing w:before="80" w:after="80"/>
      </w:pPr>
      <w:r>
        <w:rPr>
          <w:sz w:val="22"/>
        </w:rPr>
        <w:t>PSI formula:</w:t>
        <w:br/>
        <w:t>PSI equals the sum over each segment of: P-new minus P-old, times the natural log of P-new over P-old. For Sophea's Kampong Cham region: PSI 0.082 — GREEN. For her occupation category: PSI max 0.123 — AMBER.</w:t>
      </w:r>
    </w:p>
    <w:p>
      <w:pPr>
        <w:spacing w:before="80" w:after="80"/>
      </w:pPr>
      <w:r>
        <w:rPr>
          <w:sz w:val="22"/>
        </w:rPr>
        <w:t>HITL dual-update:</w:t>
        <w:br/>
        <w:t>When the human overrides the bandit: update the selected arm on the human label, and apply a penalty to the REFER arm reward to prevent the over-selection spiral. Without the penalty, REFER accumulates reward without cost — the dual update corrects that incentive.</w:t>
      </w:r>
    </w:p>
    <w:p/>
    <w:p>
      <w:pPr>
        <w:pStyle w:val="Heading2"/>
      </w:pPr>
      <w:r>
        <w:rPr>
          <w:color w:val="2E74B5"/>
        </w:rPr>
        <w:t>APPENDIX A5  ·  A5: FULL SENSITIVITY TABLES</w:t>
      </w:r>
    </w:p>
    <w:p>
      <w:pPr>
        <w:spacing w:before="0" w:after="80"/>
      </w:pPr>
      <w:r>
        <w:rPr>
          <w:i/>
          <w:color w:val="707070"/>
          <w:sz w:val="18"/>
        </w:rPr>
        <w:t>Timing: if asked</w:t>
      </w:r>
    </w:p>
    <w:p>
      <w:pPr>
        <w:spacing w:before="80" w:after="80"/>
      </w:pPr>
      <w:r>
        <w:rPr>
          <w:sz w:val="22"/>
        </w:rPr>
        <w:t>[Show if Committee asks about parameter sensitivity or robustness.]</w:t>
      </w:r>
    </w:p>
    <w:p>
      <w:pPr>
        <w:spacing w:before="80" w:after="80"/>
      </w:pPr>
      <w:r>
        <w:rPr>
          <w:sz w:val="22"/>
        </w:rPr>
        <w:t>The headline results are robust across the full parameter grid.</w:t>
      </w:r>
    </w:p>
    <w:p>
      <w:pPr>
        <w:spacing w:before="80" w:after="80"/>
      </w:pPr>
      <w:r>
        <w:rPr>
          <w:sz w:val="22"/>
        </w:rPr>
        <w:t>LinUCB exploration parameter alpha: tested from 0.5 to 2.0. Alpha equals 1.0 selected in EXP-012 as the regret-minimising setting.</w:t>
      </w:r>
    </w:p>
    <w:p>
      <w:pPr>
        <w:spacing w:before="80" w:after="80"/>
      </w:pPr>
      <w:r>
        <w:rPr>
          <w:sz w:val="22"/>
        </w:rPr>
        <w:t>LinTS posterior width v: 0.1. Ridge penalty lambda: 1.0.</w:t>
      </w:r>
    </w:p>
    <w:p>
      <w:pPr>
        <w:spacing w:before="80" w:after="80"/>
      </w:pPr>
      <w:r>
        <w:rPr>
          <w:sz w:val="22"/>
        </w:rPr>
        <w:t>HITL conservatism kappa: headline result at kappa equals 0.7. Kappa of 0.3 and 0.5 also tested; the ranking of HITL above vanilla bandit is stable across all kappa values.</w:t>
      </w:r>
    </w:p>
    <w:p>
      <w:pPr>
        <w:spacing w:before="80" w:after="80"/>
      </w:pPr>
      <w:r>
        <w:rPr>
          <w:sz w:val="22"/>
        </w:rPr>
        <w:t>Price elasticity slope: base at 3.5, stressed at 2.5 and 4.5.</w:t>
      </w:r>
    </w:p>
    <w:p>
      <w:pPr>
        <w:spacing w:before="80" w:after="80"/>
      </w:pPr>
      <w:r>
        <w:rPr>
          <w:sz w:val="22"/>
        </w:rPr>
        <w:t>Adverse-selection factor: 1.35 is the DAC actuarial prior.</w:t>
      </w:r>
    </w:p>
    <w:p>
      <w:pPr>
        <w:spacing w:before="80" w:after="80"/>
      </w:pPr>
      <w:r>
        <w:rPr>
          <w:sz w:val="22"/>
        </w:rPr>
        <w:t>Across the EXP-011 ablation and EXP-012 sensitivity grid, the ranking of LinUCB and LinTS above all other admissible policies is stable. Sophea receives STANDARD across all parameter combinations tested.</w:t>
      </w:r>
    </w:p>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