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120" w:before="0" w:lineRule="auto" w:line="360"/>
        <w:ind w:left="1134"/>
        <w:jc w:val="left"/>
      </w:pPr>
      <w:r>
        <w:rPr>
          <w:rFonts w:ascii="Times New Roman" w:hAnsi="Times New Roman" w:eastAsia="Times New Roman"/>
          <w:b/>
          <w:i w:val="0"/>
          <w:sz w:val="28"/>
        </w:rPr>
        <w:t>ការធានារ៉ាប់រងសុខភាពតាមរយៈ Contextual Bandits:</w:t>
        <w:br/>
        <w:t>វិធីសាស្ត្រសិក្សាពង្រឹងសម្រាប់កម្ពុជា</w:t>
      </w:r>
    </w:p>
    <w:p>
      <w:pPr>
        <w:spacing w:after="480" w:before="0" w:lineRule="auto" w:line="360"/>
        <w:ind w:left="1134"/>
        <w:jc w:val="left"/>
      </w:pPr>
      <w:r>
        <w:rPr>
          <w:rFonts w:ascii="Times New Roman" w:hAnsi="Times New Roman" w:eastAsia="Times New Roman"/>
          <w:b/>
          <w:i/>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anchored on the Cambodia Demographic and Health Survey 2021–22 (National Institute of Statistics et al., 2023). A profit-based actuarial reward simulator evaluates four underwriting actions (standard, rated, decline, refer); Population Stability Index (PSI) sliding-window guardrails and the U.S. EEOC four-fifths rule jointly monitor regional and occupational fairness. All headline results are reported as means across 20 independent seeds with paired Wilcoxon signed-rank tests and bootstrap 95% confidence intervals.</w:t>
      </w:r>
    </w:p>
    <w:p>
      <w:pPr>
        <w:spacing w:after="240" w:before="0" w:lineRule="auto" w:line="360"/>
        <w:ind w:firstLine="720"/>
        <w:jc w:val="both"/>
      </w:pPr>
      <w:r>
        <w:rPr>
          <w:rFonts w:ascii="Times New Roman" w:hAnsi="Times New Roman" w:eastAsia="Times New Roman"/>
          <w:b w:val="0"/>
          <w:i w:val="0"/>
          <w:sz w:val="24"/>
        </w:rPr>
        <w:t>Four controlled experiments validate the framework. EXP-005 shows that LinUCB achieves $90,540 cumulative reward over 5,000 rounds against the static baseline's $72,292 (+25%, Wilcoxon p &lt; 0.001, Cohen's d = 2.98), and cuts average regret in the final 500 rounds from $9.01 to $2.20 per round (p &lt; 0.001, d = −1.59). EXP-006 confirms that maximum sliding-window PSI remains in the GREEN/AMBER band for both region (0.082) and occupation (0.123) while the EEOC 4/5 rule is satisfied with parity ratios of 85.7% and 90.1% respectively. EXP-007 ranks four algorithms by cumulative regret: LinTS $21,149, LinUCB $22,774 (statistically indistinguishable from LinTS, p = 0.87), Epsilon-Greedy $38,281, and Static XGB $42,548 — both bandits decisively outperform the static and uniform-exploration baselines (p &lt; 0.001, d &gt; 3.4). EXP-008 wraps LinUCB in a human-in-the-loop layer and raises cumulative reward to $102,100 (+6.5% over the mathematical-REFER baseline) at a human-review cost of 2.6% of reward, with zero queue depth throughout. A post-hoc robustness analysis identifies an inadmissible constant policy as a theoretical performance ceiling (§6.2), bounding the interpretation of this result.</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20-seed experimental harness, a Cambodia-calibrated synthetic dataset, sliding-window PSI and EEOC-4/5 fairness monitoring, and a human-in-the-loop wrapper that may inform future research and industry practice in emerging-market algorithmic insurance.</w:t>
      </w:r>
    </w:p>
    <w:p>
      <w:r>
        <w:br w:type="page"/>
      </w:r>
    </w:p>
    <w:p>
      <w:pPr>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1.1. Host organization structure and internship placement.</w:t>
      </w:r>
    </w:p>
    <w:p>
      <w:pPr>
        <w:spacing w:after="120" w:before="0" w:lineRule="auto" w:line="360"/>
        <w:ind w:firstLine="720"/>
        <w:jc w:val="left"/>
      </w:pPr>
      <w:r>
        <w:rPr>
          <w:rFonts w:ascii="Times New Roman" w:hAnsi="Times New Roman" w:eastAsia="Times New Roman"/>
          <w:b w:val="0"/>
          <w:i w:val="0"/>
          <w:sz w:val="24"/>
        </w:rPr>
        <w:t>Figure 2.1. Adaptive underwriting system architecture (Chapter II overview).</w:t>
      </w:r>
    </w:p>
    <w:p>
      <w:pPr>
        <w:spacing w:after="120" w:before="0" w:lineRule="auto" w:line="360"/>
        <w:ind w:firstLine="720"/>
        <w:jc w:val="left"/>
      </w:pPr>
      <w:r>
        <w:rPr>
          <w:rFonts w:ascii="Times New Roman" w:hAnsi="Times New Roman" w:eastAsia="Times New Roman"/>
          <w:b w:val="0"/>
          <w:i w:val="0"/>
          <w:sz w:val="24"/>
        </w:rPr>
        <w:t>Figure 2.2. Project timeline — 6-month execution plan.</w:t>
      </w:r>
    </w:p>
    <w:p>
      <w:pPr>
        <w:spacing w:after="120" w:before="0" w:lineRule="auto" w:line="360"/>
        <w:ind w:firstLine="720"/>
        <w:jc w:val="left"/>
      </w:pPr>
      <w:r>
        <w:rPr>
          <w:rFonts w:ascii="Times New Roman" w:hAnsi="Times New Roman" w:eastAsia="Times New Roman"/>
          <w:b w:val="0"/>
          <w:i w:val="0"/>
          <w:sz w:val="24"/>
        </w:rPr>
        <w:t>Figure 4.1. System architecture of the demonstration system.</w:t>
      </w:r>
    </w:p>
    <w:p>
      <w:pPr>
        <w:spacing w:after="120" w:before="0" w:lineRule="auto" w:line="360"/>
        <w:ind w:firstLine="720"/>
        <w:jc w:val="left"/>
      </w:pPr>
      <w:r>
        <w:rPr>
          <w:rFonts w:ascii="Times New Roman" w:hAnsi="Times New Roman" w:eastAsia="Times New Roman"/>
          <w:b w:val="0"/>
          <w:i w:val="0"/>
          <w:sz w:val="24"/>
        </w:rPr>
        <w:t>Figure 4.2. Contextual bandit decision loop.</w:t>
      </w:r>
    </w:p>
    <w:p>
      <w:pPr>
        <w:spacing w:after="120" w:before="0" w:lineRule="auto" w:line="360"/>
        <w:ind w:firstLine="720"/>
        <w:jc w:val="left"/>
      </w:pPr>
      <w:r>
        <w:rPr>
          <w:rFonts w:ascii="Times New Roman" w:hAnsi="Times New Roman" w:eastAsia="Times New Roman"/>
          <w:b w:val="0"/>
          <w:i w:val="0"/>
          <w:sz w:val="24"/>
        </w:rPr>
        <w:t>Figure 4.3.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5.1.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5.2.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5.3. Converged-phase regional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5.4. Converged-phase occupational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5.5.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5.4.1. EXP-008 four-panel HITL diagnostic.</w:t>
      </w:r>
    </w:p>
    <w:p>
      <w:pPr>
        <w:spacing w:after="120" w:before="0" w:lineRule="auto" w:line="360"/>
        <w:ind w:firstLine="720"/>
        <w:jc w:val="left"/>
      </w:pPr>
      <w:r>
        <w:rPr>
          <w:rFonts w:ascii="Times New Roman" w:hAnsi="Times New Roman" w:eastAsia="Times New Roman"/>
          <w:b w:val="0"/>
          <w:i w:val="0"/>
          <w:sz w:val="24"/>
        </w:rPr>
        <w:t>Figure 5.6. Log-log cumulative regret of LinUCB with linear fit (EXP-013 empirical validation of the O(sqrt(T)) bound).</w:t>
      </w:r>
    </w:p>
    <w:p>
      <w:pPr>
        <w:spacing w:after="120" w:before="0" w:lineRule="auto" w:line="360"/>
        <w:ind w:firstLine="720"/>
        <w:jc w:val="left"/>
      </w:pPr>
      <w:r>
        <w:rPr>
          <w:rFonts w:ascii="Times New Roman" w:hAnsi="Times New Roman" w:eastAsia="Times New Roman"/>
          <w:b w:val="0"/>
          <w:i w:val="0"/>
          <w:sz w:val="24"/>
        </w:rPr>
        <w:t>Figure 5.9. Rolling per-round regret under a mid-run TB-prevalence and garment-income shock (EXP-009).</w:t>
      </w:r>
    </w:p>
    <w:p>
      <w:pPr>
        <w:spacing w:after="120" w:before="0" w:lineRule="auto" w:line="360"/>
        <w:ind w:firstLine="720"/>
        <w:jc w:val="left"/>
      </w:pPr>
      <w:r>
        <w:rPr>
          <w:rFonts w:ascii="Times New Roman" w:hAnsi="Times New Roman" w:eastAsia="Times New Roman"/>
          <w:b w:val="0"/>
          <w:i w:val="0"/>
          <w:sz w:val="24"/>
        </w:rPr>
        <w:t>Figure 5.10. Cumulative reward at horizons T in {200, 500, 1000, 2000} for LinUCB, LinTS, and a freshly-trained XGBoost baseline (EXP-010).</w:t>
      </w:r>
    </w:p>
    <w:p>
      <w:r>
        <w:br w:type="page"/>
      </w:r>
    </w:p>
    <w:p>
      <w:pPr>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3.1.  Comparative summary of contextual bandit algorithms for dynamic decision-making.</w:t>
      </w:r>
    </w:p>
    <w:p>
      <w:pPr>
        <w:spacing w:after="120" w:before="0" w:lineRule="auto" w:line="360"/>
        <w:ind w:firstLine="720"/>
        <w:jc w:val="left"/>
      </w:pPr>
      <w:r>
        <w:rPr>
          <w:rFonts w:ascii="Times New Roman" w:hAnsi="Times New Roman" w:eastAsia="Times New Roman"/>
          <w:b w:val="0"/>
          <w:i w:val="0"/>
          <w:sz w:val="24"/>
        </w:rPr>
        <w:t>Table 4.1.  Functional requirement groups mapped to research problems.</w:t>
      </w:r>
    </w:p>
    <w:p>
      <w:pPr>
        <w:spacing w:after="120" w:before="0" w:lineRule="auto" w:line="360"/>
        <w:ind w:firstLine="720"/>
        <w:jc w:val="left"/>
      </w:pPr>
      <w:r>
        <w:rPr>
          <w:rFonts w:ascii="Times New Roman" w:hAnsi="Times New Roman" w:eastAsia="Times New Roman"/>
          <w:b w:val="0"/>
          <w:i w:val="0"/>
          <w:sz w:val="24"/>
        </w:rPr>
        <w:t>Table 4.2.  Non-functional requirements.</w:t>
      </w:r>
    </w:p>
    <w:p>
      <w:pPr>
        <w:spacing w:after="120" w:before="0" w:lineRule="auto" w:line="360"/>
        <w:ind w:firstLine="720"/>
        <w:jc w:val="left"/>
      </w:pPr>
      <w:r>
        <w:rPr>
          <w:rFonts w:ascii="Times New Roman" w:hAnsi="Times New Roman" w:eastAsia="Times New Roman"/>
          <w:b w:val="0"/>
          <w:i w:val="0"/>
          <w:sz w:val="24"/>
        </w:rPr>
        <w:t>Table 4.3a.  Backend and data-science components of the implementation stack.</w:t>
      </w:r>
    </w:p>
    <w:p>
      <w:pPr>
        <w:spacing w:after="120" w:before="0" w:lineRule="auto" w:line="360"/>
        <w:ind w:firstLine="720"/>
        <w:jc w:val="left"/>
      </w:pPr>
      <w:r>
        <w:rPr>
          <w:rFonts w:ascii="Times New Roman" w:hAnsi="Times New Roman" w:eastAsia="Times New Roman"/>
          <w:b w:val="0"/>
          <w:i w:val="0"/>
          <w:sz w:val="24"/>
        </w:rPr>
        <w:t>Table 4.3b.  Frontend and visualisation components.</w:t>
      </w:r>
    </w:p>
    <w:p>
      <w:pPr>
        <w:spacing w:after="120" w:before="0" w:lineRule="auto" w:line="360"/>
        <w:ind w:firstLine="720"/>
        <w:jc w:val="left"/>
      </w:pPr>
      <w:r>
        <w:rPr>
          <w:rFonts w:ascii="Times New Roman" w:hAnsi="Times New Roman" w:eastAsia="Times New Roman"/>
          <w:b w:val="0"/>
          <w:i w:val="0"/>
          <w:sz w:val="24"/>
        </w:rPr>
        <w:t>Table 4.3c.  Deployment and development components.</w:t>
      </w:r>
    </w:p>
    <w:p>
      <w:pPr>
        <w:spacing w:after="120" w:before="0" w:lineRule="auto" w:line="360"/>
        <w:ind w:firstLine="720"/>
        <w:jc w:val="left"/>
      </w:pPr>
      <w:r>
        <w:rPr>
          <w:rFonts w:ascii="Times New Roman" w:hAnsi="Times New Roman" w:eastAsia="Times New Roman"/>
          <w:b w:val="0"/>
          <w:i w:val="0"/>
          <w:sz w:val="24"/>
        </w:rPr>
        <w:t>Table 4.5.2.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4.7.2.  Action-specific reward functions (expected value).</w:t>
      </w:r>
    </w:p>
    <w:p>
      <w:pPr>
        <w:spacing w:after="120" w:before="0" w:lineRule="auto" w:line="360"/>
        <w:ind w:firstLine="720"/>
        <w:jc w:val="left"/>
      </w:pPr>
      <w:r>
        <w:rPr>
          <w:rFonts w:ascii="Times New Roman" w:hAnsi="Times New Roman" w:eastAsia="Times New Roman"/>
          <w:b w:val="0"/>
          <w:i w:val="0"/>
          <w:sz w:val="24"/>
        </w:rPr>
        <w:t>Table 5.1.1.  EXP-005 cumulative performance (20 seeds, mean +/- std with 95% bootstrap CI).</w:t>
      </w:r>
    </w:p>
    <w:p>
      <w:pPr>
        <w:spacing w:after="120" w:before="0" w:lineRule="auto" w:line="360"/>
        <w:ind w:firstLine="720"/>
        <w:jc w:val="left"/>
      </w:pPr>
      <w:r>
        <w:rPr>
          <w:rFonts w:ascii="Times New Roman" w:hAnsi="Times New Roman" w:eastAsia="Times New Roman"/>
          <w:b w:val="0"/>
          <w:i w:val="0"/>
          <w:sz w:val="24"/>
        </w:rPr>
        <w:t>Table 5.2.1.  EXP-006 converged-phase approval rates by region and occupation.</w:t>
      </w:r>
    </w:p>
    <w:p>
      <w:pPr>
        <w:spacing w:after="120" w:before="0" w:lineRule="auto" w:line="360"/>
        <w:ind w:firstLine="720"/>
        <w:jc w:val="left"/>
      </w:pPr>
      <w:r>
        <w:rPr>
          <w:rFonts w:ascii="Times New Roman" w:hAnsi="Times New Roman" w:eastAsia="Times New Roman"/>
          <w:b w:val="0"/>
          <w:i w:val="0"/>
          <w:sz w:val="24"/>
        </w:rPr>
        <w:t>Table 5.3.1.  EXP-007 benchmark comparison final rankings.</w:t>
      </w:r>
    </w:p>
    <w:p>
      <w:pPr>
        <w:spacing w:after="120" w:before="0" w:lineRule="auto" w:line="360"/>
        <w:ind w:firstLine="720"/>
        <w:jc w:val="left"/>
      </w:pPr>
      <w:r>
        <w:rPr>
          <w:rFonts w:ascii="Times New Roman" w:hAnsi="Times New Roman" w:eastAsia="Times New Roman"/>
          <w:b w:val="0"/>
          <w:i w:val="0"/>
          <w:sz w:val="24"/>
        </w:rPr>
        <w:t>Table 5.4.1.  EXP-008 HITL performance versus mathematical-REFER baseline.</w:t>
      </w:r>
    </w:p>
    <w:p>
      <w:pPr>
        <w:spacing w:after="120" w:before="0" w:lineRule="auto" w:line="360"/>
        <w:ind w:firstLine="720"/>
        <w:jc w:val="left"/>
      </w:pPr>
      <w:r>
        <w:rPr>
          <w:rFonts w:ascii="Times New Roman" w:hAnsi="Times New Roman" w:eastAsia="Times New Roman"/>
          <w:b w:val="0"/>
          <w:i w:val="0"/>
          <w:sz w:val="24"/>
        </w:rPr>
        <w:t>Table 5.6.1.  EXP-013 mean-curve log-log slope of LinUCB cumulative regret as a function of burn-in.</w:t>
      </w:r>
    </w:p>
    <w:p>
      <w:pPr>
        <w:spacing w:after="120" w:before="0" w:lineRule="auto" w:line="360"/>
        <w:ind w:firstLine="720"/>
        <w:jc w:val="left"/>
      </w:pPr>
      <w:r>
        <w:rPr>
          <w:rFonts w:ascii="Times New Roman" w:hAnsi="Times New Roman" w:eastAsia="Times New Roman"/>
          <w:b w:val="0"/>
          <w:i w:val="0"/>
          <w:sz w:val="24"/>
        </w:rPr>
        <w:t>Table 5.7.1.  EXP-011 ablation results: Full LinUCB, No-REFER, Greedy-only, StaticXGB.</w:t>
      </w:r>
    </w:p>
    <w:p>
      <w:pPr>
        <w:spacing w:after="120" w:before="0" w:lineRule="auto" w:line="360"/>
        <w:ind w:firstLine="720"/>
        <w:jc w:val="left"/>
      </w:pPr>
      <w:r>
        <w:rPr>
          <w:rFonts w:ascii="Times New Roman" w:hAnsi="Times New Roman" w:eastAsia="Times New Roman"/>
          <w:b w:val="0"/>
          <w:i w:val="0"/>
          <w:sz w:val="24"/>
        </w:rPr>
        <w:t>Table 5.8.1.  EXP-012 LinUCB alpha sensitivity sweep.</w:t>
      </w:r>
    </w:p>
    <w:p>
      <w:pPr>
        <w:spacing w:after="120" w:before="0" w:lineRule="auto" w:line="360"/>
        <w:ind w:firstLine="720"/>
        <w:jc w:val="left"/>
      </w:pPr>
      <w:r>
        <w:rPr>
          <w:rFonts w:ascii="Times New Roman" w:hAnsi="Times New Roman" w:eastAsia="Times New Roman"/>
          <w:b w:val="0"/>
          <w:i w:val="0"/>
          <w:sz w:val="24"/>
        </w:rPr>
        <w:t>Table 5.8.2.  EXP-012 adverse-selection factor sweep.</w:t>
      </w:r>
    </w:p>
    <w:p>
      <w:pPr>
        <w:spacing w:after="120" w:before="0" w:lineRule="auto" w:line="360"/>
        <w:ind w:firstLine="720"/>
        <w:jc w:val="left"/>
      </w:pPr>
      <w:r>
        <w:rPr>
          <w:rFonts w:ascii="Times New Roman" w:hAnsi="Times New Roman" w:eastAsia="Times New Roman"/>
          <w:b w:val="0"/>
          <w:i w:val="0"/>
          <w:sz w:val="24"/>
        </w:rPr>
        <w:t>Table 5.8.3.  EXP-012 customer-elasticity slope sweep.</w:t>
      </w:r>
    </w:p>
    <w:p>
      <w:pPr>
        <w:spacing w:after="120" w:before="0" w:lineRule="auto" w:line="360"/>
        <w:ind w:firstLine="720"/>
        <w:jc w:val="left"/>
      </w:pPr>
      <w:r>
        <w:rPr>
          <w:rFonts w:ascii="Times New Roman" w:hAnsi="Times New Roman" w:eastAsia="Times New Roman"/>
          <w:b w:val="0"/>
          <w:i w:val="0"/>
          <w:sz w:val="24"/>
        </w:rPr>
        <w:t>Table 5.9.1.  EXP-009 pre- and post-shock per-round regret.</w:t>
      </w:r>
    </w:p>
    <w:p>
      <w:pPr>
        <w:spacing w:after="120" w:before="0" w:lineRule="auto" w:line="360"/>
        <w:ind w:firstLine="720"/>
        <w:jc w:val="left"/>
      </w:pPr>
      <w:r>
        <w:rPr>
          <w:rFonts w:ascii="Times New Roman" w:hAnsi="Times New Roman" w:eastAsia="Times New Roman"/>
          <w:b w:val="0"/>
          <w:i w:val="0"/>
          <w:sz w:val="24"/>
        </w:rPr>
        <w:t>Table 5.10.1.  EXP-010 cumulative reward by horizon T.</w:t>
      </w:r>
    </w:p>
    <w:p>
      <w:r>
        <w:br w:type="page"/>
      </w:r>
    </w:p>
    <w:p>
      <w:pPr>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pPr>
        <w:sectPr>
          <w:footerReference w:type="default" r:id="rId9"/>
          <w:pgSz w:w="11906" w:h="16838"/>
          <w:pgMar w:top="1440" w:right="1440" w:bottom="1440" w:left="1797" w:header="720" w:footer="720" w:gutter="0"/>
          <w:cols w:space="720"/>
          <w:docGrid w:linePitch="360"/>
          <w:pgNumType w:fmt="lowerRoman" w:start="1"/>
          <w:titlePg/>
        </w:sectPr>
      </w:pPr>
    </w:p>
    <w:p>
      <w:r>
        <w:br w:type="page"/>
      </w:r>
    </w:p>
    <w:p>
      <w:pPr>
        <w:spacing w:after="480" w:before="0" w:lineRule="auto" w:line="360"/>
        <w:jc w:val="center"/>
      </w:pPr>
      <w:r>
        <w:rPr>
          <w:rFonts w:ascii="Times New Roman" w:hAnsi="Times New Roman" w:eastAsia="Times New Roman"/>
          <w:b/>
          <w:i w:val="0"/>
          <w:sz w:val="32"/>
        </w:rPr>
        <w:t>CHAPTER I. INTRODUCTION</w:t>
      </w:r>
    </w:p>
    <w:p>
      <w:pPr>
        <w:spacing w:after="240" w:before="0" w:lineRule="auto" w:line="360"/>
        <w:jc w:val="left"/>
      </w:pPr>
      <w:r>
        <w:rPr>
          <w:rFonts w:ascii="Times New Roman" w:hAnsi="Times New Roman" w:eastAsia="Times New Roman"/>
          <w:b/>
          <w:i w:val="0"/>
          <w:sz w:val="28"/>
        </w:rPr>
        <w:t>1.1. Presentation of Internship</w:t>
      </w:r>
    </w:p>
    <w:p>
      <w:pPr>
        <w:spacing w:after="240" w:before="0" w:lineRule="auto" w:line="360"/>
        <w:ind w:firstLine="720"/>
        <w:jc w:val="both"/>
      </w:pPr>
      <w:r>
        <w:rPr>
          <w:rFonts w:ascii="Times New Roman" w:hAnsi="Times New Roman" w:eastAsia="Times New Roman"/>
          <w:b w:val="0"/>
          <w:i w:val="0"/>
          <w:sz w:val="24"/>
        </w:rPr>
        <w:t>This thesis is conducted as part of the final-year graduation requirement at the Institut de Technologie du Cambodge (ITC), under the academic supervision of Dr. HAS Sothea and the internship advisory of Mr. ON Radet. The research component is carried out at Decent Actuarial Consultants Co., Ltd. (DAC), Phnom Penh, Cambodia, and is focused on the application of contextual bandit algorithms to health insurance underwriting in the Cambodian market. The internship and research work address a practical industry problem — the inefficiency of static rule-based underwriting in emerging insurance markets — and propose a reproducible algorithmic framework as a solution.</w:t>
      </w:r>
    </w:p>
    <w:p>
      <w:pPr>
        <w:spacing w:after="240" w:before="0" w:lineRule="auto" w:line="360"/>
        <w:ind w:left="720"/>
        <w:jc w:val="left"/>
      </w:pPr>
      <w:r>
        <w:rPr>
          <w:rFonts w:ascii="Times New Roman" w:hAnsi="Times New Roman" w:eastAsia="Times New Roman"/>
          <w:b/>
          <w:i w:val="0"/>
          <w:sz w:val="24"/>
        </w:rPr>
        <w:t>1.1.1. Objective of Internship</w:t>
      </w:r>
    </w:p>
    <w:p>
      <w:pPr>
        <w:spacing w:after="240" w:before="0" w:lineRule="auto" w:line="360"/>
        <w:ind w:firstLine="720"/>
        <w:jc w:val="both"/>
      </w:pPr>
      <w:r>
        <w:rPr>
          <w:rFonts w:ascii="Times New Roman" w:hAnsi="Times New Roman" w:eastAsia="Times New Roman"/>
          <w:b w:val="0"/>
          <w:i w:val="0"/>
          <w:sz w:val="24"/>
        </w:rPr>
        <w:t>DAC's objective for this internship is to advance research and applied work in algorithmic decision-making for the Cambodian financial services sector, with particular emphasis on insurance underwriting, risk assessment, and actuarial modeling. The intern is tasked with designing, implementing, and empirically validating a contextual bandit framework that can serve as a prototype for adaptive underwriting in the Cambodian health insurance market.</w:t>
      </w:r>
    </w:p>
    <w:p>
      <w:pPr>
        <w:spacing w:after="240" w:before="0" w:lineRule="auto" w:line="360"/>
        <w:ind w:left="720"/>
        <w:jc w:val="left"/>
      </w:pPr>
      <w:r>
        <w:rPr>
          <w:rFonts w:ascii="Times New Roman" w:hAnsi="Times New Roman" w:eastAsia="Times New Roman"/>
          <w:b/>
          <w:i w:val="0"/>
          <w:sz w:val="24"/>
        </w:rPr>
        <w:t>1.1.2. Duration of Internship</w:t>
      </w:r>
    </w:p>
    <w:p>
      <w:pPr>
        <w:spacing w:after="240" w:before="0" w:lineRule="auto" w:line="360"/>
        <w:ind w:firstLine="720"/>
        <w:jc w:val="both"/>
      </w:pPr>
      <w:r>
        <w:rPr>
          <w:rFonts w:ascii="Times New Roman" w:hAnsi="Times New Roman" w:eastAsia="Times New Roman"/>
          <w:b w:val="0"/>
          <w:i w:val="0"/>
          <w:sz w:val="24"/>
        </w:rPr>
        <w:t>The internship and research work documented in this thesis were conducted over a period of three months, from March to June 2026, under the supervision of Dr. HAS Sothea (academic supervisor) and Mr. ON Radet (internship advisor). The work encompassed literature review, dataset design, algorithm implementation, experimental validation, and thesis writing.</w:t>
      </w:r>
    </w:p>
    <w:p>
      <w:pPr>
        <w:spacing w:after="240" w:before="0" w:lineRule="auto" w:line="360"/>
        <w:jc w:val="left"/>
      </w:pPr>
      <w:r>
        <w:rPr>
          <w:rFonts w:ascii="Times New Roman" w:hAnsi="Times New Roman" w:eastAsia="Times New Roman"/>
          <w:b/>
          <w:i w:val="0"/>
          <w:sz w:val="28"/>
        </w:rPr>
        <w:t>1.2. Presentation of Organization</w:t>
      </w:r>
    </w:p>
    <w:p>
      <w:pPr>
        <w:spacing w:after="240" w:before="0" w:lineRule="auto" w:line="360"/>
        <w:ind w:left="720"/>
        <w:jc w:val="left"/>
      </w:pPr>
      <w:r>
        <w:rPr>
          <w:rFonts w:ascii="Times New Roman" w:hAnsi="Times New Roman" w:eastAsia="Times New Roman"/>
          <w:b/>
          <w:i w:val="0"/>
          <w:sz w:val="24"/>
        </w:rPr>
        <w:t>1.2.1. General Information of Company</w:t>
      </w:r>
    </w:p>
    <w:p>
      <w:pPr>
        <w:spacing w:after="240" w:before="0" w:lineRule="auto" w:line="360"/>
        <w:ind w:firstLine="720"/>
        <w:jc w:val="both"/>
      </w:pPr>
      <w:r>
        <w:rPr>
          <w:rFonts w:ascii="Times New Roman" w:hAnsi="Times New Roman" w:eastAsia="Times New Roman"/>
          <w:b w:val="0"/>
          <w:i w:val="0"/>
          <w:sz w:val="24"/>
        </w:rPr>
        <w:t xml:space="preserve">The host organization is </w:t>
      </w:r>
      <w:r>
        <w:rPr>
          <w:rFonts w:ascii="Times New Roman" w:hAnsi="Times New Roman" w:eastAsia="Times New Roman"/>
          <w:b/>
          <w:i w:val="0"/>
          <w:sz w:val="24"/>
        </w:rPr>
        <w:t>Decent Actuarial Consultants Co., Ltd. (DAC)</w:t>
      </w:r>
      <w:r>
        <w:rPr>
          <w:rFonts w:ascii="Times New Roman" w:hAnsi="Times New Roman" w:eastAsia="Times New Roman"/>
          <w:b w:val="0"/>
          <w:i w:val="0"/>
          <w:sz w:val="24"/>
        </w:rPr>
        <w:t>, an actuarial consulting firm headquartered in Taipei, Taiwan, with regional operations covering Vietnam, Cambodia, and other Southeast Asian countries. DAC specializes in providing professional actuarial services to insurance companies operating under the regulatory frameworks of Southeast Asian jurisdictions. The internship and research work documented in this thesis were conducted at DAC's Phnom Penh, Cambodia office.</w:t>
      </w:r>
    </w:p>
    <w:p>
      <w:pPr>
        <w:spacing w:after="240" w:before="0" w:lineRule="auto" w:line="360"/>
        <w:ind w:firstLine="720"/>
        <w:jc w:val="both"/>
      </w:pPr>
      <w:r>
        <w:rPr>
          <w:rFonts w:ascii="Times New Roman" w:hAnsi="Times New Roman" w:eastAsia="Times New Roman"/>
          <w:b w:val="0"/>
          <w:i w:val="0"/>
          <w:sz w:val="24"/>
        </w:rPr>
        <w:t>DAC occupies a distinctive position in the regional insurance market: it combines deep actuarial expertise — including IFRS 17 implementation and appointed actuary services — with a strong commitment to capacity-building through university partnerships and government-academia-industry collaboration. This positioning made DAC an appropriate host for a research project that bridges actuarial practice and modern machine learning.</w:t>
      </w:r>
    </w:p>
    <w:p>
      <w:pPr>
        <w:spacing w:after="240" w:before="0" w:lineRule="auto" w:line="360"/>
        <w:ind w:left="720"/>
        <w:jc w:val="left"/>
      </w:pPr>
      <w:r>
        <w:rPr>
          <w:rFonts w:ascii="Times New Roman" w:hAnsi="Times New Roman" w:eastAsia="Times New Roman"/>
          <w:b/>
          <w:i w:val="0"/>
          <w:sz w:val="24"/>
        </w:rPr>
        <w:t>1.2.2. Services of Company</w:t>
      </w:r>
    </w:p>
    <w:p>
      <w:pPr>
        <w:spacing w:after="240" w:before="0" w:lineRule="auto" w:line="360"/>
        <w:ind w:firstLine="720"/>
        <w:jc w:val="both"/>
      </w:pPr>
      <w:r>
        <w:rPr>
          <w:rFonts w:ascii="Times New Roman" w:hAnsi="Times New Roman" w:eastAsia="Times New Roman"/>
          <w:b w:val="0"/>
          <w:i w:val="0"/>
          <w:sz w:val="24"/>
        </w:rPr>
        <w:t>DAC offers six principal service lines:</w:t>
      </w:r>
    </w:p>
    <w:p>
      <w:pPr>
        <w:pStyle w:val="ListNumber"/>
        <w:ind w:left="720"/>
      </w:pPr>
      <w:r>
        <w:rPr>
          <w:rFonts w:ascii="Times New Roman" w:hAnsi="Times New Roman" w:eastAsia="Times New Roman"/>
          <w:b/>
          <w:i w:val="0"/>
          <w:sz w:val="24"/>
        </w:rPr>
        <w:t>Appointed Actuary Services.</w:t>
      </w:r>
      <w:r>
        <w:rPr>
          <w:rFonts w:ascii="Times New Roman" w:hAnsi="Times New Roman" w:eastAsia="Times New Roman"/>
          <w:b w:val="0"/>
          <w:i w:val="0"/>
          <w:sz w:val="24"/>
        </w:rPr>
        <w:t xml:space="preserve"> Actuarial reports prepared in compliance with local regulatory requirements for both life insurance and general insurance companies operating in Southeast Asia.</w:t>
      </w:r>
    </w:p>
    <w:p>
      <w:pPr>
        <w:pStyle w:val="ListNumber"/>
        <w:ind w:left="720"/>
      </w:pPr>
      <w:r>
        <w:rPr>
          <w:rFonts w:ascii="Times New Roman" w:hAnsi="Times New Roman" w:eastAsia="Times New Roman"/>
          <w:b/>
          <w:i w:val="0"/>
          <w:sz w:val="24"/>
        </w:rPr>
        <w:t>IFRS 17 Implementation.</w:t>
      </w:r>
      <w:r>
        <w:rPr>
          <w:rFonts w:ascii="Times New Roman" w:hAnsi="Times New Roman" w:eastAsia="Times New Roman"/>
          <w:b w:val="0"/>
          <w:i w:val="0"/>
          <w:sz w:val="24"/>
        </w:rPr>
        <w:t xml:space="preserve"> Actuarial evaluation methodologies and model establishment; valuation and business planning processes; experience analysis and automated assumption-setting procedures; integrated actuarial and financial analysis to support regulatory reporting under the International Financial Reporting Standard 17.</w:t>
      </w:r>
    </w:p>
    <w:p>
      <w:pPr>
        <w:pStyle w:val="ListNumber"/>
        <w:ind w:left="720"/>
      </w:pPr>
      <w:r>
        <w:rPr>
          <w:rFonts w:ascii="Times New Roman" w:hAnsi="Times New Roman" w:eastAsia="Times New Roman"/>
          <w:b/>
          <w:i w:val="0"/>
          <w:sz w:val="24"/>
        </w:rPr>
        <w:t>Product Development.</w:t>
      </w:r>
      <w:r>
        <w:rPr>
          <w:rFonts w:ascii="Times New Roman" w:hAnsi="Times New Roman" w:eastAsia="Times New Roman"/>
          <w:b w:val="0"/>
          <w:i w:val="0"/>
          <w:sz w:val="24"/>
        </w:rPr>
        <w:t xml:space="preserve"> Life insurance product sign-offs; survey, design, and pricing for life and general insurance products; preparation of filing documentation for regulatory submissions.</w:t>
      </w:r>
    </w:p>
    <w:p>
      <w:pPr>
        <w:pStyle w:val="ListNumber"/>
        <w:ind w:left="720"/>
      </w:pPr>
      <w:r>
        <w:rPr>
          <w:rFonts w:ascii="Times New Roman" w:hAnsi="Times New Roman" w:eastAsia="Times New Roman"/>
          <w:b/>
          <w:i w:val="0"/>
          <w:sz w:val="24"/>
        </w:rPr>
        <w:t>Asset–Liability Management and Enterprise Risk Management (ALM &amp; ERM).</w:t>
      </w:r>
      <w:r>
        <w:rPr>
          <w:rFonts w:ascii="Times New Roman" w:hAnsi="Times New Roman" w:eastAsia="Times New Roman"/>
          <w:b w:val="0"/>
          <w:i w:val="0"/>
          <w:sz w:val="24"/>
        </w:rPr>
        <w:t xml:space="preserve"> Investment strategy development; solvency system design; implementation of Insurance Capital Standard and Economic Capital frameworks; reinsurance strategy planning.</w:t>
      </w:r>
    </w:p>
    <w:p>
      <w:pPr>
        <w:pStyle w:val="ListNumber"/>
        <w:ind w:left="720"/>
      </w:pPr>
      <w:r>
        <w:rPr>
          <w:rFonts w:ascii="Times New Roman" w:hAnsi="Times New Roman" w:eastAsia="Times New Roman"/>
          <w:b/>
          <w:i w:val="0"/>
          <w:sz w:val="24"/>
        </w:rPr>
        <w:t>Mergers and Acquisitions Advisory.</w:t>
      </w:r>
      <w:r>
        <w:rPr>
          <w:rFonts w:ascii="Times New Roman" w:hAnsi="Times New Roman" w:eastAsia="Times New Roman"/>
          <w:b w:val="0"/>
          <w:i w:val="0"/>
          <w:sz w:val="24"/>
        </w:rPr>
        <w:t xml:space="preserve"> Due diligence for insurance company acquisitions; market research and financial planning for startup insurers entering the Southeast Asian market.</w:t>
      </w:r>
    </w:p>
    <w:p>
      <w:pPr>
        <w:pStyle w:val="ListNumber"/>
        <w:ind w:left="720"/>
      </w:pPr>
      <w:r>
        <w:rPr>
          <w:rFonts w:ascii="Times New Roman" w:hAnsi="Times New Roman" w:eastAsia="Times New Roman"/>
          <w:b/>
          <w:i w:val="0"/>
          <w:sz w:val="24"/>
        </w:rPr>
        <w:t>Education and Cooperation.</w:t>
      </w:r>
      <w:r>
        <w:rPr>
          <w:rFonts w:ascii="Times New Roman" w:hAnsi="Times New Roman" w:eastAsia="Times New Roman"/>
          <w:b w:val="0"/>
          <w:i w:val="0"/>
          <w:sz w:val="24"/>
        </w:rPr>
        <w:t xml:space="preserve"> University partnerships across the region; government-academia-industry collaboration initiatives; international cooperation programs supporting the development of actuarial capacity in emerging markets.</w:t>
      </w:r>
    </w:p>
    <w:p>
      <w:pPr>
        <w:spacing w:after="240" w:before="0" w:lineRule="auto" w:line="360"/>
        <w:ind w:left="720"/>
        <w:jc w:val="left"/>
      </w:pPr>
      <w:r>
        <w:rPr>
          <w:rFonts w:ascii="Times New Roman" w:hAnsi="Times New Roman" w:eastAsia="Times New Roman"/>
          <w:b/>
          <w:i w:val="0"/>
          <w:sz w:val="24"/>
        </w:rPr>
        <w:t>1.2.3. Vision &amp; Mission</w:t>
      </w:r>
    </w:p>
    <w:p>
      <w:pPr>
        <w:spacing w:after="240" w:before="0" w:lineRule="auto" w:line="360"/>
        <w:ind w:firstLine="720"/>
        <w:jc w:val="both"/>
      </w:pPr>
      <w:r>
        <w:rPr>
          <w:rFonts w:ascii="Times New Roman" w:hAnsi="Times New Roman" w:eastAsia="Times New Roman"/>
          <w:b w:val="0"/>
          <w:i w:val="0"/>
          <w:sz w:val="24"/>
        </w:rPr>
        <w:t>DAC's stated business scope encompasses general insurance and life insurance consulting across Vietnam, Cambodia, and other Southeast Asian countries. The firm's operating philosophy reflects a dual commitment: delivering technically rigorous actuarial services that meet international regulatory standards (IFRS 17, Insurance Capital Standard), while building local actuarial capacity through education and cooperation with universities and government bodies. This combination of professional excellence and institutional development shapes the environment in which this research project was conceived and executed.</w:t>
      </w:r>
    </w:p>
    <w:p>
      <w:pPr>
        <w:spacing w:after="240" w:before="0" w:lineRule="auto" w:line="360"/>
        <w:ind w:left="720"/>
        <w:jc w:val="left"/>
      </w:pPr>
      <w:r>
        <w:rPr>
          <w:rFonts w:ascii="Times New Roman" w:hAnsi="Times New Roman" w:eastAsia="Times New Roman"/>
          <w:b/>
          <w:i w:val="0"/>
          <w:sz w:val="24"/>
        </w:rPr>
        <w:t>1.2.4. Organization Chart</w:t>
      </w:r>
    </w:p>
    <w:p>
      <w:pPr>
        <w:spacing w:after="120" w:before="0" w:lineRule="auto" w:line="360"/>
        <w:jc w:val="center"/>
      </w:pPr>
      <w:r>
        <w:drawing>
          <wp:inline xmlns:a="http://schemas.openxmlformats.org/drawingml/2006/main" xmlns:pic="http://schemas.openxmlformats.org/drawingml/2006/picture">
            <wp:extent cx="5486400" cy="3209458"/>
            <wp:docPr id="1" name="Picture 1"/>
            <wp:cNvGraphicFramePr>
              <a:graphicFrameLocks noChangeAspect="1"/>
            </wp:cNvGraphicFramePr>
            <a:graphic>
              <a:graphicData uri="http://schemas.openxmlformats.org/drawingml/2006/picture">
                <pic:pic>
                  <pic:nvPicPr>
                    <pic:cNvPr id="0" name="fig_organization_chart.png"/>
                    <pic:cNvPicPr/>
                  </pic:nvPicPr>
                  <pic:blipFill>
                    <a:blip r:embed="rId11"/>
                    <a:stretch>
                      <a:fillRect/>
                    </a:stretch>
                  </pic:blipFill>
                  <pic:spPr>
                    <a:xfrm>
                      <a:off x="0" y="0"/>
                      <a:ext cx="5486400" cy="320945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1.1. DAC organizational structure and internship placement within the Phnom Penh office.</w:t>
      </w:r>
    </w:p>
    <w:p>
      <w:pPr>
        <w:spacing w:after="240" w:before="0" w:lineRule="auto" w:line="360"/>
        <w:ind w:left="720"/>
        <w:jc w:val="left"/>
      </w:pPr>
      <w:r>
        <w:rPr>
          <w:rFonts w:ascii="Times New Roman" w:hAnsi="Times New Roman" w:eastAsia="Times New Roman"/>
          <w:b/>
          <w:i w:val="0"/>
          <w:sz w:val="24"/>
        </w:rPr>
        <w:t>1.2.5. Address &amp; Contact</w:t>
      </w:r>
    </w:p>
    <w:p>
      <w:pPr>
        <w:spacing w:after="240" w:before="0" w:lineRule="auto" w:line="360"/>
        <w:ind w:firstLine="720"/>
        <w:jc w:val="both"/>
      </w:pPr>
      <w:r>
        <w:rPr>
          <w:rFonts w:ascii="Times New Roman" w:hAnsi="Times New Roman" w:eastAsia="Times New Roman"/>
          <w:b w:val="0"/>
          <w:i w:val="0"/>
          <w:sz w:val="24"/>
        </w:rPr>
        <w:t>DAC maintains its registered headquarters in Taipei, Taiwan, with the Phnom Penh, Cambodia office serving as the operational base for this internship.</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Contact Role</w:t>
            </w:r>
          </w:p>
        </w:tc>
        <w:tc>
          <w:tcPr>
            <w:tcW w:type="dxa" w:w="4334"/>
          </w:tcPr>
          <w:p>
            <w:pPr>
              <w:spacing w:after="120" w:before="0" w:lineRule="auto" w:line="276"/>
              <w:jc w:val="left"/>
            </w:pPr>
            <w:r/>
            <w:r>
              <w:rPr>
                <w:rFonts w:ascii="Times New Roman" w:hAnsi="Times New Roman" w:eastAsia="Times New Roman"/>
                <w:b w:val="0"/>
                <w:i w:val="0"/>
                <w:sz w:val="22"/>
              </w:rPr>
              <w:t>Name / Detail</w:t>
            </w:r>
          </w:p>
        </w:tc>
      </w:tr>
      <w:tr>
        <w:tc>
          <w:tcPr>
            <w:tcW w:type="dxa" w:w="4334"/>
          </w:tcPr>
          <w:p>
            <w:pPr>
              <w:spacing w:after="120" w:before="0" w:lineRule="auto" w:line="276"/>
              <w:jc w:val="left"/>
            </w:pPr>
            <w:r/>
            <w:r>
              <w:rPr>
                <w:rFonts w:ascii="Times New Roman" w:hAnsi="Times New Roman" w:eastAsia="Times New Roman"/>
                <w:b w:val="0"/>
                <w:i w:val="0"/>
                <w:sz w:val="22"/>
              </w:rPr>
              <w:t>Company Name</w:t>
            </w:r>
          </w:p>
        </w:tc>
        <w:tc>
          <w:tcPr>
            <w:tcW w:type="dxa" w:w="4334"/>
          </w:tcPr>
          <w:p>
            <w:pPr>
              <w:spacing w:after="120" w:before="0" w:lineRule="auto" w:line="276"/>
              <w:jc w:val="left"/>
            </w:pPr>
            <w:r/>
            <w:r>
              <w:rPr>
                <w:rFonts w:ascii="Times New Roman" w:hAnsi="Times New Roman" w:eastAsia="Times New Roman"/>
                <w:b w:val="0"/>
                <w:i w:val="0"/>
                <w:sz w:val="22"/>
              </w:rPr>
              <w:t>Decent Actuarial Consultants Co., Ltd. (DAC)</w:t>
            </w:r>
          </w:p>
        </w:tc>
      </w:tr>
      <w:tr>
        <w:tc>
          <w:tcPr>
            <w:tcW w:type="dxa" w:w="4334"/>
          </w:tcPr>
          <w:p>
            <w:pPr>
              <w:spacing w:after="120" w:before="0" w:lineRule="auto" w:line="276"/>
              <w:jc w:val="left"/>
            </w:pPr>
            <w:r/>
            <w:r>
              <w:rPr>
                <w:rFonts w:ascii="Times New Roman" w:hAnsi="Times New Roman" w:eastAsia="Times New Roman"/>
                <w:b w:val="0"/>
                <w:i w:val="0"/>
                <w:sz w:val="22"/>
              </w:rPr>
              <w:t>Headquarters</w:t>
            </w:r>
          </w:p>
        </w:tc>
        <w:tc>
          <w:tcPr>
            <w:tcW w:type="dxa" w:w="4334"/>
          </w:tcPr>
          <w:p>
            <w:pPr>
              <w:spacing w:after="120" w:before="0" w:lineRule="auto" w:line="276"/>
              <w:jc w:val="left"/>
            </w:pPr>
            <w:r/>
            <w:r>
              <w:rPr>
                <w:rFonts w:ascii="Times New Roman" w:hAnsi="Times New Roman" w:eastAsia="Times New Roman"/>
                <w:b w:val="0"/>
                <w:i w:val="0"/>
                <w:sz w:val="22"/>
              </w:rPr>
              <w:t>802, No.2, Ln. 150, Sec. 5, Xinyi Rd., Xinyi Dist., Taipei City 110, Taiwan</w:t>
            </w:r>
          </w:p>
        </w:tc>
      </w:tr>
      <w:tr>
        <w:tc>
          <w:tcPr>
            <w:tcW w:type="dxa" w:w="4334"/>
          </w:tcPr>
          <w:p>
            <w:pPr>
              <w:spacing w:after="120" w:before="0" w:lineRule="auto" w:line="276"/>
              <w:jc w:val="left"/>
            </w:pPr>
            <w:r/>
            <w:r>
              <w:rPr>
                <w:rFonts w:ascii="Times New Roman" w:hAnsi="Times New Roman" w:eastAsia="Times New Roman"/>
                <w:b w:val="0"/>
                <w:i w:val="0"/>
                <w:sz w:val="22"/>
              </w:rPr>
              <w:t>HQ Phone</w:t>
            </w:r>
          </w:p>
        </w:tc>
        <w:tc>
          <w:tcPr>
            <w:tcW w:type="dxa" w:w="4334"/>
          </w:tcPr>
          <w:p>
            <w:pPr>
              <w:spacing w:after="120" w:before="0" w:lineRule="auto" w:line="276"/>
              <w:jc w:val="left"/>
            </w:pPr>
            <w:r/>
            <w:r>
              <w:rPr>
                <w:rFonts w:ascii="Times New Roman" w:hAnsi="Times New Roman" w:eastAsia="Times New Roman"/>
                <w:b w:val="0"/>
                <w:i w:val="0"/>
                <w:sz w:val="22"/>
              </w:rPr>
              <w:t>+886-2-2345-6300</w:t>
            </w:r>
          </w:p>
        </w:tc>
      </w:tr>
      <w:tr>
        <w:tc>
          <w:tcPr>
            <w:tcW w:type="dxa" w:w="4334"/>
          </w:tcPr>
          <w:p>
            <w:pPr>
              <w:spacing w:after="120" w:before="0" w:lineRule="auto" w:line="276"/>
              <w:jc w:val="left"/>
            </w:pPr>
            <w:r/>
            <w:r>
              <w:rPr>
                <w:rFonts w:ascii="Times New Roman" w:hAnsi="Times New Roman" w:eastAsia="Times New Roman"/>
                <w:b w:val="0"/>
                <w:i w:val="0"/>
                <w:sz w:val="22"/>
              </w:rPr>
              <w:t>HQ Fax</w:t>
            </w:r>
          </w:p>
        </w:tc>
        <w:tc>
          <w:tcPr>
            <w:tcW w:type="dxa" w:w="4334"/>
          </w:tcPr>
          <w:p>
            <w:pPr>
              <w:spacing w:after="120" w:before="0" w:lineRule="auto" w:line="276"/>
              <w:jc w:val="left"/>
            </w:pPr>
            <w:r/>
            <w:r>
              <w:rPr>
                <w:rFonts w:ascii="Times New Roman" w:hAnsi="Times New Roman" w:eastAsia="Times New Roman"/>
                <w:b w:val="0"/>
                <w:i w:val="0"/>
                <w:sz w:val="22"/>
              </w:rPr>
              <w:t>+886-2-2345-6311</w:t>
            </w:r>
          </w:p>
        </w:tc>
      </w:tr>
      <w:tr>
        <w:tc>
          <w:tcPr>
            <w:tcW w:type="dxa" w:w="4334"/>
          </w:tcPr>
          <w:p>
            <w:pPr>
              <w:spacing w:after="120" w:before="0" w:lineRule="auto" w:line="276"/>
              <w:jc w:val="left"/>
            </w:pPr>
            <w:r/>
            <w:r>
              <w:rPr>
                <w:rFonts w:ascii="Times New Roman" w:hAnsi="Times New Roman" w:eastAsia="Times New Roman"/>
                <w:b w:val="0"/>
                <w:i w:val="0"/>
                <w:sz w:val="22"/>
              </w:rPr>
              <w:t>HQ Email</w:t>
            </w:r>
          </w:p>
        </w:tc>
        <w:tc>
          <w:tcPr>
            <w:tcW w:type="dxa" w:w="4334"/>
          </w:tcPr>
          <w:p>
            <w:pPr>
              <w:spacing w:after="120" w:before="0" w:lineRule="auto" w:line="276"/>
              <w:jc w:val="left"/>
            </w:pPr>
            <w:r/>
            <w:r>
              <w:rPr>
                <w:rFonts w:ascii="Times New Roman" w:hAnsi="Times New Roman" w:eastAsia="Times New Roman"/>
                <w:b w:val="0"/>
                <w:i w:val="0"/>
                <w:sz w:val="22"/>
              </w:rPr>
              <w:t>brook@dac.com.tw</w:t>
            </w:r>
          </w:p>
        </w:tc>
      </w:tr>
      <w:tr>
        <w:tc>
          <w:tcPr>
            <w:tcW w:type="dxa" w:w="4334"/>
          </w:tcPr>
          <w:p>
            <w:pPr>
              <w:spacing w:after="120" w:before="0" w:lineRule="auto" w:line="276"/>
              <w:jc w:val="left"/>
            </w:pPr>
            <w:r/>
            <w:r>
              <w:rPr>
                <w:rFonts w:ascii="Times New Roman" w:hAnsi="Times New Roman" w:eastAsia="Times New Roman"/>
                <w:b w:val="0"/>
                <w:i w:val="0"/>
                <w:sz w:val="22"/>
              </w:rPr>
              <w:t>Internship Office</w:t>
            </w:r>
          </w:p>
        </w:tc>
        <w:tc>
          <w:tcPr>
            <w:tcW w:type="dxa" w:w="4334"/>
          </w:tcPr>
          <w:p>
            <w:pPr>
              <w:spacing w:after="120" w:before="0" w:lineRule="auto" w:line="276"/>
              <w:jc w:val="left"/>
            </w:pPr>
            <w:r/>
            <w:r>
              <w:rPr>
                <w:rFonts w:ascii="Times New Roman" w:hAnsi="Times New Roman" w:eastAsia="Times New Roman"/>
                <w:b w:val="0"/>
                <w:i w:val="0"/>
                <w:sz w:val="22"/>
              </w:rPr>
              <w:t>Phnom Penh, Cambodia</w:t>
            </w:r>
          </w:p>
        </w:tc>
      </w:tr>
      <w:tr>
        <w:tc>
          <w:tcPr>
            <w:tcW w:type="dxa" w:w="4334"/>
          </w:tcPr>
          <w:p>
            <w:pPr>
              <w:spacing w:after="120" w:before="0" w:lineRule="auto" w:line="276"/>
              <w:jc w:val="left"/>
            </w:pPr>
            <w:r/>
            <w:r>
              <w:rPr>
                <w:rFonts w:ascii="Times New Roman" w:hAnsi="Times New Roman" w:eastAsia="Times New Roman"/>
                <w:b w:val="0"/>
                <w:i w:val="0"/>
                <w:sz w:val="22"/>
              </w:rPr>
              <w:t>Academic Supervisor</w:t>
            </w:r>
          </w:p>
        </w:tc>
        <w:tc>
          <w:tcPr>
            <w:tcW w:type="dxa" w:w="4334"/>
          </w:tcPr>
          <w:p>
            <w:pPr>
              <w:spacing w:after="120" w:before="0" w:lineRule="auto" w:line="276"/>
              <w:jc w:val="left"/>
            </w:pPr>
            <w:r/>
            <w:r>
              <w:rPr>
                <w:rFonts w:ascii="Times New Roman" w:hAnsi="Times New Roman" w:eastAsia="Times New Roman"/>
                <w:b w:val="0"/>
                <w:i w:val="0"/>
                <w:sz w:val="22"/>
              </w:rPr>
              <w:t>Dr. HAS Sothea</w:t>
            </w:r>
          </w:p>
        </w:tc>
      </w:tr>
      <w:tr>
        <w:tc>
          <w:tcPr>
            <w:tcW w:type="dxa" w:w="4334"/>
          </w:tcPr>
          <w:p>
            <w:pPr>
              <w:spacing w:after="120" w:before="0" w:lineRule="auto" w:line="276"/>
              <w:jc w:val="left"/>
            </w:pPr>
            <w:r/>
            <w:r>
              <w:rPr>
                <w:rFonts w:ascii="Times New Roman" w:hAnsi="Times New Roman" w:eastAsia="Times New Roman"/>
                <w:b w:val="0"/>
                <w:i w:val="0"/>
                <w:sz w:val="22"/>
              </w:rPr>
              <w:t>Internship Advisor</w:t>
            </w:r>
          </w:p>
        </w:tc>
        <w:tc>
          <w:tcPr>
            <w:tcW w:type="dxa" w:w="4334"/>
          </w:tcPr>
          <w:p>
            <w:pPr>
              <w:spacing w:after="120" w:before="0" w:lineRule="auto" w:line="276"/>
              <w:jc w:val="left"/>
            </w:pPr>
            <w:r/>
            <w:r>
              <w:rPr>
                <w:rFonts w:ascii="Times New Roman" w:hAnsi="Times New Roman" w:eastAsia="Times New Roman"/>
                <w:b w:val="0"/>
                <w:i w:val="0"/>
                <w:sz w:val="22"/>
              </w:rPr>
              <w:t>Mr. ON Radet</w:t>
            </w:r>
          </w:p>
        </w:tc>
      </w:tr>
    </w:tbl>
    <w:p/>
    <w:p>
      <w:r>
        <w:br w:type="page"/>
      </w:r>
    </w:p>
    <w:p>
      <w:pPr>
        <w:spacing w:after="480" w:before="0" w:lineRule="auto" w:line="360"/>
        <w:jc w:val="center"/>
      </w:pPr>
      <w:r>
        <w:rPr>
          <w:rFonts w:ascii="Times New Roman" w:hAnsi="Times New Roman" w:eastAsia="Times New Roman"/>
          <w:b/>
          <w:i w:val="0"/>
          <w:sz w:val="32"/>
        </w:rPr>
        <w:t>CHAPTER II. PRESENTATION OF THE PROJECT</w:t>
      </w:r>
    </w:p>
    <w:p>
      <w:pPr>
        <w:spacing w:after="240" w:before="0" w:lineRule="auto" w:line="360"/>
        <w:jc w:val="left"/>
      </w:pPr>
      <w:r>
        <w:rPr>
          <w:rFonts w:ascii="Times New Roman" w:hAnsi="Times New Roman" w:eastAsia="Times New Roman"/>
          <w:b/>
          <w:i w:val="0"/>
          <w:sz w:val="28"/>
        </w:rPr>
        <w:t>2.1 General Presentation of Project</w:t>
      </w:r>
    </w:p>
    <w:p>
      <w:pPr>
        <w:spacing w:after="240" w:before="0" w:lineRule="auto" w:line="360"/>
        <w:ind w:firstLine="720"/>
        <w:jc w:val="both"/>
      </w:pPr>
      <w:r>
        <w:rPr>
          <w:rFonts w:ascii="Times New Roman" w:hAnsi="Times New Roman" w:eastAsia="Times New Roman"/>
          <w:b w:val="0"/>
          <w:i w:val="0"/>
          <w:sz w:val="24"/>
        </w:rPr>
        <w:t xml:space="preserve">This project develops an adaptive health insurance underwriting system designed specifically for the Cambodian market. The system is titled </w:t>
      </w:r>
      <w:r>
        <w:rPr>
          <w:rFonts w:ascii="Times New Roman" w:hAnsi="Times New Roman" w:eastAsia="Times New Roman"/>
          <w:b w:val="0"/>
          <w:i/>
          <w:sz w:val="24"/>
        </w:rPr>
        <w:t>"Adaptive Health Insurance Underwriting via Contextual Bandits: A Reinforcement Learning Approach for Cambodia."</w:t>
      </w:r>
      <w:r>
        <w:rPr>
          <w:rFonts w:ascii="Times New Roman" w:hAnsi="Times New Roman" w:eastAsia="Times New Roman"/>
          <w:b w:val="0"/>
          <w:i w:val="0"/>
          <w:sz w:val="24"/>
        </w:rPr>
        <w:t xml:space="preserve"> It addresses the critical problem that traditional static rule-based underwriting is suboptimal for emerging-market health insurance because it ignores feature interactions and cannot adapt to portfolio drift over time.</w:t>
      </w:r>
    </w:p>
    <w:p>
      <w:pPr>
        <w:spacing w:after="240" w:before="0" w:lineRule="auto" w:line="360"/>
        <w:ind w:firstLine="720"/>
        <w:jc w:val="both"/>
      </w:pPr>
      <w:r>
        <w:rPr>
          <w:rFonts w:ascii="Times New Roman" w:hAnsi="Times New Roman" w:eastAsia="Times New Roman"/>
          <w:b w:val="0"/>
          <w:i w:val="0"/>
          <w:sz w:val="24"/>
        </w:rPr>
        <w:t>The Cambodian health insurance market presents a unique operating environment. Insurance penetration remains below two percent of the population, distribution relies heavily on agent networks with commissions consuming fifteen to thirty percent of premium revenue, and underwriting decisions are made using deterministic rule sets that cannot learn from experience. Mobile penetration, however, exceeds one hundred percent of the population, and digital payment platforms have reached approximately eighty percent of Cambodian adults. This divergence — low insurance penetration alongside high mobile connectivity — creates an opportunity for algorithmic underwriting delivered through mobile channels.</w:t>
      </w:r>
    </w:p>
    <w:p>
      <w:pPr>
        <w:spacing w:after="240" w:before="0" w:lineRule="auto" w:line="360"/>
        <w:ind w:firstLine="720"/>
        <w:jc w:val="both"/>
      </w:pPr>
      <w:r>
        <w:rPr>
          <w:rFonts w:ascii="Times New Roman" w:hAnsi="Times New Roman" w:eastAsia="Times New Roman"/>
          <w:b w:val="0"/>
          <w:i w:val="0"/>
          <w:sz w:val="24"/>
        </w:rPr>
        <w:t>The project produces four principal deliverables:</w:t>
      </w:r>
    </w:p>
    <w:p>
      <w:pPr>
        <w:pStyle w:val="ListNumber"/>
        <w:ind w:left="720"/>
      </w:pPr>
      <w:r>
        <w:rPr>
          <w:rFonts w:ascii="Times New Roman" w:hAnsi="Times New Roman" w:eastAsia="Times New Roman"/>
          <w:b/>
          <w:i w:val="0"/>
          <w:sz w:val="24"/>
        </w:rPr>
        <w:t>Synthetic Cambodia Health Insurance Dataset.</w:t>
      </w:r>
      <w:r>
        <w:rPr>
          <w:rFonts w:ascii="Times New Roman" w:hAnsi="Times New Roman" w:eastAsia="Times New Roman"/>
          <w:b w:val="0"/>
          <w:i w:val="0"/>
          <w:sz w:val="24"/>
        </w:rPr>
        <w:t xml:space="preserve"> A reproducible dataset of 2,000 applicants anchored on the Cambodia Demographic and Health Survey (CDHS) 2021–22 conducted by the National Institute of Statistics (NIS) in partnership with ICF. The dataset reproduces realistic demographics, disease prevalence (tuberculosis, hepatitis B), regional variation across Cambodian provinces, and occupational risk profiles calibrated to local labor market conditions. The generation script is fully parameterized, enabling other researchers to regenerate or extend the data.</w:t>
      </w:r>
    </w:p>
    <w:p>
      <w:pPr>
        <w:pStyle w:val="ListNumber"/>
        <w:ind w:left="720"/>
      </w:pPr>
      <w:r>
        <w:rPr>
          <w:rFonts w:ascii="Times New Roman" w:hAnsi="Times New Roman" w:eastAsia="Times New Roman"/>
          <w:b/>
          <w:i w:val="0"/>
          <w:sz w:val="24"/>
        </w:rPr>
        <w:t>Contextual Bandit Underwriting Engine.</w:t>
      </w:r>
      <w:r>
        <w:rPr>
          <w:rFonts w:ascii="Times New Roman" w:hAnsi="Times New Roman" w:eastAsia="Times New Roman"/>
          <w:b w:val="0"/>
          <w:i w:val="0"/>
          <w:sz w:val="24"/>
        </w:rPr>
        <w:t xml:space="preserve"> Implementations of three contextual bandit algorithms — LinUCB (Li et al., 2010), LinTS (Agrawal &amp; Goyal, 2013), and Epsilon-Greedy — that learn optimal accept, rate, decline, and refer decisions from sequential feedback. The engine is designed to operate with sub-200-millisecond decision latency on standard CPU hardware, making it deployable on low-resource mobile infrastructure.</w:t>
      </w:r>
    </w:p>
    <w:p>
      <w:pPr>
        <w:pStyle w:val="ListNumber"/>
        <w:ind w:left="720"/>
      </w:pPr>
      <w:r>
        <w:rPr>
          <w:rFonts w:ascii="Times New Roman" w:hAnsi="Times New Roman" w:eastAsia="Times New Roman"/>
          <w:b/>
          <w:i w:val="0"/>
          <w:sz w:val="24"/>
        </w:rPr>
        <w:t>Actuarial Reward Simulator.</w:t>
      </w:r>
      <w:r>
        <w:rPr>
          <w:rFonts w:ascii="Times New Roman" w:hAnsi="Times New Roman" w:eastAsia="Times New Roman"/>
          <w:b w:val="0"/>
          <w:i w:val="0"/>
          <w:sz w:val="24"/>
        </w:rPr>
        <w:t xml:space="preserve"> A profit-based simulator that computes expected reward for each underwriting action, incorporating premium levels calibrated to Cambodian income distributions, claims costs modeled from regional disease burden data, adverse selection effects, and customer acceptance probability as a function of premium-to-income ratio.</w:t>
      </w:r>
    </w:p>
    <w:p>
      <w:pPr>
        <w:pStyle w:val="ListNumber"/>
        <w:ind w:left="720"/>
      </w:pPr>
      <w:r>
        <w:rPr>
          <w:rFonts w:ascii="Times New Roman" w:hAnsi="Times New Roman" w:eastAsia="Times New Roman"/>
          <w:b/>
          <w:i w:val="0"/>
          <w:sz w:val="24"/>
        </w:rPr>
        <w:t>Fairness Monitoring Framework.</w:t>
      </w:r>
      <w:r>
        <w:rPr>
          <w:rFonts w:ascii="Times New Roman" w:hAnsi="Times New Roman" w:eastAsia="Times New Roman"/>
          <w:b w:val="0"/>
          <w:i w:val="0"/>
          <w:sz w:val="24"/>
        </w:rPr>
        <w:t xml:space="preserve"> Population Stability Index (PSI) guardrails that continuously compare the demographic distribution of the approved portfolio against the applicant population. The framework raises GREEN, AMBER, or RED alerts when regional or occupational distributions diverge beyond actuarial thresholds, ensuring that algorithmic profitability does not come at the cost of demographic exclusion.</w:t>
      </w:r>
    </w:p>
    <w:p>
      <w:pPr>
        <w:spacing w:after="240" w:before="0" w:lineRule="auto" w:line="360"/>
        <w:ind w:firstLine="720"/>
        <w:jc w:val="both"/>
      </w:pPr>
      <w:r>
        <w:rPr>
          <w:rFonts w:ascii="Times New Roman" w:hAnsi="Times New Roman" w:eastAsia="Times New Roman"/>
          <w:b w:val="0"/>
          <w:i w:val="0"/>
          <w:sz w:val="24"/>
        </w:rPr>
        <w:t>The project is evaluated through three controlled experiments:</w:t>
      </w:r>
    </w:p>
    <w:p>
      <w:pPr>
        <w:pStyle w:val="ListBullet"/>
        <w:ind w:left="720"/>
      </w:pPr>
      <w:r>
        <w:rPr>
          <w:rFonts w:ascii="Times New Roman" w:hAnsi="Times New Roman" w:eastAsia="Times New Roman"/>
          <w:b/>
          <w:i w:val="0"/>
          <w:sz w:val="24"/>
        </w:rPr>
        <w:t>EXP-005: Underwriting Convergence.</w:t>
      </w:r>
      <w:r>
        <w:rPr>
          <w:rFonts w:ascii="Times New Roman" w:hAnsi="Times New Roman" w:eastAsia="Times New Roman"/>
          <w:b w:val="0"/>
          <w:i w:val="0"/>
          <w:sz w:val="24"/>
        </w:rPr>
        <w:t xml:space="preserve"> Validates that LinUCB learns risk-appropriate decisions and outperforms a static XGBoost rule baseline on cumulative reward and average regret.</w:t>
      </w:r>
    </w:p>
    <w:p>
      <w:pPr>
        <w:pStyle w:val="ListBullet"/>
        <w:ind w:left="720"/>
      </w:pPr>
      <w:r>
        <w:rPr>
          <w:rFonts w:ascii="Times New Roman" w:hAnsi="Times New Roman" w:eastAsia="Times New Roman"/>
          <w:b/>
          <w:i w:val="0"/>
          <w:sz w:val="24"/>
        </w:rPr>
        <w:t>EXP-006: Fairness Audit.</w:t>
      </w:r>
      <w:r>
        <w:rPr>
          <w:rFonts w:ascii="Times New Roman" w:hAnsi="Times New Roman" w:eastAsia="Times New Roman"/>
          <w:b w:val="0"/>
          <w:i w:val="0"/>
          <w:sz w:val="24"/>
        </w:rPr>
        <w:t xml:space="preserve"> Verifies that no regional or occupational segment experiences an approval rate below the U.S. EEOC four-fifths benchmark (80%) of the maximum observed rate, and that the sliding-window PSI remains within GREEN/AMBER thresholds.</w:t>
      </w:r>
    </w:p>
    <w:p>
      <w:pPr>
        <w:pStyle w:val="ListBullet"/>
        <w:ind w:left="720"/>
      </w:pPr>
      <w:r>
        <w:rPr>
          <w:rFonts w:ascii="Times New Roman" w:hAnsi="Times New Roman" w:eastAsia="Times New Roman"/>
          <w:b/>
          <w:i w:val="0"/>
          <w:sz w:val="24"/>
        </w:rPr>
        <w:t>EXP-007: Benchmark Comparison.</w:t>
      </w:r>
      <w:r>
        <w:rPr>
          <w:rFonts w:ascii="Times New Roman" w:hAnsi="Times New Roman" w:eastAsia="Times New Roman"/>
          <w:b w:val="0"/>
          <w:i w:val="0"/>
          <w:sz w:val="24"/>
        </w:rPr>
        <w:t xml:space="preserve"> Provides a head-to-head comparison of LinUCB, LinTS, Epsilon-Greedy, and Static XGB on cumulative regret over 5,000 decision rounds.</w:t>
      </w:r>
    </w:p>
    <w:p>
      <w:pPr>
        <w:spacing w:after="240" w:before="0" w:lineRule="auto" w:line="360"/>
        <w:ind w:firstLine="720"/>
        <w:jc w:val="both"/>
      </w:pPr>
      <w:r>
        <w:rPr>
          <w:rFonts w:ascii="Times New Roman" w:hAnsi="Times New Roman" w:eastAsia="Times New Roman"/>
          <w:b w:val="0"/>
          <w:i w:val="0"/>
          <w:sz w:val="24"/>
        </w:rPr>
        <w:t>All experiments are self-contained Python scripts with fixed random seeds, pass/fail assertions, and standardized exit codes suitable for continuous integration.</w:t>
      </w:r>
    </w:p>
    <w:p>
      <w:pPr>
        <w:spacing w:after="120" w:before="0" w:lineRule="auto" w:line="360"/>
        <w:jc w:val="center"/>
      </w:pPr>
      <w:r>
        <w:drawing>
          <wp:inline xmlns:a="http://schemas.openxmlformats.org/drawingml/2006/main" xmlns:pic="http://schemas.openxmlformats.org/drawingml/2006/picture">
            <wp:extent cx="5486400" cy="3744427"/>
            <wp:docPr id="2" name="Picture 2"/>
            <wp:cNvGraphicFramePr>
              <a:graphicFrameLocks noChangeAspect="1"/>
            </wp:cNvGraphicFramePr>
            <a:graphic>
              <a:graphicData uri="http://schemas.openxmlformats.org/drawingml/2006/picture">
                <pic:pic>
                  <pic:nvPicPr>
                    <pic:cNvPr id="0" name="fig_ch2_system_architecture.png"/>
                    <pic:cNvPicPr/>
                  </pic:nvPicPr>
                  <pic:blipFill>
                    <a:blip r:embed="rId12"/>
                    <a:stretch>
                      <a:fillRect/>
                    </a:stretch>
                  </pic:blipFill>
                  <pic:spPr>
                    <a:xfrm>
                      <a:off x="0" y="0"/>
                      <a:ext cx="5486400" cy="374442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2.1. Adaptive underwriting system architecture: applicant context → bandit policy → reward simulator → PSI guardrail.</w:t>
      </w:r>
    </w:p>
    <w:p>
      <w:pPr>
        <w:spacing w:after="240" w:before="0" w:lineRule="auto" w:line="360"/>
        <w:jc w:val="left"/>
      </w:pPr>
      <w:r>
        <w:rPr>
          <w:rFonts w:ascii="Times New Roman" w:hAnsi="Times New Roman" w:eastAsia="Times New Roman"/>
          <w:b/>
          <w:i w:val="0"/>
          <w:sz w:val="28"/>
        </w:rPr>
        <w:t>2.2 Problematic</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the project is designed to solve.</w:t>
      </w:r>
    </w:p>
    <w:p>
      <w:pPr>
        <w:spacing w:after="240" w:before="0" w:lineRule="auto" w:line="360"/>
        <w:ind w:left="720"/>
        <w:jc w:val="left"/>
      </w:pPr>
      <w:r>
        <w:rPr>
          <w:rFonts w:ascii="Times New Roman" w:hAnsi="Times New Roman" w:eastAsia="Times New Roman"/>
          <w:b/>
          <w:i w:val="0"/>
          <w:sz w:val="24"/>
        </w:rPr>
        <w:t>Suboptimal Risk Selection</w:t>
      </w:r>
    </w:p>
    <w:p>
      <w:pPr>
        <w:spacing w:after="240" w:before="0" w:lineRule="auto" w:line="360"/>
        <w:ind w:firstLine="720"/>
        <w:jc w:val="both"/>
      </w:pPr>
      <w:r>
        <w:rPr>
          <w:rFonts w:ascii="Times New Roman" w:hAnsi="Times New Roman" w:eastAsia="Times New Roman"/>
          <w:b w:val="0"/>
          <w:i w:val="0"/>
          <w:sz w:val="24"/>
        </w:rPr>
        <w:t>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 This suboptimal selection reduces both insurer profitability and market coverage.</w:t>
      </w:r>
    </w:p>
    <w:p>
      <w:pPr>
        <w:spacing w:after="240" w:before="0" w:lineRule="auto" w:line="360"/>
        <w:ind w:left="720"/>
        <w:jc w:val="left"/>
      </w:pPr>
      <w:r>
        <w:rPr>
          <w:rFonts w:ascii="Times New Roman" w:hAnsi="Times New Roman" w:eastAsia="Times New Roman"/>
          <w:b/>
          <w:i w:val="0"/>
          <w:sz w:val="24"/>
        </w:rPr>
        <w:t>Inability to Adapt to Portfolio Drift</w:t>
      </w:r>
    </w:p>
    <w:p>
      <w:pPr>
        <w:spacing w:after="240" w:before="0" w:lineRule="auto" w:line="360"/>
        <w:ind w:firstLine="720"/>
        <w:jc w:val="both"/>
      </w:pPr>
      <w:r>
        <w:rPr>
          <w:rFonts w:ascii="Times New Roman" w:hAnsi="Times New Roman" w:eastAsia="Times New Roman"/>
          <w:b w:val="0"/>
          <w:i w:val="0"/>
          <w:sz w:val="24"/>
        </w:rPr>
        <w:t>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 The project addresses this by framing underwriting as a sequential learning problem in which the algorithm improves continuously from each new applicant.</w:t>
      </w:r>
    </w:p>
    <w:p>
      <w:pPr>
        <w:spacing w:after="240" w:before="0" w:lineRule="auto" w:line="360"/>
        <w:ind w:left="720"/>
        <w:jc w:val="left"/>
      </w:pPr>
      <w:r>
        <w:rPr>
          <w:rFonts w:ascii="Times New Roman" w:hAnsi="Times New Roman" w:eastAsia="Times New Roman"/>
          <w:b/>
          <w:i w:val="0"/>
          <w:sz w:val="24"/>
        </w:rPr>
        <w:t>Fairness and Demographic Parity</w:t>
      </w:r>
    </w:p>
    <w:p>
      <w:pPr>
        <w:spacing w:after="240" w:before="0" w:lineRule="auto" w:line="360"/>
        <w:ind w:firstLine="720"/>
        <w:jc w:val="both"/>
      </w:pPr>
      <w:r>
        <w:rPr>
          <w:rFonts w:ascii="Times New Roman" w:hAnsi="Times New Roman" w:eastAsia="Times New Roman"/>
          <w:b w:val="0"/>
          <w:i w:val="0"/>
          <w:sz w:val="24"/>
        </w:rPr>
        <w:t>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 The project embeds PSI-based fairness guardrails directly into the underwriting pipeline to detect and flag demographic drift before it becomes entrenched.</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PSI guardrails.</w:t>
      </w:r>
    </w:p>
    <w:p>
      <w:pPr>
        <w:spacing w:after="240" w:before="0" w:lineRule="auto" w:line="360"/>
        <w:jc w:val="left"/>
      </w:pPr>
      <w:r>
        <w:rPr>
          <w:rFonts w:ascii="Times New Roman" w:hAnsi="Times New Roman" w:eastAsia="Times New Roman"/>
          <w:b/>
          <w:i w:val="0"/>
          <w:sz w:val="28"/>
        </w:rPr>
        <w:t>2.3 Objective</w:t>
      </w:r>
    </w:p>
    <w:p>
      <w:pPr>
        <w:spacing w:after="240" w:before="0" w:lineRule="auto" w:line="360"/>
        <w:ind w:left="720"/>
        <w:jc w:val="left"/>
      </w:pPr>
      <w:r>
        <w:rPr>
          <w:rFonts w:ascii="Times New Roman" w:hAnsi="Times New Roman" w:eastAsia="Times New Roman"/>
          <w:b/>
          <w:i w:val="0"/>
          <w:sz w:val="24"/>
        </w:rPr>
        <w:t>Primary Objective</w:t>
      </w:r>
    </w:p>
    <w:p>
      <w:pPr>
        <w:spacing w:after="240" w:before="0" w:lineRule="auto" w:line="360"/>
        <w:ind w:firstLine="720"/>
        <w:jc w:val="both"/>
      </w:pPr>
      <w:r>
        <w:rPr>
          <w:rFonts w:ascii="Times New Roman" w:hAnsi="Times New Roman" w:eastAsia="Times New Roman"/>
          <w:b w:val="0"/>
          <w:i w:val="0"/>
          <w:sz w:val="24"/>
        </w:rPr>
        <w:t>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spacing w:after="240" w:before="0" w:lineRule="auto" w:line="360"/>
        <w:ind w:left="720"/>
        <w:jc w:val="left"/>
      </w:pPr>
      <w:r>
        <w:rPr>
          <w:rFonts w:ascii="Times New Roman" w:hAnsi="Times New Roman" w:eastAsia="Times New Roman"/>
          <w:b/>
          <w:i w:val="0"/>
          <w:sz w:val="24"/>
        </w:rPr>
        <w:t>Secondary Objectives</w:t>
      </w:r>
    </w:p>
    <w:p>
      <w:pPr>
        <w:pStyle w:val="ListNumber"/>
        <w:ind w:left="720"/>
      </w:pPr>
      <w:r>
        <w:rPr>
          <w:rFonts w:ascii="Times New Roman" w:hAnsi="Times New Roman" w:eastAsia="Times New Roman"/>
          <w:b/>
          <w:i w:val="0"/>
          <w:sz w:val="24"/>
        </w:rPr>
        <w:t>Dataset Development.</w:t>
      </w:r>
      <w:r>
        <w:rPr>
          <w:rFonts w:ascii="Times New Roman" w:hAnsi="Times New Roman" w:eastAsia="Times New Roman"/>
          <w:b w:val="0"/>
          <w:i w:val="0"/>
          <w:sz w:val="24"/>
        </w:rPr>
        <w:t xml:space="preserve"> Develop a reproducible synthetic dataset of 2,000 Cambodian health insurance applicants anchored on the Cambodia Demographic and Health Survey (CDHS) 2021–22 (NIS/ICF). The dataset shall reproduce realistic demographics, disease prevalence (including tuberculosis and hepatitis B), regional variation, and occupational risk profiles.</w:t>
      </w:r>
    </w:p>
    <w:p>
      <w:pPr>
        <w:pStyle w:val="ListNumber"/>
        <w:ind w:left="720"/>
      </w:pPr>
      <w:r>
        <w:rPr>
          <w:rFonts w:ascii="Times New Roman" w:hAnsi="Times New Roman" w:eastAsia="Times New Roman"/>
          <w:b/>
          <w:i w:val="0"/>
          <w:sz w:val="24"/>
        </w:rPr>
        <w:t>Algorithm Implementation and Comparison.</w:t>
      </w:r>
      <w:r>
        <w:rPr>
          <w:rFonts w:ascii="Times New Roman" w:hAnsi="Times New Roman" w:eastAsia="Times New Roman"/>
          <w:b w:val="0"/>
          <w:i w:val="0"/>
          <w:sz w:val="24"/>
        </w:rPr>
        <w:t xml:space="preserve"> 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i w:val="0"/>
          <w:sz w:val="24"/>
        </w:rPr>
        <w:t>Fairness Guardrail Design.</w:t>
      </w:r>
      <w:r>
        <w:rPr>
          <w:rFonts w:ascii="Times New Roman" w:hAnsi="Times New Roman" w:eastAsia="Times New Roman"/>
          <w:b w:val="0"/>
          <w:i w:val="0"/>
          <w:sz w:val="24"/>
        </w:rPr>
        <w:t xml:space="preserve"> 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i w:val="0"/>
          <w:sz w:val="24"/>
        </w:rPr>
        <w:t>Fairness Audit.</w:t>
      </w:r>
      <w:r>
        <w:rPr>
          <w:rFonts w:ascii="Times New Roman" w:hAnsi="Times New Roman" w:eastAsia="Times New Roman"/>
          <w:b w:val="0"/>
          <w:i w:val="0"/>
          <w:sz w:val="24"/>
        </w:rPr>
        <w:t xml:space="preserve"> Conduct a fairness audit verifying that no regional or occupational segment experiences an approval rate below the U.S. EEOC four-fifths benchmark (80%) of the maximum observed rate.</w:t>
      </w:r>
    </w:p>
    <w:p>
      <w:pPr>
        <w:spacing w:after="240" w:before="0" w:lineRule="auto" w:line="360"/>
        <w:ind w:left="720"/>
        <w:jc w:val="left"/>
      </w:pPr>
      <w:r>
        <w:rPr>
          <w:rFonts w:ascii="Times New Roman" w:hAnsi="Times New Roman" w:eastAsia="Times New Roman"/>
          <w:b/>
          <w:i w:val="0"/>
          <w:sz w:val="24"/>
        </w:rPr>
        <w:t>Research Questions</w:t>
      </w:r>
    </w:p>
    <w:p>
      <w:pPr>
        <w:pStyle w:val="ListBullet"/>
        <w:ind w:left="720"/>
      </w:pP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spacing w:after="240" w:before="0" w:lineRule="auto" w:line="360"/>
        <w:jc w:val="left"/>
      </w:pPr>
      <w:r>
        <w:rPr>
          <w:rFonts w:ascii="Times New Roman" w:hAnsi="Times New Roman" w:eastAsia="Times New Roman"/>
          <w:b/>
          <w:i w:val="0"/>
          <w:sz w:val="28"/>
        </w:rPr>
        <w:t>2.4 Planning of Project</w:t>
      </w:r>
    </w:p>
    <w:p>
      <w:pPr>
        <w:spacing w:after="240" w:before="0" w:lineRule="auto" w:line="360"/>
        <w:ind w:firstLine="720"/>
        <w:jc w:val="both"/>
      </w:pPr>
      <w:r>
        <w:rPr>
          <w:rFonts w:ascii="Times New Roman" w:hAnsi="Times New Roman" w:eastAsia="Times New Roman"/>
          <w:b w:val="0"/>
          <w:i w:val="0"/>
          <w:sz w:val="24"/>
        </w:rPr>
        <w:t>The project was executed according to the following schedule:</w:t>
      </w:r>
    </w:p>
    <w:p>
      <w:pPr>
        <w:spacing w:after="240" w:before="0" w:lineRule="auto" w:line="360"/>
        <w:jc w:val="center"/>
      </w:pPr>
      <w:r>
        <w:rPr>
          <w:rFonts w:ascii="Times New Roman" w:hAnsi="Times New Roman" w:eastAsia="Times New Roman"/>
          <w:b w:val="0"/>
          <w:i/>
          <w:color w:val="808080"/>
          <w:sz w:val="24"/>
        </w:rPr>
        <w:t>[TABLE: Project timeline with phases, activities, duration, and milestones]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Phase</w:t>
            </w:r>
          </w:p>
        </w:tc>
        <w:tc>
          <w:tcPr>
            <w:tcW w:type="dxa" w:w="2167"/>
          </w:tcPr>
          <w:p>
            <w:pPr>
              <w:spacing w:after="120" w:before="0" w:lineRule="auto" w:line="276"/>
              <w:jc w:val="left"/>
            </w:pPr>
            <w:r/>
            <w:r>
              <w:rPr>
                <w:rFonts w:ascii="Times New Roman" w:hAnsi="Times New Roman" w:eastAsia="Times New Roman"/>
                <w:b w:val="0"/>
                <w:i w:val="0"/>
                <w:sz w:val="22"/>
              </w:rPr>
              <w:t>Activities</w:t>
            </w:r>
          </w:p>
        </w:tc>
        <w:tc>
          <w:tcPr>
            <w:tcW w:type="dxa" w:w="2167"/>
          </w:tcPr>
          <w:p>
            <w:pPr>
              <w:spacing w:after="120" w:before="0" w:lineRule="auto" w:line="276"/>
              <w:jc w:val="left"/>
            </w:pPr>
            <w:r/>
            <w:r>
              <w:rPr>
                <w:rFonts w:ascii="Times New Roman" w:hAnsi="Times New Roman" w:eastAsia="Times New Roman"/>
                <w:b w:val="0"/>
                <w:i w:val="0"/>
                <w:sz w:val="22"/>
              </w:rPr>
              <w:t>Duration</w:t>
            </w:r>
          </w:p>
        </w:tc>
        <w:tc>
          <w:tcPr>
            <w:tcW w:type="dxa" w:w="2167"/>
          </w:tcPr>
          <w:p>
            <w:pPr>
              <w:spacing w:after="120" w:before="0" w:lineRule="auto" w:line="276"/>
              <w:jc w:val="left"/>
            </w:pPr>
            <w:r/>
            <w:r>
              <w:rPr>
                <w:rFonts w:ascii="Times New Roman" w:hAnsi="Times New Roman" w:eastAsia="Times New Roman"/>
                <w:b w:val="0"/>
                <w:i w:val="0"/>
                <w:sz w:val="22"/>
              </w:rPr>
              <w:t>Timeline</w:t>
            </w:r>
          </w:p>
        </w:tc>
      </w:tr>
      <w:tr>
        <w:tc>
          <w:tcPr>
            <w:tcW w:type="dxa" w:w="2167"/>
          </w:tcPr>
          <w:p>
            <w:pPr>
              <w:spacing w:after="120" w:before="0" w:lineRule="auto" w:line="276"/>
              <w:jc w:val="left"/>
            </w:pPr>
            <w:r/>
            <w:r>
              <w:rPr>
                <w:rFonts w:ascii="Times New Roman" w:hAnsi="Times New Roman" w:eastAsia="Times New Roman"/>
                <w:b w:val="0"/>
                <w:i w:val="0"/>
                <w:sz w:val="22"/>
              </w:rPr>
              <w:t>Phase 1</w:t>
            </w:r>
          </w:p>
        </w:tc>
        <w:tc>
          <w:tcPr>
            <w:tcW w:type="dxa" w:w="2167"/>
          </w:tcPr>
          <w:p>
            <w:pPr>
              <w:spacing w:after="120" w:before="0" w:lineRule="auto" w:line="276"/>
              <w:jc w:val="left"/>
            </w:pPr>
            <w:r/>
            <w:r>
              <w:rPr>
                <w:rFonts w:ascii="Times New Roman" w:hAnsi="Times New Roman" w:eastAsia="Times New Roman"/>
                <w:b w:val="0"/>
                <w:i w:val="0"/>
                <w:sz w:val="22"/>
              </w:rPr>
              <w:t>Literature review, dataset design, baseline model training</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1</w:t>
            </w:r>
          </w:p>
        </w:tc>
      </w:tr>
      <w:tr>
        <w:tc>
          <w:tcPr>
            <w:tcW w:type="dxa" w:w="2167"/>
          </w:tcPr>
          <w:p>
            <w:pPr>
              <w:spacing w:after="120" w:before="0" w:lineRule="auto" w:line="276"/>
              <w:jc w:val="left"/>
            </w:pPr>
            <w:r/>
            <w:r>
              <w:rPr>
                <w:rFonts w:ascii="Times New Roman" w:hAnsi="Times New Roman" w:eastAsia="Times New Roman"/>
                <w:b w:val="0"/>
                <w:i w:val="0"/>
                <w:sz w:val="22"/>
              </w:rPr>
              <w:t>Phase 2</w:t>
            </w:r>
          </w:p>
        </w:tc>
        <w:tc>
          <w:tcPr>
            <w:tcW w:type="dxa" w:w="2167"/>
          </w:tcPr>
          <w:p>
            <w:pPr>
              <w:spacing w:after="120" w:before="0" w:lineRule="auto" w:line="276"/>
              <w:jc w:val="left"/>
            </w:pPr>
            <w:r/>
            <w:r>
              <w:rPr>
                <w:rFonts w:ascii="Times New Roman" w:hAnsi="Times New Roman" w:eastAsia="Times New Roman"/>
                <w:b w:val="0"/>
                <w:i w:val="0"/>
                <w:sz w:val="22"/>
              </w:rPr>
              <w:t>Bandit algorithm implementation, reward simulator development</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2</w:t>
            </w:r>
          </w:p>
        </w:tc>
      </w:tr>
      <w:tr>
        <w:tc>
          <w:tcPr>
            <w:tcW w:type="dxa" w:w="2167"/>
          </w:tcPr>
          <w:p>
            <w:pPr>
              <w:spacing w:after="120" w:before="0" w:lineRule="auto" w:line="276"/>
              <w:jc w:val="left"/>
            </w:pPr>
            <w:r/>
            <w:r>
              <w:rPr>
                <w:rFonts w:ascii="Times New Roman" w:hAnsi="Times New Roman" w:eastAsia="Times New Roman"/>
                <w:b w:val="0"/>
                <w:i w:val="0"/>
                <w:sz w:val="22"/>
              </w:rPr>
              <w:t>Phase 3</w:t>
            </w:r>
          </w:p>
        </w:tc>
        <w:tc>
          <w:tcPr>
            <w:tcW w:type="dxa" w:w="2167"/>
          </w:tcPr>
          <w:p>
            <w:pPr>
              <w:spacing w:after="120" w:before="0" w:lineRule="auto" w:line="276"/>
              <w:jc w:val="left"/>
            </w:pPr>
            <w:r/>
            <w:r>
              <w:rPr>
                <w:rFonts w:ascii="Times New Roman" w:hAnsi="Times New Roman" w:eastAsia="Times New Roman"/>
                <w:b w:val="0"/>
                <w:i w:val="0"/>
                <w:sz w:val="22"/>
              </w:rPr>
              <w:t>Experiment execution (EXP-005, EXP-006, EXP-007)</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3</w:t>
            </w:r>
          </w:p>
        </w:tc>
      </w:tr>
      <w:tr>
        <w:tc>
          <w:tcPr>
            <w:tcW w:type="dxa" w:w="2167"/>
          </w:tcPr>
          <w:p>
            <w:pPr>
              <w:spacing w:after="120" w:before="0" w:lineRule="auto" w:line="276"/>
              <w:jc w:val="left"/>
            </w:pPr>
            <w:r/>
            <w:r>
              <w:rPr>
                <w:rFonts w:ascii="Times New Roman" w:hAnsi="Times New Roman" w:eastAsia="Times New Roman"/>
                <w:b w:val="0"/>
                <w:i w:val="0"/>
                <w:sz w:val="22"/>
              </w:rPr>
              <w:t>Phase 4</w:t>
            </w:r>
          </w:p>
        </w:tc>
        <w:tc>
          <w:tcPr>
            <w:tcW w:type="dxa" w:w="2167"/>
          </w:tcPr>
          <w:p>
            <w:pPr>
              <w:spacing w:after="120" w:before="0" w:lineRule="auto" w:line="276"/>
              <w:jc w:val="left"/>
            </w:pPr>
            <w:r/>
            <w:r>
              <w:rPr>
                <w:rFonts w:ascii="Times New Roman" w:hAnsi="Times New Roman" w:eastAsia="Times New Roman"/>
                <w:b w:val="0"/>
                <w:i w:val="0"/>
                <w:sz w:val="22"/>
              </w:rPr>
              <w:t>Results analysis, fairness audit, figure generation</w:t>
            </w:r>
          </w:p>
        </w:tc>
        <w:tc>
          <w:tcPr>
            <w:tcW w:type="dxa" w:w="2167"/>
          </w:tcPr>
          <w:p>
            <w:pPr>
              <w:spacing w:after="120" w:before="0" w:lineRule="auto" w:line="276"/>
              <w:jc w:val="left"/>
            </w:pPr>
            <w:r/>
            <w:r>
              <w:rPr>
                <w:rFonts w:ascii="Times New Roman" w:hAnsi="Times New Roman" w:eastAsia="Times New Roman"/>
                <w:b w:val="0"/>
                <w:i w:val="0"/>
                <w:sz w:val="22"/>
              </w:rPr>
              <w:t>3 weeks</w:t>
            </w:r>
          </w:p>
        </w:tc>
        <w:tc>
          <w:tcPr>
            <w:tcW w:type="dxa" w:w="2167"/>
          </w:tcPr>
          <w:p>
            <w:pPr>
              <w:spacing w:after="120" w:before="0" w:lineRule="auto" w:line="276"/>
              <w:jc w:val="left"/>
            </w:pPr>
            <w:r/>
            <w:r>
              <w:rPr>
                <w:rFonts w:ascii="Times New Roman" w:hAnsi="Times New Roman" w:eastAsia="Times New Roman"/>
                <w:b w:val="0"/>
                <w:i w:val="0"/>
                <w:sz w:val="22"/>
              </w:rPr>
              <w:t>Month 4</w:t>
            </w:r>
          </w:p>
        </w:tc>
      </w:tr>
      <w:tr>
        <w:tc>
          <w:tcPr>
            <w:tcW w:type="dxa" w:w="2167"/>
          </w:tcPr>
          <w:p>
            <w:pPr>
              <w:spacing w:after="120" w:before="0" w:lineRule="auto" w:line="276"/>
              <w:jc w:val="left"/>
            </w:pPr>
            <w:r/>
            <w:r>
              <w:rPr>
                <w:rFonts w:ascii="Times New Roman" w:hAnsi="Times New Roman" w:eastAsia="Times New Roman"/>
                <w:b w:val="0"/>
                <w:i w:val="0"/>
                <w:sz w:val="22"/>
              </w:rPr>
              <w:t>Phase 5</w:t>
            </w:r>
          </w:p>
        </w:tc>
        <w:tc>
          <w:tcPr>
            <w:tcW w:type="dxa" w:w="2167"/>
          </w:tcPr>
          <w:p>
            <w:pPr>
              <w:spacing w:after="120" w:before="0" w:lineRule="auto" w:line="276"/>
              <w:jc w:val="left"/>
            </w:pPr>
            <w:r/>
            <w:r>
              <w:rPr>
                <w:rFonts w:ascii="Times New Roman" w:hAnsi="Times New Roman" w:eastAsia="Times New Roman"/>
                <w:b w:val="0"/>
                <w:i w:val="0"/>
                <w:sz w:val="22"/>
              </w:rPr>
              <w:t>Thesis writing, presentation preparation, defense rehearsal</w:t>
            </w:r>
          </w:p>
        </w:tc>
        <w:tc>
          <w:tcPr>
            <w:tcW w:type="dxa" w:w="2167"/>
          </w:tcPr>
          <w:p>
            <w:pPr>
              <w:spacing w:after="120" w:before="0" w:lineRule="auto" w:line="276"/>
              <w:jc w:val="left"/>
            </w:pPr>
            <w:r/>
            <w:r>
              <w:rPr>
                <w:rFonts w:ascii="Times New Roman" w:hAnsi="Times New Roman" w:eastAsia="Times New Roman"/>
                <w:b w:val="0"/>
                <w:i w:val="0"/>
                <w:sz w:val="22"/>
              </w:rPr>
              <w:t>5 weeks</w:t>
            </w:r>
          </w:p>
        </w:tc>
        <w:tc>
          <w:tcPr>
            <w:tcW w:type="dxa" w:w="2167"/>
          </w:tcPr>
          <w:p>
            <w:pPr>
              <w:spacing w:after="120" w:before="0" w:lineRule="auto" w:line="276"/>
              <w:jc w:val="left"/>
            </w:pPr>
            <w:r/>
            <w:r>
              <w:rPr>
                <w:rFonts w:ascii="Times New Roman" w:hAnsi="Times New Roman" w:eastAsia="Times New Roman"/>
                <w:b w:val="0"/>
                <w:i w:val="0"/>
                <w:sz w:val="22"/>
              </w:rPr>
              <w:t>Month 5–6</w:t>
            </w:r>
          </w:p>
        </w:tc>
      </w:tr>
    </w:tbl>
    <w:p/>
    <w:p>
      <w:pPr>
        <w:spacing w:after="120" w:before="0" w:lineRule="auto" w:line="360"/>
        <w:jc w:val="center"/>
      </w:pPr>
      <w:r>
        <w:drawing>
          <wp:inline xmlns:a="http://schemas.openxmlformats.org/drawingml/2006/main" xmlns:pic="http://schemas.openxmlformats.org/drawingml/2006/picture">
            <wp:extent cx="5486400" cy="2721232"/>
            <wp:docPr id="3" name="Picture 3"/>
            <wp:cNvGraphicFramePr>
              <a:graphicFrameLocks noChangeAspect="1"/>
            </wp:cNvGraphicFramePr>
            <a:graphic>
              <a:graphicData uri="http://schemas.openxmlformats.org/drawingml/2006/picture">
                <pic:pic>
                  <pic:nvPicPr>
                    <pic:cNvPr id="0" name="fig_ch2_project_timeline.png"/>
                    <pic:cNvPicPr/>
                  </pic:nvPicPr>
                  <pic:blipFill>
                    <a:blip r:embed="rId13"/>
                    <a:stretch>
                      <a:fillRect/>
                    </a:stretch>
                  </pic:blipFill>
                  <pic:spPr>
                    <a:xfrm>
                      <a:off x="0" y="0"/>
                      <a:ext cx="5486400" cy="272123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2.2. Project timeline — 6-month execution plan.</w:t>
      </w:r>
    </w:p>
    <w:p>
      <w:pPr>
        <w:spacing w:after="240" w:before="0" w:lineRule="auto" w:line="360"/>
        <w:ind w:firstLine="720"/>
        <w:jc w:val="both"/>
      </w:pPr>
      <w:r>
        <w:rPr>
          <w:rFonts w:ascii="Times New Roman" w:hAnsi="Times New Roman" w:eastAsia="Times New Roman"/>
          <w:b w:val="0"/>
          <w:i w:val="0"/>
          <w:sz w:val="24"/>
        </w:rPr>
        <w:t>Key milestones:</w:t>
      </w:r>
    </w:p>
    <w:p>
      <w:pPr>
        <w:pStyle w:val="ListBullet"/>
        <w:ind w:left="720"/>
      </w:pPr>
      <w:r>
        <w:rPr>
          <w:rFonts w:ascii="Times New Roman" w:hAnsi="Times New Roman" w:eastAsia="Times New Roman"/>
          <w:b/>
          <w:i w:val="0"/>
          <w:sz w:val="24"/>
        </w:rPr>
        <w:t>Milestone 1:</w:t>
      </w:r>
      <w:r>
        <w:rPr>
          <w:rFonts w:ascii="Times New Roman" w:hAnsi="Times New Roman" w:eastAsia="Times New Roman"/>
          <w:b w:val="0"/>
          <w:i w:val="0"/>
          <w:sz w:val="24"/>
        </w:rPr>
        <w:t xml:space="preserve"> Dataset and baseline models complete (end of Month 1)</w:t>
      </w:r>
    </w:p>
    <w:p>
      <w:pPr>
        <w:pStyle w:val="ListBullet"/>
        <w:ind w:left="720"/>
      </w:pPr>
      <w:r>
        <w:rPr>
          <w:rFonts w:ascii="Times New Roman" w:hAnsi="Times New Roman" w:eastAsia="Times New Roman"/>
          <w:b/>
          <w:i w:val="0"/>
          <w:sz w:val="24"/>
        </w:rPr>
        <w:t>Milestone 2:</w:t>
      </w:r>
      <w:r>
        <w:rPr>
          <w:rFonts w:ascii="Times New Roman" w:hAnsi="Times New Roman" w:eastAsia="Times New Roman"/>
          <w:b w:val="0"/>
          <w:i w:val="0"/>
          <w:sz w:val="24"/>
        </w:rPr>
        <w:t xml:space="preserve"> Bandit engine and reward simulator operational (end of Month 2)</w:t>
      </w:r>
    </w:p>
    <w:p>
      <w:pPr>
        <w:pStyle w:val="ListBullet"/>
        <w:ind w:left="720"/>
      </w:pPr>
      <w:r>
        <w:rPr>
          <w:rFonts w:ascii="Times New Roman" w:hAnsi="Times New Roman" w:eastAsia="Times New Roman"/>
          <w:b/>
          <w:i w:val="0"/>
          <w:sz w:val="24"/>
        </w:rPr>
        <w:t>Milestone 3:</w:t>
      </w:r>
      <w:r>
        <w:rPr>
          <w:rFonts w:ascii="Times New Roman" w:hAnsi="Times New Roman" w:eastAsia="Times New Roman"/>
          <w:b w:val="0"/>
          <w:i w:val="0"/>
          <w:sz w:val="24"/>
        </w:rPr>
        <w:t xml:space="preserve"> All three experiments executed with passing results (end of Month 3)</w:t>
      </w:r>
    </w:p>
    <w:p>
      <w:pPr>
        <w:pStyle w:val="ListBullet"/>
        <w:ind w:left="720"/>
      </w:pPr>
      <w:r>
        <w:rPr>
          <w:rFonts w:ascii="Times New Roman" w:hAnsi="Times New Roman" w:eastAsia="Times New Roman"/>
          <w:b/>
          <w:i w:val="0"/>
          <w:sz w:val="24"/>
        </w:rPr>
        <w:t>Milestone 4:</w:t>
      </w:r>
      <w:r>
        <w:rPr>
          <w:rFonts w:ascii="Times New Roman" w:hAnsi="Times New Roman" w:eastAsia="Times New Roman"/>
          <w:b w:val="0"/>
          <w:i w:val="0"/>
          <w:sz w:val="24"/>
        </w:rPr>
        <w:t xml:space="preserve"> Figures, tables, and draft chapters complete (end of Month 4)</w:t>
      </w:r>
    </w:p>
    <w:p>
      <w:pPr>
        <w:pStyle w:val="ListBullet"/>
        <w:ind w:left="720"/>
      </w:pPr>
      <w:r>
        <w:rPr>
          <w:rFonts w:ascii="Times New Roman" w:hAnsi="Times New Roman" w:eastAsia="Times New Roman"/>
          <w:b/>
          <w:i w:val="0"/>
          <w:sz w:val="24"/>
        </w:rPr>
        <w:t>Milestone 5:</w:t>
      </w:r>
      <w:r>
        <w:rPr>
          <w:rFonts w:ascii="Times New Roman" w:hAnsi="Times New Roman" w:eastAsia="Times New Roman"/>
          <w:b w:val="0"/>
          <w:i w:val="0"/>
          <w:sz w:val="24"/>
        </w:rPr>
        <w:t xml:space="preserve"> Final thesis submission and defense readiness (end of Month 6)</w:t>
      </w:r>
    </w:p>
    <w:p>
      <w:r>
        <w:br w:type="page"/>
      </w:r>
    </w:p>
    <w:p>
      <w:pPr>
        <w:spacing w:after="480" w:before="0" w:lineRule="auto" w:line="360"/>
        <w:jc w:val="center"/>
      </w:pPr>
      <w:r>
        <w:rPr>
          <w:rFonts w:ascii="Times New Roman" w:hAnsi="Times New Roman" w:eastAsia="Times New Roman"/>
          <w:b/>
          <w:i w:val="0"/>
          <w:sz w:val="32"/>
        </w:rPr>
        <w:t>CHAPTER III. LITERATURE REVIEW</w:t>
      </w:r>
    </w:p>
    <w:p>
      <w:pPr>
        <w:spacing w:after="240" w:before="0" w:lineRule="auto" w:line="360"/>
        <w:jc w:val="left"/>
      </w:pPr>
      <w:r>
        <w:rPr>
          <w:rFonts w:ascii="Times New Roman" w:hAnsi="Times New Roman" w:eastAsia="Times New Roman"/>
          <w:b/>
          <w:i w:val="0"/>
          <w:sz w:val="28"/>
        </w:rPr>
        <w:t>3.1. Related Work</w:t>
      </w:r>
    </w:p>
    <w:p>
      <w:pPr>
        <w:spacing w:after="240" w:before="0" w:lineRule="auto" w:line="360"/>
        <w:ind w:firstLine="720"/>
        <w:jc w:val="both"/>
      </w:pPr>
      <w:r>
        <w:rPr>
          <w:rFonts w:ascii="Times New Roman" w:hAnsi="Times New Roman" w:eastAsia="Times New Roman"/>
          <w:b w:val="0"/>
          <w:i w:val="0"/>
          <w:sz w:val="24"/>
        </w:rPr>
        <w:t>This chapter reviews the body of literature relevant to the thesis, organised around four themes: health insurance underwriting in emerging markets, contextual bandits for sequential decision making, neural contextual bandits and dynamic pricing, and fairness with population stability monitoring in adaptive systems. The review concludes with a gap analysis that positions the present work within the existing scholarship.</w:t>
      </w:r>
    </w:p>
    <w:p>
      <w:pPr>
        <w:spacing w:after="240" w:before="0" w:lineRule="auto" w:line="360"/>
        <w:jc w:val="left"/>
      </w:pPr>
      <w:r>
        <w:rPr>
          <w:rFonts w:ascii="Times New Roman" w:hAnsi="Times New Roman" w:eastAsia="Times New Roman"/>
          <w:b/>
          <w:i w:val="0"/>
          <w:sz w:val="28"/>
        </w:rPr>
        <w:t>3.2.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(National Institute of Statistics et al., 2023).</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Mobile distribution channels have shown that emerging-market consumers will purchase insurance when transaction costs are reduced through digital onboarding (BIMA, 2022; Asian Development Bank, 2023). The underwriting engines behind these products, however,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rather than health insurance.</w:t>
      </w:r>
    </w:p>
    <w:p>
      <w:pPr>
        <w:spacing w:after="240" w:before="0" w:lineRule="auto" w:line="360"/>
        <w:jc w:val="left"/>
      </w:pPr>
      <w:r>
        <w:rPr>
          <w:rFonts w:ascii="Times New Roman" w:hAnsi="Times New Roman" w:eastAsia="Times New Roman"/>
          <w:b/>
          <w:i w:val="0"/>
          <w:sz w:val="28"/>
        </w:rPr>
        <w:t>3.3. Contextual Bandits for Sequential Decision Making</w:t>
      </w:r>
    </w:p>
    <w:p>
      <w:pPr>
        <w:spacing w:after="240" w:before="0" w:lineRule="auto" w:line="360"/>
        <w:ind w:left="720"/>
        <w:jc w:val="left"/>
      </w:pPr>
      <w:r>
        <w:rPr>
          <w:rFonts w:ascii="Times New Roman" w:hAnsi="Times New Roman" w:eastAsia="Times New Roman"/>
          <w:b/>
          <w:i w:val="0"/>
          <w:sz w:val="24"/>
        </w:rPr>
        <w:t>3.3.1.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(Robbins, 1952) (Lattimore &amp; Szepesvári,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aₜ ∈ 𝒜</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rₜ ∈ ℝ</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xₜ</w:t>
      </w:r>
      <w:r>
        <w:rPr>
          <w:rFonts w:ascii="Times New Roman" w:hAnsi="Times New Roman" w:eastAsia="Times New Roman"/>
          <w:b w:val="0"/>
          <w:i w:val="0"/>
          <w:sz w:val="24"/>
        </w:rPr>
        <w:t xml:space="preserve"> and </w:t>
      </w:r>
      <w:r>
        <w:rPr>
          <w:rFonts w:ascii="Times New Roman" w:hAnsi="Times New Roman" w:eastAsia="Times New Roman"/>
          <w:b w:val="0"/>
          <w:i/>
          <w:sz w:val="24"/>
        </w:rPr>
        <w:t>aₜ</w:t>
      </w:r>
      <w:r>
        <w:rPr>
          <w:rFonts w:ascii="Times New Roman" w:hAnsi="Times New Roman" w:eastAsia="Times New Roman"/>
          <w:b w:val="0"/>
          <w:i w:val="0"/>
          <w:sz w:val="24"/>
        </w:rPr>
        <w:t xml:space="preserve"> (Li et al., 2010).</w:t>
      </w:r>
    </w:p>
    <w:p>
      <w:pPr>
        <w:spacing w:after="240" w:before="0" w:lineRule="auto" w:line="360"/>
        <w:ind w:left="720"/>
        <w:jc w:val="left"/>
      </w:pPr>
      <w:r>
        <w:rPr>
          <w:rFonts w:ascii="Times New Roman" w:hAnsi="Times New Roman" w:eastAsia="Times New Roman"/>
          <w:b/>
          <w:i w:val="0"/>
          <w:sz w:val="24"/>
        </w:rPr>
        <w:t>3.3.2. LinUCB and LinTS</w:t>
      </w:r>
    </w:p>
    <w:p>
      <w:pPr>
        <w:spacing w:after="240" w:before="0" w:lineRule="auto" w:line="360"/>
        <w:ind w:firstLine="720"/>
        <w:jc w:val="both"/>
      </w:pPr>
      <w:r>
        <w:rPr>
          <w:rFonts w:ascii="Times New Roman" w:hAnsi="Times New Roman" w:eastAsia="Times New Roman"/>
          <w:b/>
          <w:i w:val="0"/>
          <w:sz w:val="24"/>
        </w:rPr>
        <w:t>LinUCB</w:t>
      </w:r>
      <w:r>
        <w:rPr>
          <w:rFonts w:ascii="Times New Roman" w:hAnsi="Times New Roman" w:eastAsia="Times New Roman"/>
          <w:b w:val="0"/>
          <w:i w:val="0"/>
          <w:sz w:val="24"/>
        </w:rPr>
        <w:t xml:space="preserve"> (Li et al., 2010) is the most widely studied frequentist contextual bandit algorithm. It assumes the expected reward of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is linear in the context vector: </w:t>
      </w:r>
      <w:r>
        <w:rPr>
          <w:rFonts w:ascii="Times New Roman" w:hAnsi="Times New Roman" w:eastAsia="Times New Roman"/>
          <w:b w:val="0"/>
          <w:i/>
          <w:sz w:val="24"/>
        </w:rPr>
        <w:t>E[rₜ | xₜ, a] = θₐᵀ xₜ</w:t>
      </w:r>
      <w:r>
        <w:rPr>
          <w:rFonts w:ascii="Times New Roman" w:hAnsi="Times New Roman" w:eastAsia="Times New Roman"/>
          <w:b w:val="0"/>
          <w:i w:val="0"/>
          <w:sz w:val="24"/>
        </w:rPr>
        <w:t xml:space="preserve">. The algorithm maintains a ridge regression estimate </w:t>
      </w:r>
      <w:r>
        <w:rPr>
          <w:rFonts w:ascii="Times New Roman" w:hAnsi="Times New Roman" w:eastAsia="Times New Roman"/>
          <w:b w:val="0"/>
          <w:i/>
          <w:sz w:val="24"/>
        </w:rPr>
        <w:t>θ̂ₐ</w:t>
      </w:r>
      <w:r>
        <w:rPr>
          <w:rFonts w:ascii="Times New Roman" w:hAnsi="Times New Roman" w:eastAsia="Times New Roman"/>
          <w:b w:val="0"/>
          <w:i w:val="0"/>
          <w:sz w:val="24"/>
        </w:rPr>
        <w:t xml:space="preserve"> and an associated confidence ellipsoid for each action. The selection criterion combines the estimated reward with an optimism bonus proportional to the uncertainty:</w:t>
      </w:r>
    </w:p>
    <w:p>
      <w:pPr>
        <w:spacing w:after="240" w:before="120" w:lineRule="auto" w:line="360"/>
        <w:jc w:val="center"/>
      </w:pPr>
      <w:r>
        <w:rPr>
          <w:rFonts w:ascii="Times New Roman" w:hAnsi="Times New Roman" w:eastAsia="Times New Roman"/>
          <w:b w:val="0"/>
          <w:i/>
          <w:sz w:val="24"/>
        </w:rPr>
        <w:t>aₜ = argmax_(a∈𝒜) ( θ̂ₐᵀ xₜ + α √(xₜᵀ Aₐ⁻¹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Aₐ</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α</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Õ(d √(T))</w:t>
      </w:r>
      <w:r>
        <w:rPr>
          <w:rFonts w:ascii="Times New Roman" w:hAnsi="Times New Roman" w:eastAsia="Times New Roman"/>
          <w:b w:val="0"/>
          <w:i w:val="0"/>
          <w:sz w:val="24"/>
        </w:rPr>
        <w:t>, making it near-optimal for linear reward functions (Li et al., 2010).</w:t>
      </w:r>
    </w:p>
    <w:p>
      <w:pPr>
        <w:spacing w:after="240" w:before="0" w:lineRule="auto" w:line="360"/>
        <w:ind w:firstLine="720"/>
        <w:jc w:val="both"/>
      </w:pP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N(θ̂ₐ, v² Aₐ⁻¹)</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aₜ = argmaxₐ θ̃ₐᵀ xₜ</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(Agrawal &amp; Goyal, 2013) (Russo et al., 2018).</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spacing w:after="240" w:before="0" w:lineRule="auto" w:line="360"/>
        <w:ind w:left="720"/>
        <w:jc w:val="left"/>
      </w:pPr>
      <w:r>
        <w:rPr>
          <w:rFonts w:ascii="Times New Roman" w:hAnsi="Times New Roman" w:eastAsia="Times New Roman"/>
          <w:b/>
          <w:i w:val="0"/>
          <w:sz w:val="24"/>
        </w:rPr>
        <w:t>3.3.3. Epsilon-Greedy and Baseline Comparisons</w:t>
      </w:r>
    </w:p>
    <w:p>
      <w:pPr>
        <w:spacing w:after="240" w:before="0" w:lineRule="auto" w:line="360"/>
        <w:ind w:firstLine="720"/>
        <w:jc w:val="both"/>
      </w:pP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ε</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(Sutton &amp; Barto, 2018).</w:t>
      </w:r>
    </w:p>
    <w:p>
      <w:pPr>
        <w:spacing w:after="240" w:before="0" w:lineRule="auto" w:line="360"/>
        <w:ind w:firstLine="720"/>
        <w:jc w:val="both"/>
      </w:pP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ind w:firstLine="720"/>
        <w:jc w:val="both"/>
      </w:pPr>
      <w:r>
        <w:rPr>
          <w:rFonts w:ascii="Times New Roman" w:hAnsi="Times New Roman" w:eastAsia="Times New Roman"/>
          <w:b/>
          <w:i w:val="0"/>
          <w:sz w:val="24"/>
        </w:rPr>
        <w:t>Table 3.1 — Comparative summary of contextual bandit algorithms for dynamic decision-making</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Algorithm</w:t>
            </w:r>
          </w:p>
        </w:tc>
        <w:tc>
          <w:tcPr>
            <w:tcW w:type="dxa" w:w="1445"/>
          </w:tcPr>
          <w:p>
            <w:pPr>
              <w:spacing w:after="120" w:before="0" w:lineRule="auto" w:line="276"/>
              <w:jc w:val="left"/>
            </w:pPr>
            <w:r/>
            <w:r>
              <w:rPr>
                <w:rFonts w:ascii="Times New Roman" w:hAnsi="Times New Roman" w:eastAsia="Times New Roman"/>
                <w:b w:val="0"/>
                <w:i w:val="0"/>
                <w:sz w:val="22"/>
              </w:rPr>
              <w:t>Reward Model</w:t>
            </w:r>
          </w:p>
        </w:tc>
        <w:tc>
          <w:tcPr>
            <w:tcW w:type="dxa" w:w="1445"/>
          </w:tcPr>
          <w:p>
            <w:pPr>
              <w:spacing w:after="120" w:before="0" w:lineRule="auto" w:line="276"/>
              <w:jc w:val="left"/>
            </w:pPr>
            <w:r/>
            <w:r>
              <w:rPr>
                <w:rFonts w:ascii="Times New Roman" w:hAnsi="Times New Roman" w:eastAsia="Times New Roman"/>
                <w:b w:val="0"/>
                <w:i w:val="0"/>
                <w:sz w:val="22"/>
              </w:rPr>
              <w:t>Exploration Mechanism</w:t>
            </w:r>
          </w:p>
        </w:tc>
        <w:tc>
          <w:tcPr>
            <w:tcW w:type="dxa" w:w="1445"/>
          </w:tcPr>
          <w:p>
            <w:pPr>
              <w:spacing w:after="120" w:before="0" w:lineRule="auto" w:line="276"/>
              <w:jc w:val="left"/>
            </w:pPr>
            <w:r/>
            <w:r>
              <w:rPr>
                <w:rFonts w:ascii="Times New Roman" w:hAnsi="Times New Roman" w:eastAsia="Times New Roman"/>
                <w:b w:val="0"/>
                <w:i w:val="0"/>
                <w:sz w:val="22"/>
              </w:rPr>
              <w:t>Theoretical Regret</w:t>
            </w:r>
          </w:p>
        </w:tc>
        <w:tc>
          <w:tcPr>
            <w:tcW w:type="dxa" w:w="1445"/>
          </w:tcPr>
          <w:p>
            <w:pPr>
              <w:spacing w:after="120" w:before="0" w:lineRule="auto" w:line="276"/>
              <w:jc w:val="left"/>
            </w:pPr>
            <w:r/>
            <w:r>
              <w:rPr>
                <w:rFonts w:ascii="Times New Roman" w:hAnsi="Times New Roman" w:eastAsia="Times New Roman"/>
                <w:b w:val="0"/>
                <w:i w:val="0"/>
                <w:sz w:val="22"/>
              </w:rPr>
              <w:t>Per-Round Cost</w:t>
            </w:r>
          </w:p>
        </w:tc>
        <w:tc>
          <w:tcPr>
            <w:tcW w:type="dxa" w:w="1445"/>
          </w:tcPr>
          <w:p>
            <w:pPr>
              <w:spacing w:after="120" w:before="0" w:lineRule="auto" w:line="276"/>
              <w:jc w:val="left"/>
            </w:pPr>
            <w:r/>
            <w:r>
              <w:rPr>
                <w:rFonts w:ascii="Times New Roman" w:hAnsi="Times New Roman" w:eastAsia="Times New Roman"/>
                <w:b w:val="0"/>
                <w:i w:val="0"/>
                <w:sz w:val="22"/>
              </w:rPr>
              <w:t>Data Requirement</w:t>
            </w:r>
          </w:p>
        </w:tc>
      </w:tr>
      <w:tr>
        <w:tc>
          <w:tcPr>
            <w:tcW w:type="dxa" w:w="1445"/>
          </w:tcPr>
          <w:p>
            <w:pPr>
              <w:spacing w:after="120" w:before="0" w:lineRule="auto" w:line="276"/>
              <w:jc w:val="left"/>
            </w:pPr>
            <w:r/>
            <w:r>
              <w:rPr>
                <w:rFonts w:ascii="Times New Roman" w:hAnsi="Times New Roman" w:eastAsia="Times New Roman"/>
                <w:b w:val="0"/>
                <w:i w:val="0"/>
                <w:sz w:val="22"/>
              </w:rPr>
              <w:t>LinUCB (Li et al., 2010)</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Upper confidence bound: </w:t>
            </w:r>
            <w:r>
              <w:rPr>
                <w:rFonts w:ascii="Times New Roman" w:hAnsi="Times New Roman" w:eastAsia="Times New Roman"/>
                <w:b w:val="0"/>
                <w:i/>
                <w:sz w:val="22"/>
              </w:rPr>
              <w:t>α √(xᵀ A⁻¹ x)</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LinTS (Agrawal &amp; Goyal, 2013)</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Posterior sampling: </w:t>
            </w:r>
            <w:r>
              <w:rPr>
                <w:rFonts w:ascii="Times New Roman" w:hAnsi="Times New Roman" w:eastAsia="Times New Roman"/>
                <w:b w:val="0"/>
                <w:i/>
                <w:sz w:val="22"/>
              </w:rPr>
              <w:t>θ̃ ∼ 𝒩(θ̂, v² A⁻¹)</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NeuralUCB (Zhou et al., 2020)</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Gradient-based confidence width</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NeuralTS (Zhang et al., 2021)</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Posterior over network parameters</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EE-Net (Ban et al., 2022)</w:t>
            </w:r>
          </w:p>
        </w:tc>
        <w:tc>
          <w:tcPr>
            <w:tcW w:type="dxa" w:w="1445"/>
          </w:tcPr>
          <w:p>
            <w:pPr>
              <w:spacing w:after="120" w:before="0" w:lineRule="auto" w:line="276"/>
              <w:jc w:val="left"/>
            </w:pPr>
            <w:r/>
            <w:r>
              <w:rPr>
                <w:rFonts w:ascii="Times New Roman" w:hAnsi="Times New Roman" w:eastAsia="Times New Roman"/>
                <w:b w:val="0"/>
                <w:i w:val="0"/>
                <w:sz w:val="22"/>
              </w:rPr>
              <w:t>Dual networks (exploit + explore)</w:t>
            </w:r>
          </w:p>
        </w:tc>
        <w:tc>
          <w:tcPr>
            <w:tcW w:type="dxa" w:w="1445"/>
          </w:tcPr>
          <w:p>
            <w:pPr>
              <w:spacing w:after="120" w:before="0" w:lineRule="auto" w:line="276"/>
              <w:jc w:val="left"/>
            </w:pPr>
            <w:r/>
            <w:r>
              <w:rPr>
                <w:rFonts w:ascii="Times New Roman" w:hAnsi="Times New Roman" w:eastAsia="Times New Roman"/>
                <w:b w:val="0"/>
                <w:i w:val="0"/>
                <w:sz w:val="22"/>
              </w:rPr>
              <w:t>Learned exploration value</w:t>
            </w:r>
          </w:p>
        </w:tc>
        <w:tc>
          <w:tcPr>
            <w:tcW w:type="dxa" w:w="1445"/>
          </w:tcPr>
          <w:p>
            <w:pPr>
              <w:spacing w:after="120" w:before="0" w:lineRule="auto" w:line="276"/>
              <w:jc w:val="left"/>
            </w:pPr>
            <w:r/>
            <w:r>
              <w:rPr>
                <w:rFonts w:ascii="Times New Roman" w:hAnsi="Times New Roman" w:eastAsia="Times New Roman"/>
                <w:b w:val="0"/>
                <w:i w:val="0"/>
                <w:sz w:val="22"/>
              </w:rPr>
              <w:t>Empirical only</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ensemble training</w:t>
            </w:r>
          </w:p>
        </w:tc>
      </w:tr>
    </w:tbl>
    <w:p/>
    <w:p>
      <w:pPr>
        <w:spacing w:after="240" w:before="0" w:lineRule="auto" w:line="360"/>
        <w:ind w:firstLine="720"/>
        <w:jc w:val="both"/>
      </w:pPr>
      <w:r>
        <w:rPr>
          <w:rFonts w:ascii="Times New Roman" w:hAnsi="Times New Roman" w:eastAsia="Times New Roman"/>
          <w:b w:val="0"/>
          <w:i w:val="0"/>
          <w:sz w:val="24"/>
        </w:rPr>
        <w:t>For the Cambodia dataset (</w:t>
      </w:r>
      <w:r>
        <w:rPr>
          <w:rFonts w:ascii="Times New Roman" w:hAnsi="Times New Roman" w:eastAsia="Times New Roman"/>
          <w:b w:val="0"/>
          <w:i/>
          <w:sz w:val="24"/>
        </w:rPr>
        <w:t>d = 34</w:t>
      </w:r>
      <w:r>
        <w:rPr>
          <w:rFonts w:ascii="Times New Roman" w:hAnsi="Times New Roman" w:eastAsia="Times New Roman"/>
          <w:b w:val="0"/>
          <w:i w:val="0"/>
          <w:sz w:val="24"/>
        </w:rPr>
        <w:t xml:space="preserve">, </w:t>
      </w:r>
      <w:r>
        <w:rPr>
          <w:rFonts w:ascii="Times New Roman" w:hAnsi="Times New Roman" w:eastAsia="Times New Roman"/>
          <w:b w:val="0"/>
          <w:i/>
          <w:sz w:val="24"/>
        </w:rPr>
        <w:t>T = 5,000</w:t>
      </w:r>
      <w:r>
        <w:rPr>
          <w:rFonts w:ascii="Times New Roman" w:hAnsi="Times New Roman" w:eastAsia="Times New Roman"/>
          <w:b w:val="0"/>
          <w:i w:val="0"/>
          <w:sz w:val="24"/>
        </w:rPr>
        <w:t>), linear bandits offer the best trade-off between statistical efficiency, computational cost, and interpretability. Neural extensions become relevant only when the feature space expands beyond several hundred dimensions or when non-linear interactions are known to dominate.</w:t>
      </w:r>
    </w:p>
    <w:p>
      <w:pPr>
        <w:spacing w:after="240" w:before="0" w:lineRule="auto" w:line="360"/>
        <w:jc w:val="left"/>
      </w:pPr>
      <w:r>
        <w:rPr>
          <w:rFonts w:ascii="Times New Roman" w:hAnsi="Times New Roman" w:eastAsia="Times New Roman"/>
          <w:b/>
          <w:i w:val="0"/>
          <w:sz w:val="28"/>
        </w:rPr>
        <w:t>3.4. Neural Contextual Bandits and Dynamic Pricing</w:t>
      </w:r>
    </w:p>
    <w:p>
      <w:pPr>
        <w:spacing w:after="240" w:before="0" w:lineRule="auto" w:line="360"/>
        <w:ind w:left="720"/>
        <w:jc w:val="left"/>
      </w:pPr>
      <w:r>
        <w:rPr>
          <w:rFonts w:ascii="Times New Roman" w:hAnsi="Times New Roman" w:eastAsia="Times New Roman"/>
          <w:b/>
          <w:i w:val="0"/>
          <w:sz w:val="24"/>
        </w:rPr>
        <w:t>3.4.1. Limitations of Linear Reward Assumptions</w:t>
      </w:r>
    </w:p>
    <w:p>
      <w:pPr>
        <w:spacing w:after="240" w:before="0" w:lineRule="auto" w:line="360"/>
        <w:ind w:firstLine="720"/>
        <w:jc w:val="both"/>
      </w:pPr>
      <w:r>
        <w:rPr>
          <w:rFonts w:ascii="Times New Roman" w:hAnsi="Times New Roman" w:eastAsia="Times New Roman"/>
          <w:b w:val="0"/>
          <w:i w:val="0"/>
          <w:sz w:val="24"/>
        </w:rPr>
        <w:t xml:space="preserve">The linear reward assumption </w:t>
      </w:r>
      <w:r>
        <w:rPr>
          <w:rFonts w:ascii="Times New Roman" w:hAnsi="Times New Roman" w:eastAsia="Times New Roman"/>
          <w:b w:val="0"/>
          <w:i/>
          <w:sz w:val="24"/>
        </w:rPr>
        <w:t>E[r | x, a] = θₐᵀ x</w:t>
      </w:r>
      <w:r>
        <w:rPr>
          <w:rFonts w:ascii="Times New Roman" w:hAnsi="Times New Roman" w:eastAsia="Times New Roman"/>
          <w:b w:val="0"/>
          <w:i w:val="0"/>
          <w:sz w:val="24"/>
        </w:rPr>
        <w:t xml:space="preserve"> is computationally convenient but restrictive. In health insurance underwriting, the relationship between applicant features and expected profit is almost certainly non-linear. Consider three examples:</w:t>
      </w:r>
    </w:p>
    <w:p>
      <w:pPr>
        <w:pStyle w:val="ListBullet"/>
        <w:ind w:left="720"/>
      </w:pP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f_(θ)(x, a)</w:t>
      </w:r>
      <w:r>
        <w:rPr>
          <w:rFonts w:ascii="Times New Roman" w:hAnsi="Times New Roman" w:eastAsia="Times New Roman"/>
          <w:b w:val="0"/>
          <w:i w:val="0"/>
          <w:sz w:val="24"/>
        </w:rPr>
        <w:t>, which can learn complex feature interactions from data.</w:t>
      </w:r>
    </w:p>
    <w:p>
      <w:pPr>
        <w:spacing w:after="240" w:before="0" w:lineRule="auto" w:line="360"/>
        <w:ind w:left="720"/>
        <w:jc w:val="left"/>
      </w:pPr>
      <w:r>
        <w:rPr>
          <w:rFonts w:ascii="Times New Roman" w:hAnsi="Times New Roman" w:eastAsia="Times New Roman"/>
          <w:b/>
          <w:i w:val="0"/>
          <w:sz w:val="24"/>
        </w:rPr>
        <w:t>3.4.2. NeuralUCB</w:t>
      </w:r>
    </w:p>
    <w:p>
      <w:pPr>
        <w:spacing w:after="240" w:before="0" w:lineRule="auto" w:line="360"/>
        <w:ind w:firstLine="720"/>
        <w:jc w:val="both"/>
      </w:pP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√(g(x; θ)ᵀ A⁻¹ g(x; θ))</w:t>
      </w:r>
      <w:r>
        <w:rPr>
          <w:rFonts w:ascii="Times New Roman" w:hAnsi="Times New Roman" w:eastAsia="Times New Roman"/>
          <w:b w:val="0"/>
          <w:i w:val="0"/>
          <w:sz w:val="24"/>
        </w:rPr>
        <w:t xml:space="preserve">, where </w:t>
      </w:r>
      <w:r>
        <w:rPr>
          <w:rFonts w:ascii="Times New Roman" w:hAnsi="Times New Roman" w:eastAsia="Times New Roman"/>
          <w:b w:val="0"/>
          <w:i/>
          <w:sz w:val="24"/>
        </w:rPr>
        <w:t>g(x; θ)</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(Zhou et al., 2020).</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Õ(d̃√(T))</w:t>
      </w:r>
      <w:r>
        <w:rPr>
          <w:rFonts w:ascii="Times New Roman" w:hAnsi="Times New Roman" w:eastAsia="Times New Roman"/>
          <w:b w:val="0"/>
          <w:i w:val="0"/>
          <w:sz w:val="24"/>
        </w:rPr>
        <w:t xml:space="preserve">, where </w:t>
      </w:r>
      <w:r>
        <w:rPr>
          <w:rFonts w:ascii="Times New Roman" w:hAnsi="Times New Roman" w:eastAsia="Times New Roman"/>
          <w:b w:val="0"/>
          <w:i/>
          <w:sz w:val="24"/>
        </w:rPr>
        <w:t>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spacing w:after="240" w:before="0" w:lineRule="auto" w:line="360"/>
        <w:ind w:left="720"/>
        <w:jc w:val="left"/>
      </w:pPr>
      <w:r>
        <w:rPr>
          <w:rFonts w:ascii="Times New Roman" w:hAnsi="Times New Roman" w:eastAsia="Times New Roman"/>
          <w:b/>
          <w:i w:val="0"/>
          <w:sz w:val="24"/>
        </w:rPr>
        <w:t>3.4.3. NeuralTS</w:t>
      </w:r>
    </w:p>
    <w:p>
      <w:pPr>
        <w:spacing w:after="240" w:before="0" w:lineRule="auto" w:line="360"/>
        <w:ind w:firstLine="720"/>
        <w:jc w:val="both"/>
      </w:pP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(Zhang et al., 2021).</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spacing w:after="240" w:before="0" w:lineRule="auto" w:line="360"/>
        <w:ind w:left="720"/>
        <w:jc w:val="left"/>
      </w:pPr>
      <w:r>
        <w:rPr>
          <w:rFonts w:ascii="Times New Roman" w:hAnsi="Times New Roman" w:eastAsia="Times New Roman"/>
          <w:b/>
          <w:i w:val="0"/>
          <w:sz w:val="24"/>
        </w:rPr>
        <w:t>3.4.4. EE-Net and Hybrid Approaches</w:t>
      </w:r>
    </w:p>
    <w:p>
      <w:pPr>
        <w:spacing w:after="240" w:before="0" w:lineRule="auto" w:line="360"/>
        <w:ind w:firstLine="720"/>
        <w:jc w:val="both"/>
      </w:pPr>
      <w:r>
        <w:rPr>
          <w:rFonts w:ascii="Times New Roman" w:hAnsi="Times New Roman" w:eastAsia="Times New Roman"/>
          <w:b/>
          <w:i w:val="0"/>
          <w:sz w:val="24"/>
        </w:rPr>
        <w:t>EE-Net</w:t>
      </w:r>
      <w:r>
        <w:rPr>
          <w:rFonts w:ascii="Times New Roman" w:hAnsi="Times New Roman" w:eastAsia="Times New Roman"/>
          <w:b w:val="0"/>
          <w:i w:val="0"/>
          <w:sz w:val="24"/>
        </w:rPr>
        <w:t xml:space="preserve"> (Ban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(Ban et al., 2022).</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φ(x)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in production settings where actuarial or business stakeholders require auditable per-feature coefficients.</w:t>
      </w:r>
    </w:p>
    <w:p>
      <w:pPr>
        <w:spacing w:after="240" w:before="0" w:lineRule="auto" w:line="360"/>
        <w:ind w:left="720"/>
        <w:jc w:val="left"/>
      </w:pPr>
      <w:r>
        <w:rPr>
          <w:rFonts w:ascii="Times New Roman" w:hAnsi="Times New Roman" w:eastAsia="Times New Roman"/>
          <w:b/>
          <w:i w:val="0"/>
          <w:sz w:val="24"/>
        </w:rPr>
        <w:t>3.4.5. Applications in Dynamic Pricing</w:t>
      </w:r>
    </w:p>
    <w:p>
      <w:pPr>
        <w:spacing w:after="240" w:before="0" w:lineRule="auto" w:line="360"/>
        <w:ind w:firstLine="720"/>
        <w:jc w:val="both"/>
      </w:pPr>
      <w:r>
        <w:rPr>
          <w:rFonts w:ascii="Times New Roman" w:hAnsi="Times New Roman" w:eastAsia="Times New Roman"/>
          <w:b w:val="0"/>
          <w:i w:val="0"/>
          <w:sz w:val="24"/>
        </w:rPr>
        <w:t>Contextual bandits have become a standard paradigm in recommendation, advertising, and dynamic pricing. The original LinUCB paper (Li et al., 2010) deployed the algorithm on the Yahoo! news front page, demonstrating click-through-rate gains over editorial selection in a production setting (Li et al., 2010). Subsequent industrial work has extended the framework to personalized search ranking, e-commerce assortment, and ride-hailing surge pricing, where the action space encodes a discrete price tier and the reward is the realized revenue conditional on customer acceptance.</w:t>
      </w:r>
    </w:p>
    <w:p>
      <w:pPr>
        <w:spacing w:after="240" w:before="0" w:lineRule="auto" w:line="360"/>
        <w:ind w:firstLine="720"/>
        <w:jc w:val="both"/>
      </w:pPr>
      <w:r>
        <w:rPr>
          <w:rFonts w:ascii="Times New Roman" w:hAnsi="Times New Roman" w:eastAsia="Times New Roman"/>
          <w:b w:val="0"/>
          <w:i w:val="0"/>
          <w:sz w:val="24"/>
        </w:rPr>
        <w:t>This dynamic pricing literature is structurally aligned with insurance underwriting: both problems present a context (customer or applicant features), a finite action space (price tiers or underwriting decisions), and a noisy reward (revenue or premium minus claims). The key difference is risk asymmetry: in advertising, showing a suboptimal recommendation costs only a click; in insurance, accepting a high-risk applicant at standard rates can generate substantial losses that materialize months later as claims. This asymmetry motivates the conservative reward design and PSI guardrails proposed in this thesis.</w:t>
      </w:r>
    </w:p>
    <w:p>
      <w:pPr>
        <w:spacing w:after="240" w:before="0" w:lineRule="auto" w:line="360"/>
        <w:ind w:left="720"/>
        <w:jc w:val="left"/>
      </w:pPr>
      <w:r>
        <w:rPr>
          <w:rFonts w:ascii="Times New Roman" w:hAnsi="Times New Roman" w:eastAsia="Times New Roman"/>
          <w:b/>
          <w:i w:val="0"/>
          <w:sz w:val="24"/>
        </w:rPr>
        <w:t>3.4.6.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34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spacing w:after="240" w:before="0" w:lineRule="auto" w:line="360"/>
        <w:jc w:val="left"/>
      </w:pPr>
      <w:r>
        <w:rPr>
          <w:rFonts w:ascii="Times New Roman" w:hAnsi="Times New Roman" w:eastAsia="Times New Roman"/>
          <w:b/>
          <w:i w:val="0"/>
          <w:sz w:val="28"/>
        </w:rPr>
        <w:t>3.5. Fairness and Population Stability in Adaptive Systems</w:t>
      </w:r>
    </w:p>
    <w:p>
      <w:pPr>
        <w:spacing w:after="240" w:before="0" w:lineRule="auto" w:line="360"/>
        <w:ind w:left="720"/>
        <w:jc w:val="left"/>
      </w:pPr>
      <w:r>
        <w:rPr>
          <w:rFonts w:ascii="Times New Roman" w:hAnsi="Times New Roman" w:eastAsia="Times New Roman"/>
          <w:b/>
          <w:i w:val="0"/>
          <w:sz w:val="24"/>
        </w:rPr>
        <w:t>3.5.1.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(Barocas et al., 2019).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(Ensign et al., 2018).</w:t>
      </w:r>
    </w:p>
    <w:p>
      <w:pPr>
        <w:spacing w:after="240" w:before="0" w:lineRule="auto" w:line="360"/>
        <w:ind w:left="720"/>
        <w:jc w:val="left"/>
      </w:pPr>
      <w:r>
        <w:rPr>
          <w:rFonts w:ascii="Times New Roman" w:hAnsi="Times New Roman" w:eastAsia="Times New Roman"/>
          <w:b/>
          <w:i w:val="0"/>
          <w:sz w:val="24"/>
        </w:rPr>
        <w:t>3.5.2.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120" w:lineRule="auto" w:line="360"/>
        <w:jc w:val="center"/>
      </w:pPr>
      <w:r>
        <w:rPr>
          <w:rFonts w:ascii="Times New Roman" w:hAnsi="Times New Roman" w:eastAsia="Times New Roman"/>
          <w:b w:val="0"/>
          <w:i/>
          <w:sz w:val="24"/>
        </w:rPr>
        <w:t>PSI = Σᵢ₌₁ᴮ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a symmetric form of the Kullback-Leibler divergence; it appears in the statistical literature as the "J divergence" (Lin, 1991) (Lin, 1991). The term "Population Stability Index" and the associated threshold values were first introduced by Lewis (1994), who proposed the benchmarks as a practical diagnostic for credit-scoring practitioners (Lewis, 1994). Thomas et al. (2002, pp. 155 ff.) codified PSI within the credit-scoring textbook literature, and Siddiqi (2006, 2012) popularised the traffic-light system in scorecard development guides (Thomas et al., 2002) (Siddiqi, 2006).</w:t>
      </w:r>
    </w:p>
    <w:p>
      <w:pPr>
        <w:spacing w:after="240" w:before="0" w:lineRule="auto" w:line="360"/>
        <w:ind w:firstLine="720"/>
        <w:jc w:val="both"/>
      </w:pPr>
      <w:r>
        <w:rPr>
          <w:rFonts w:ascii="Times New Roman" w:hAnsi="Times New Roman" w:eastAsia="Times New Roman"/>
          <w:b w:val="0"/>
          <w:i w:val="0"/>
          <w:sz w:val="24"/>
        </w:rPr>
        <w:t>The canonical industry reference for PSI thresholds is Siddiqi (2006, reprinted 2012), who describes the traffic-light system as: GREEN (</w:t>
      </w:r>
      <w:r>
        <w:rPr>
          <w:rFonts w:ascii="Times New Roman" w:hAnsi="Times New Roman" w:eastAsia="Times New Roman"/>
          <w:b w:val="0"/>
          <w:i/>
          <w:sz w:val="24"/>
        </w:rPr>
        <w:t>&lt;</w:t>
      </w:r>
      <w:r>
        <w:rPr>
          <w:rFonts w:ascii="Times New Roman" w:hAnsi="Times New Roman" w:eastAsia="Times New Roman"/>
          <w:b w:val="0"/>
          <w:i w:val="0"/>
          <w:sz w:val="24"/>
        </w:rPr>
        <w:t xml:space="preserve"> 0.10) indicates little or no shift; AMBER (0.10–0.25) signals a moderate shift requiring investigation; RED (</w:t>
      </w:r>
      <w:r>
        <w:rPr>
          <w:rFonts w:ascii="Times New Roman" w:hAnsi="Times New Roman" w:eastAsia="Times New Roman"/>
          <w:b w:val="0"/>
          <w:i/>
          <w:sz w:val="24"/>
        </w:rPr>
        <w:t>&gt;</w:t>
      </w:r>
      <w:r>
        <w:rPr>
          <w:rFonts w:ascii="Times New Roman" w:hAnsi="Times New Roman" w:eastAsia="Times New Roman"/>
          <w:b w:val="0"/>
          <w:i w:val="0"/>
          <w:sz w:val="24"/>
        </w:rPr>
        <w:t xml:space="preserve"> 0.25) indicates a significant shift that may warrant model recalibration or retraining (Siddiqi, 2006). These thresholds — sometimes called the "Lewis constants" after their originator — are widely adopted in actuarial and banking model-risk management frameworks.</w:t>
      </w:r>
    </w:p>
    <w:p>
      <w:pPr>
        <w:spacing w:after="240" w:before="0" w:lineRule="auto" w:line="360"/>
        <w:ind w:firstLine="720"/>
        <w:jc w:val="both"/>
      </w:pPr>
      <w:r>
        <w:rPr>
          <w:rFonts w:ascii="Times New Roman" w:hAnsi="Times New Roman" w:eastAsia="Times New Roman"/>
          <w:b w:val="0"/>
          <w:i w:val="0"/>
          <w:sz w:val="24"/>
        </w:rPr>
        <w:t xml:space="preserve">The PSI traffic-light thresholds are codified in </w:t>
      </w:r>
      <w:r>
        <w:rPr>
          <w:rFonts w:ascii="Times New Roman" w:hAnsi="Times New Roman" w:eastAsia="Times New Roman"/>
          <w:b/>
          <w:i w:val="0"/>
          <w:sz w:val="24"/>
        </w:rPr>
        <w:t>Chapter IV</w:t>
      </w:r>
      <w:r>
        <w:rPr>
          <w:rFonts w:ascii="Times New Roman" w:hAnsi="Times New Roman" w:eastAsia="Times New Roman"/>
          <w:b w:val="0"/>
          <w:i w:val="0"/>
          <w:sz w:val="24"/>
        </w:rPr>
        <w:t xml:space="preserve"> (§4.8.1) alongside their integration with the bandit decision loop.</w:t>
      </w:r>
    </w:p>
    <w:p>
      <w:pPr>
        <w:spacing w:after="240" w:before="0" w:lineRule="auto" w:line="360"/>
        <w:ind w:firstLine="720"/>
        <w:jc w:val="both"/>
      </w:pPr>
      <w:r>
        <w:rPr>
          <w:rFonts w:ascii="Times New Roman" w:hAnsi="Times New Roman" w:eastAsia="Times New Roman"/>
          <w:b w:val="0"/>
          <w:i w:val="0"/>
          <w:sz w:val="24"/>
        </w:rPr>
        <w:t xml:space="preserve">A more recent statistical treatment by Yurdakul and Naranjo (2020) provides the first formal justification for the Lewis constants. They derive the asymptotic distribution of PSI under the null hypothesis of no population shift and show that the 0.10 and 0.25 benchmarks are reasonable for sample sizes typical of scorecard development (roughly 100–600 observations per bin), though they caution that the thresholds become conservative for larger samples (Yurdakul &amp; Naranjo, 2020). Their simulation study confirms that PSI </w:t>
      </w:r>
      <w:r>
        <w:rPr>
          <w:rFonts w:ascii="Times New Roman" w:hAnsi="Times New Roman" w:eastAsia="Times New Roman"/>
          <w:b w:val="0"/>
          <w:i/>
          <w:sz w:val="24"/>
        </w:rPr>
        <w:t>&gt;</w:t>
      </w:r>
      <w:r>
        <w:rPr>
          <w:rFonts w:ascii="Times New Roman" w:hAnsi="Times New Roman" w:eastAsia="Times New Roman"/>
          <w:b w:val="0"/>
          <w:i w:val="0"/>
          <w:sz w:val="24"/>
        </w:rPr>
        <w:t xml:space="preserve"> 0.25 controls Type I error at acceptable levels while retaining power to detect meaningful distributional shifts.</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 The choice of PSI for this purpose is motivated by its interpretability, its symmetry with respect to the reference and monitored distributions, and its established regulatory acceptance in actuarial practice.</w:t>
      </w:r>
    </w:p>
    <w:p>
      <w:pPr>
        <w:spacing w:after="240" w:before="0" w:lineRule="auto" w:line="360"/>
        <w:jc w:val="left"/>
      </w:pPr>
      <w:r>
        <w:rPr>
          <w:rFonts w:ascii="Times New Roman" w:hAnsi="Times New Roman" w:eastAsia="Times New Roman"/>
          <w:b/>
          <w:i w:val="0"/>
          <w:sz w:val="28"/>
        </w:rPr>
        <w:t>3.6.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spacing w:after="240" w:before="0" w:lineRule="auto" w:line="360"/>
        <w:jc w:val="left"/>
      </w:pPr>
      <w:r>
        <w:rPr>
          <w:rFonts w:ascii="Times New Roman" w:hAnsi="Times New Roman" w:eastAsia="Times New Roman"/>
          <w:b/>
          <w:i w:val="0"/>
          <w:sz w:val="28"/>
        </w:rPr>
        <w:t>3.7.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r>
        <w:br w:type="page"/>
      </w:r>
    </w:p>
    <w:p>
      <w:pPr>
        <w:spacing w:after="480" w:before="0" w:lineRule="auto" w:line="360"/>
        <w:jc w:val="center"/>
      </w:pPr>
      <w:r>
        <w:rPr>
          <w:rFonts w:ascii="Times New Roman" w:hAnsi="Times New Roman" w:eastAsia="Times New Roman"/>
          <w:b/>
          <w:i w:val="0"/>
          <w:sz w:val="32"/>
        </w:rPr>
        <w:t>CHAPTER IV. PROJECT ANALYSIS AND CONCEPTS</w:t>
      </w:r>
    </w:p>
    <w:p>
      <w:pPr>
        <w:spacing w:after="240" w:before="0" w:lineRule="auto" w:line="360"/>
        <w:ind w:firstLine="720"/>
        <w:jc w:val="both"/>
      </w:pPr>
      <w:r>
        <w:rPr>
          <w:rFonts w:ascii="Times New Roman" w:hAnsi="Times New Roman" w:eastAsia="Times New Roman"/>
          <w:b w:val="0"/>
          <w:i w:val="0"/>
          <w:sz w:val="24"/>
        </w:rPr>
        <w:t>This chapter specifies the requirements that the proposed contextual bandit underwriting system must satisfy, identifies the technologies used to implement them, and documents the full methodology. Section 4.1 defines the functional capabilities, organised around the four operational modules of the system. Section 4.2 specifies the non-functional quality attributes. Section 4.3 enumerates the implementation tool stack. Section 4.4 closes with a focused exposition of the core technology — the contextual bandit framework — describing what it is, how it operates, its place in the overall system architecture, and the reasons it was selected over competing alternatives. Section 4.5 describes the synthetic dataset and feature engineering. Section 4.6 specifies the bandit algorithms and baselines. Section 4.7 details the reward design and actuarial simulator. Section 4.8 documents the PSI guardrails and fairness metrics. Section 4.9 presents the experimental design for the three core validation experiments (EXP-005 through EXP-007); the human-in-the-loop experiment (EXP-008) is reported in §5.4. Section 4.10 outlines the implementation and deployment roadmap.</w:t>
      </w:r>
    </w:p>
    <w:p>
      <w:pPr>
        <w:spacing w:after="240" w:before="0" w:lineRule="auto" w:line="360"/>
        <w:jc w:val="left"/>
      </w:pPr>
      <w:r>
        <w:rPr>
          <w:rFonts w:ascii="Times New Roman" w:hAnsi="Times New Roman" w:eastAsia="Times New Roman"/>
          <w:b/>
          <w:i w:val="0"/>
          <w:sz w:val="28"/>
        </w:rPr>
        <w:t>4.1 Functional Requirements</w:t>
      </w:r>
    </w:p>
    <w:p>
      <w:pPr>
        <w:spacing w:after="240" w:before="0" w:lineRule="auto" w:line="360"/>
        <w:ind w:firstLine="720"/>
        <w:jc w:val="both"/>
      </w:pPr>
      <w:r>
        <w:rPr>
          <w:rFonts w:ascii="Times New Roman" w:hAnsi="Times New Roman" w:eastAsia="Times New Roman"/>
          <w:b w:val="0"/>
          <w:i w:val="0"/>
          <w:sz w:val="24"/>
        </w:rPr>
        <w:t>The functional requirements are organised into four module groups, each of which addresses one or more of the three problems identified in Section 1.2: suboptimal risk selection, inability to adapt to portfolio drift, and demographic fairness violations. Table 4.1 maps each module group to the problems it resolves, providing forward traceability between requirements and motivation.</w:t>
      </w:r>
    </w:p>
    <w:p>
      <w:pPr>
        <w:spacing w:after="240" w:before="0" w:lineRule="auto" w:line="360"/>
        <w:ind w:firstLine="720"/>
        <w:jc w:val="both"/>
      </w:pPr>
      <w:r>
        <w:rPr>
          <w:rFonts w:ascii="Times New Roman" w:hAnsi="Times New Roman" w:eastAsia="Times New Roman"/>
          <w:b/>
          <w:i w:val="0"/>
          <w:sz w:val="24"/>
        </w:rPr>
        <w:t>Table 4.1 — Functional requirement groups mapped to research problems (§1.2).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FR Group</w:t>
            </w:r>
          </w:p>
        </w:tc>
        <w:tc>
          <w:tcPr>
            <w:tcW w:type="dxa" w:w="1734"/>
          </w:tcPr>
          <w:p>
            <w:pPr>
              <w:spacing w:after="120" w:before="0" w:lineRule="auto" w:line="276"/>
              <w:jc w:val="left"/>
            </w:pPr>
            <w:r/>
            <w:r>
              <w:rPr>
                <w:rFonts w:ascii="Times New Roman" w:hAnsi="Times New Roman" w:eastAsia="Times New Roman"/>
                <w:b w:val="0"/>
                <w:i w:val="0"/>
                <w:sz w:val="22"/>
              </w:rPr>
              <w:t>Module</w:t>
            </w:r>
          </w:p>
        </w:tc>
        <w:tc>
          <w:tcPr>
            <w:tcW w:type="dxa" w:w="1734"/>
          </w:tcPr>
          <w:p>
            <w:pPr>
              <w:spacing w:after="120" w:before="0" w:lineRule="auto" w:line="276"/>
              <w:jc w:val="left"/>
            </w:pPr>
            <w:r/>
            <w:r>
              <w:rPr>
                <w:rFonts w:ascii="Times New Roman" w:hAnsi="Times New Roman" w:eastAsia="Times New Roman"/>
                <w:b w:val="0"/>
                <w:i w:val="0"/>
                <w:sz w:val="22"/>
              </w:rPr>
              <w:t>Problem 1 (Risk selection)</w:t>
            </w:r>
          </w:p>
        </w:tc>
        <w:tc>
          <w:tcPr>
            <w:tcW w:type="dxa" w:w="1734"/>
          </w:tcPr>
          <w:p>
            <w:pPr>
              <w:spacing w:after="120" w:before="0" w:lineRule="auto" w:line="276"/>
              <w:jc w:val="left"/>
            </w:pPr>
            <w:r/>
            <w:r>
              <w:rPr>
                <w:rFonts w:ascii="Times New Roman" w:hAnsi="Times New Roman" w:eastAsia="Times New Roman"/>
                <w:b w:val="0"/>
                <w:i w:val="0"/>
                <w:sz w:val="22"/>
              </w:rPr>
              <w:t>Problem 2 (Drift adaptation)</w:t>
            </w:r>
          </w:p>
        </w:tc>
        <w:tc>
          <w:tcPr>
            <w:tcW w:type="dxa" w:w="1734"/>
          </w:tcPr>
          <w:p>
            <w:pPr>
              <w:spacing w:after="120" w:before="0" w:lineRule="auto" w:line="276"/>
              <w:jc w:val="left"/>
            </w:pPr>
            <w:r/>
            <w:r>
              <w:rPr>
                <w:rFonts w:ascii="Times New Roman" w:hAnsi="Times New Roman" w:eastAsia="Times New Roman"/>
                <w:b w:val="0"/>
                <w:i w:val="0"/>
                <w:sz w:val="22"/>
              </w:rPr>
              <w:t>Problem 3 (Fairness)</w:t>
            </w:r>
          </w:p>
        </w:tc>
      </w:tr>
      <w:tr>
        <w:tc>
          <w:tcPr>
            <w:tcW w:type="dxa" w:w="1734"/>
          </w:tcPr>
          <w:p>
            <w:pPr>
              <w:spacing w:after="120" w:before="0" w:lineRule="auto" w:line="276"/>
              <w:jc w:val="left"/>
            </w:pPr>
            <w:r/>
            <w:r>
              <w:rPr>
                <w:rFonts w:ascii="Times New Roman" w:hAnsi="Times New Roman" w:eastAsia="Times New Roman"/>
                <w:b w:val="0"/>
                <w:i w:val="0"/>
                <w:sz w:val="22"/>
              </w:rPr>
              <w:t>FR-1</w:t>
            </w:r>
          </w:p>
        </w:tc>
        <w:tc>
          <w:tcPr>
            <w:tcW w:type="dxa" w:w="1734"/>
          </w:tcPr>
          <w:p>
            <w:pPr>
              <w:spacing w:after="120" w:before="0" w:lineRule="auto" w:line="276"/>
              <w:jc w:val="left"/>
            </w:pPr>
            <w:r/>
            <w:r>
              <w:rPr>
                <w:rFonts w:ascii="Times New Roman" w:hAnsi="Times New Roman" w:eastAsia="Times New Roman"/>
                <w:b w:val="0"/>
                <w:i w:val="0"/>
                <w:sz w:val="22"/>
              </w:rPr>
              <w:t>Applicant Simulation &amp; Risk Assessment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FR-2</w:t>
            </w:r>
          </w:p>
        </w:tc>
        <w:tc>
          <w:tcPr>
            <w:tcW w:type="dxa" w:w="1734"/>
          </w:tcPr>
          <w:p>
            <w:pPr>
              <w:spacing w:after="120" w:before="0" w:lineRule="auto" w:line="276"/>
              <w:jc w:val="left"/>
            </w:pPr>
            <w:r/>
            <w:r>
              <w:rPr>
                <w:rFonts w:ascii="Times New Roman" w:hAnsi="Times New Roman" w:eastAsia="Times New Roman"/>
                <w:b w:val="0"/>
                <w:i w:val="0"/>
                <w:sz w:val="22"/>
              </w:rPr>
              <w:t>Dynamic Premium Optimisation</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FR-3</w:t>
            </w:r>
          </w:p>
        </w:tc>
        <w:tc>
          <w:tcPr>
            <w:tcW w:type="dxa" w:w="1734"/>
          </w:tcPr>
          <w:p>
            <w:pPr>
              <w:spacing w:after="120" w:before="0" w:lineRule="auto" w:line="276"/>
              <w:jc w:val="left"/>
            </w:pPr>
            <w:r/>
            <w:r>
              <w:rPr>
                <w:rFonts w:ascii="Times New Roman" w:hAnsi="Times New Roman" w:eastAsia="Times New Roman"/>
                <w:b w:val="0"/>
                <w:i w:val="0"/>
                <w:sz w:val="22"/>
              </w:rPr>
              <w:t>Bandit Algorithm Arena &amp; Benchmarking</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FR-4</w:t>
            </w:r>
          </w:p>
        </w:tc>
        <w:tc>
          <w:tcPr>
            <w:tcW w:type="dxa" w:w="1734"/>
          </w:tcPr>
          <w:p>
            <w:pPr>
              <w:spacing w:after="120" w:before="0" w:lineRule="auto" w:line="276"/>
              <w:jc w:val="left"/>
            </w:pPr>
            <w:r/>
            <w:r>
              <w:rPr>
                <w:rFonts w:ascii="Times New Roman" w:hAnsi="Times New Roman" w:eastAsia="Times New Roman"/>
                <w:b w:val="0"/>
                <w:i w:val="0"/>
                <w:sz w:val="22"/>
              </w:rPr>
              <w:t>PSI Drift Monitor &amp; Fairness Audit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left="720"/>
        <w:jc w:val="left"/>
      </w:pPr>
      <w:r>
        <w:rPr>
          <w:rFonts w:ascii="Times New Roman" w:hAnsi="Times New Roman" w:eastAsia="Times New Roman"/>
          <w:b/>
          <w:i w:val="0"/>
          <w:sz w:val="24"/>
        </w:rPr>
        <w:t>4.1.1 FR-1 — Applicant Simulation and Risk Assessment</w:t>
      </w:r>
    </w:p>
    <w:p>
      <w:pPr>
        <w:spacing w:after="240" w:before="0" w:lineRule="auto" w:line="360"/>
        <w:ind w:firstLine="720"/>
        <w:jc w:val="both"/>
      </w:pPr>
      <w:r>
        <w:rPr>
          <w:rFonts w:ascii="Times New Roman" w:hAnsi="Times New Roman" w:eastAsia="Times New Roman"/>
          <w:b w:val="0"/>
          <w:i w:val="0"/>
          <w:sz w:val="24"/>
        </w:rPr>
        <w:t>The system generates and scores individual Cambodian health insurance applicants drawn from a synthetic 2,000-record dataset calibrated to the Cambodia Demographic and Health Survey (CDHS) 2021–22.</w:t>
      </w:r>
    </w:p>
    <w:p>
      <w:pPr>
        <w:pStyle w:val="ListBullet"/>
        <w:ind w:left="720"/>
      </w:pPr>
      <w:r>
        <w:rPr>
          <w:rFonts w:ascii="Times New Roman" w:hAnsi="Times New Roman" w:eastAsia="Times New Roman"/>
          <w:b/>
          <w:i w:val="0"/>
          <w:sz w:val="24"/>
        </w:rPr>
        <w:t>FR-1.1</w:t>
      </w:r>
      <w:r>
        <w:rPr>
          <w:rFonts w:ascii="Times New Roman" w:hAnsi="Times New Roman" w:eastAsia="Times New Roman"/>
          <w:b w:val="0"/>
          <w:i w:val="0"/>
          <w:sz w:val="24"/>
        </w:rPr>
        <w:t xml:space="preserve"> Generate random applicant profiles containing demographics (age, gender, region, education, wealth quintile), health indicators (BMI, smoking, alcohol use, exercise, self-reported health, pre-existing conditions), occupational risk class, and monthly income.</w:t>
      </w:r>
    </w:p>
    <w:p>
      <w:pPr>
        <w:pStyle w:val="ListBullet"/>
        <w:ind w:left="720"/>
      </w:pPr>
      <w:r>
        <w:rPr>
          <w:rFonts w:ascii="Times New Roman" w:hAnsi="Times New Roman" w:eastAsia="Times New Roman"/>
          <w:b/>
          <w:i w:val="0"/>
          <w:sz w:val="24"/>
        </w:rPr>
        <w:t>FR-1.2</w:t>
      </w:r>
      <w:r>
        <w:rPr>
          <w:rFonts w:ascii="Times New Roman" w:hAnsi="Times New Roman" w:eastAsia="Times New Roman"/>
          <w:b w:val="0"/>
          <w:i w:val="0"/>
          <w:sz w:val="24"/>
        </w:rPr>
        <w:t xml:space="preserve"> Compute deterministic expected rewards for all four underwriting actions (STANDARD, RATED, DECLINE, REFER) using the actuarial profit simulator (premium revenue, expected claims with adverse-selection adjustment, customer acceptance probability, expense load, lapse probability, customer lifetime value).</w:t>
      </w:r>
    </w:p>
    <w:p>
      <w:pPr>
        <w:pStyle w:val="ListBullet"/>
        <w:ind w:left="720"/>
      </w:pPr>
      <w:r>
        <w:rPr>
          <w:rFonts w:ascii="Times New Roman" w:hAnsi="Times New Roman" w:eastAsia="Times New Roman"/>
          <w:b/>
          <w:i w:val="0"/>
          <w:sz w:val="24"/>
        </w:rPr>
        <w:t>FR-1.3</w:t>
      </w:r>
      <w:r>
        <w:rPr>
          <w:rFonts w:ascii="Times New Roman" w:hAnsi="Times New Roman" w:eastAsia="Times New Roman"/>
          <w:b w:val="0"/>
          <w:i w:val="0"/>
          <w:sz w:val="24"/>
        </w:rPr>
        <w:t xml:space="preserve"> Run stochastic realisations that draw a customer accept/reject outcome and a sampled claim cost, returning the realised profit or loss for the chosen action.</w:t>
      </w:r>
    </w:p>
    <w:p>
      <w:pPr>
        <w:spacing w:after="240" w:before="0" w:lineRule="auto" w:line="360"/>
        <w:ind w:left="720"/>
        <w:jc w:val="left"/>
      </w:pPr>
      <w:r>
        <w:rPr>
          <w:rFonts w:ascii="Times New Roman" w:hAnsi="Times New Roman" w:eastAsia="Times New Roman"/>
          <w:b/>
          <w:i w:val="0"/>
          <w:sz w:val="24"/>
        </w:rPr>
        <w:t>4.1.2 FR-2 — Dynamic Premium Optimisation</w:t>
      </w:r>
    </w:p>
    <w:p>
      <w:pPr>
        <w:spacing w:after="240" w:before="0" w:lineRule="auto" w:line="360"/>
        <w:ind w:firstLine="720"/>
        <w:jc w:val="both"/>
      </w:pPr>
      <w:r>
        <w:rPr>
          <w:rFonts w:ascii="Times New Roman" w:hAnsi="Times New Roman" w:eastAsia="Times New Roman"/>
          <w:b w:val="0"/>
          <w:i w:val="0"/>
          <w:sz w:val="24"/>
        </w:rPr>
        <w:t>The system extends the four discrete actions with a continuous pricing layer that searches for the profit-maximising premium for a given applicant.</w:t>
      </w:r>
    </w:p>
    <w:p>
      <w:pPr>
        <w:pStyle w:val="ListBullet"/>
        <w:ind w:left="720"/>
      </w:pPr>
      <w:r>
        <w:rPr>
          <w:rFonts w:ascii="Times New Roman" w:hAnsi="Times New Roman" w:eastAsia="Times New Roman"/>
          <w:b/>
          <w:i w:val="0"/>
          <w:sz w:val="24"/>
        </w:rPr>
        <w:t>FR-2.1</w:t>
      </w:r>
      <w:r>
        <w:rPr>
          <w:rFonts w:ascii="Times New Roman" w:hAnsi="Times New Roman" w:eastAsia="Times New Roman"/>
          <w:b w:val="0"/>
          <w:i w:val="0"/>
          <w:sz w:val="24"/>
        </w:rPr>
        <w:t xml:space="preserve"> Grid-search the optimal premium multiplier in the range 0.5×–3.0× of base premium for a single applicant.</w:t>
      </w:r>
    </w:p>
    <w:p>
      <w:pPr>
        <w:pStyle w:val="ListBullet"/>
        <w:ind w:left="720"/>
      </w:pPr>
      <w:r>
        <w:rPr>
          <w:rFonts w:ascii="Times New Roman" w:hAnsi="Times New Roman" w:eastAsia="Times New Roman"/>
          <w:b/>
          <w:i w:val="0"/>
          <w:sz w:val="24"/>
        </w:rPr>
        <w:t>FR-2.2</w:t>
      </w:r>
      <w:r>
        <w:rPr>
          <w:rFonts w:ascii="Times New Roman" w:hAnsi="Times New Roman" w:eastAsia="Times New Roman"/>
          <w:b w:val="0"/>
          <w:i w:val="0"/>
          <w:sz w:val="24"/>
        </w:rPr>
        <w:t xml:space="preserve"> Display the resulting profit curve across all multipliers with the customer acceptance probability overlaid on a secondary axis.</w:t>
      </w:r>
    </w:p>
    <w:p>
      <w:pPr>
        <w:pStyle w:val="ListBullet"/>
        <w:ind w:left="720"/>
      </w:pPr>
      <w:r>
        <w:rPr>
          <w:rFonts w:ascii="Times New Roman" w:hAnsi="Times New Roman" w:eastAsia="Times New Roman"/>
          <w:b/>
          <w:i w:val="0"/>
          <w:sz w:val="24"/>
        </w:rPr>
        <w:t>FR-2.3</w:t>
      </w:r>
      <w:r>
        <w:rPr>
          <w:rFonts w:ascii="Times New Roman" w:hAnsi="Times New Roman" w:eastAsia="Times New Roman"/>
          <w:b w:val="0"/>
          <w:i w:val="0"/>
          <w:sz w:val="24"/>
        </w:rPr>
        <w:t xml:space="preserve"> Compare the optimised continuous premium against the legacy four-action decision (STANDARD / RATED / DECLINE / REFER).</w:t>
      </w:r>
    </w:p>
    <w:p>
      <w:pPr>
        <w:pStyle w:val="ListBullet"/>
        <w:ind w:left="720"/>
      </w:pPr>
      <w:r>
        <w:rPr>
          <w:rFonts w:ascii="Times New Roman" w:hAnsi="Times New Roman" w:eastAsia="Times New Roman"/>
          <w:b/>
          <w:i w:val="0"/>
          <w:sz w:val="24"/>
        </w:rPr>
        <w:t>FR-2.4</w:t>
      </w:r>
      <w:r>
        <w:rPr>
          <w:rFonts w:ascii="Times New Roman" w:hAnsi="Times New Roman" w:eastAsia="Times New Roman"/>
          <w:b w:val="0"/>
          <w:i w:val="0"/>
          <w:sz w:val="24"/>
        </w:rPr>
        <w:t xml:space="preserve"> Run batch optimisation on 100 sampled applicants and produce portfolio-level statistics (mean and median multipliers, histogram, summary table).</w:t>
      </w:r>
    </w:p>
    <w:p>
      <w:pPr>
        <w:spacing w:after="240" w:before="0" w:lineRule="auto" w:line="360"/>
        <w:ind w:left="720"/>
        <w:jc w:val="left"/>
      </w:pPr>
      <w:r>
        <w:rPr>
          <w:rFonts w:ascii="Times New Roman" w:hAnsi="Times New Roman" w:eastAsia="Times New Roman"/>
          <w:b/>
          <w:i w:val="0"/>
          <w:sz w:val="24"/>
        </w:rPr>
        <w:t>4.1.3 FR-3 — Bandit Algorithm Arena and Benchmarking</w:t>
      </w:r>
    </w:p>
    <w:p>
      <w:pPr>
        <w:spacing w:after="240" w:before="0" w:lineRule="auto" w:line="360"/>
        <w:ind w:firstLine="720"/>
        <w:jc w:val="both"/>
      </w:pPr>
      <w:r>
        <w:rPr>
          <w:rFonts w:ascii="Times New Roman" w:hAnsi="Times New Roman" w:eastAsia="Times New Roman"/>
          <w:b w:val="0"/>
          <w:i w:val="0"/>
          <w:sz w:val="24"/>
        </w:rPr>
        <w:t>The system supports head-to-head experimental comparison of contextual bandit algorithms against the static XGBoost baseline.</w:t>
      </w:r>
    </w:p>
    <w:p>
      <w:pPr>
        <w:pStyle w:val="ListBullet"/>
        <w:ind w:left="720"/>
      </w:pPr>
      <w:r>
        <w:rPr>
          <w:rFonts w:ascii="Times New Roman" w:hAnsi="Times New Roman" w:eastAsia="Times New Roman"/>
          <w:b/>
          <w:i w:val="0"/>
          <w:sz w:val="24"/>
        </w:rPr>
        <w:t>FR-3.1</w:t>
      </w:r>
      <w:r>
        <w:rPr>
          <w:rFonts w:ascii="Times New Roman" w:hAnsi="Times New Roman" w:eastAsia="Times New Roman"/>
          <w:b w:val="0"/>
          <w:i w:val="0"/>
          <w:sz w:val="24"/>
        </w:rPr>
        <w:t xml:space="preserve"> Execute single-algorithm simulations (LinUCB, Linear Thompson Sampling, Epsilon-Greedy, Static XGB) for a configurable number of rounds (100–10,000), updating bandit state after each decision.</w:t>
      </w:r>
    </w:p>
    <w:p>
      <w:pPr>
        <w:pStyle w:val="ListBullet"/>
        <w:ind w:left="720"/>
      </w:pPr>
      <w:r>
        <w:rPr>
          <w:rFonts w:ascii="Times New Roman" w:hAnsi="Times New Roman" w:eastAsia="Times New Roman"/>
          <w:b/>
          <w:i w:val="0"/>
          <w:sz w:val="24"/>
        </w:rPr>
        <w:t>FR-3.2</w:t>
      </w:r>
      <w:r>
        <w:rPr>
          <w:rFonts w:ascii="Times New Roman" w:hAnsi="Times New Roman" w:eastAsia="Times New Roman"/>
          <w:b w:val="0"/>
          <w:i w:val="0"/>
          <w:sz w:val="24"/>
        </w:rPr>
        <w:t xml:space="preserve"> Visualise cumulative reward, cumulative regret, and action-distribution trajectories over time.</w:t>
      </w:r>
    </w:p>
    <w:p>
      <w:pPr>
        <w:pStyle w:val="ListBullet"/>
        <w:ind w:left="720"/>
      </w:pPr>
      <w:r>
        <w:rPr>
          <w:rFonts w:ascii="Times New Roman" w:hAnsi="Times New Roman" w:eastAsia="Times New Roman"/>
          <w:b/>
          <w:i w:val="0"/>
          <w:sz w:val="24"/>
        </w:rPr>
        <w:t>FR-3.3</w:t>
      </w:r>
      <w:r>
        <w:rPr>
          <w:rFonts w:ascii="Times New Roman" w:hAnsi="Times New Roman" w:eastAsia="Times New Roman"/>
          <w:b w:val="0"/>
          <w:i w:val="0"/>
          <w:sz w:val="24"/>
        </w:rPr>
        <w:t xml:space="preserve"> Run all four algorithms head-to-head on the same random seed and render dual cumulative reward and regret charts.</w:t>
      </w:r>
    </w:p>
    <w:p>
      <w:pPr>
        <w:pStyle w:val="ListBullet"/>
        <w:ind w:left="720"/>
      </w:pPr>
      <w:r>
        <w:rPr>
          <w:rFonts w:ascii="Times New Roman" w:hAnsi="Times New Roman" w:eastAsia="Times New Roman"/>
          <w:b/>
          <w:i w:val="0"/>
          <w:sz w:val="24"/>
        </w:rPr>
        <w:t>FR-3.4</w:t>
      </w:r>
      <w:r>
        <w:rPr>
          <w:rFonts w:ascii="Times New Roman" w:hAnsi="Times New Roman" w:eastAsia="Times New Roman"/>
          <w:b w:val="0"/>
          <w:i w:val="0"/>
          <w:sz w:val="24"/>
        </w:rPr>
        <w:t xml:space="preserve"> Expose hyperparameter controls (α for LinUCB, v² for LinTS, ε for Epsilon-Greedy) for sensitivity analysis.</w:t>
      </w:r>
    </w:p>
    <w:p>
      <w:pPr>
        <w:spacing w:after="240" w:before="0" w:lineRule="auto" w:line="360"/>
        <w:ind w:left="720"/>
        <w:jc w:val="left"/>
      </w:pPr>
      <w:r>
        <w:rPr>
          <w:rFonts w:ascii="Times New Roman" w:hAnsi="Times New Roman" w:eastAsia="Times New Roman"/>
          <w:b/>
          <w:i w:val="0"/>
          <w:sz w:val="24"/>
        </w:rPr>
        <w:t>4.1.4 FR-4 — PSI Drift Monitor and Fairness Audit</w:t>
      </w:r>
    </w:p>
    <w:p>
      <w:pPr>
        <w:spacing w:after="240" w:before="0" w:lineRule="auto" w:line="360"/>
        <w:ind w:firstLine="720"/>
        <w:jc w:val="both"/>
      </w:pPr>
      <w:r>
        <w:rPr>
          <w:rFonts w:ascii="Times New Roman" w:hAnsi="Times New Roman" w:eastAsia="Times New Roman"/>
          <w:b w:val="0"/>
          <w:i w:val="0"/>
          <w:sz w:val="24"/>
        </w:rPr>
        <w:t>The system implements Population Stability Index (PSI) guardrails to detect demographic drift and verify approval-rate parity across protected segments.</w:t>
      </w:r>
    </w:p>
    <w:p>
      <w:pPr>
        <w:pStyle w:val="ListBullet"/>
        <w:ind w:left="720"/>
      </w:pPr>
      <w:r>
        <w:rPr>
          <w:rFonts w:ascii="Times New Roman" w:hAnsi="Times New Roman" w:eastAsia="Times New Roman"/>
          <w:b/>
          <w:i w:val="0"/>
          <w:sz w:val="24"/>
        </w:rPr>
        <w:t>FR-4.1</w:t>
      </w:r>
      <w:r>
        <w:rPr>
          <w:rFonts w:ascii="Times New Roman" w:hAnsi="Times New Roman" w:eastAsia="Times New Roman"/>
          <w:b w:val="0"/>
          <w:i w:val="0"/>
          <w:sz w:val="24"/>
        </w:rPr>
        <w:t xml:space="preserve"> Compute PSI between the applicant pool and the approved portfolio across region, occupation, age band, and wealth quintile dimensions.</w:t>
      </w:r>
    </w:p>
    <w:p>
      <w:pPr>
        <w:pStyle w:val="ListBullet"/>
        <w:ind w:left="720"/>
      </w:pPr>
      <w:r>
        <w:rPr>
          <w:rFonts w:ascii="Times New Roman" w:hAnsi="Times New Roman" w:eastAsia="Times New Roman"/>
          <w:b/>
          <w:i w:val="0"/>
          <w:sz w:val="24"/>
        </w:rPr>
        <w:t>FR-4.2</w:t>
      </w:r>
      <w:r>
        <w:rPr>
          <w:rFonts w:ascii="Times New Roman" w:hAnsi="Times New Roman" w:eastAsia="Times New Roman"/>
          <w:b w:val="0"/>
          <w:i w:val="0"/>
          <w:sz w:val="24"/>
        </w:rPr>
        <w:t xml:space="preserve"> Display traffic-light status cards classifying each PSI value as GREEN (&lt; 0.10), AMBER (0.10–0.25), or RED (&gt; 0.25).</w:t>
      </w:r>
    </w:p>
    <w:p>
      <w:pPr>
        <w:pStyle w:val="ListBullet"/>
        <w:ind w:left="720"/>
      </w:pPr>
      <w:r>
        <w:rPr>
          <w:rFonts w:ascii="Times New Roman" w:hAnsi="Times New Roman" w:eastAsia="Times New Roman"/>
          <w:b/>
          <w:i w:val="0"/>
          <w:sz w:val="24"/>
        </w:rPr>
        <w:t>FR-4.3</w:t>
      </w:r>
      <w:r>
        <w:rPr>
          <w:rFonts w:ascii="Times New Roman" w:hAnsi="Times New Roman" w:eastAsia="Times New Roman"/>
          <w:b w:val="0"/>
          <w:i w:val="0"/>
          <w:sz w:val="24"/>
        </w:rPr>
        <w:t xml:space="preserve"> Render PSI bar charts for visual drift inspection.</w:t>
      </w:r>
    </w:p>
    <w:p>
      <w:pPr>
        <w:pStyle w:val="ListBullet"/>
        <w:ind w:left="720"/>
      </w:pPr>
      <w:r>
        <w:rPr>
          <w:rFonts w:ascii="Times New Roman" w:hAnsi="Times New Roman" w:eastAsia="Times New Roman"/>
          <w:b/>
          <w:i w:val="0"/>
          <w:sz w:val="24"/>
        </w:rPr>
        <w:t>FR-4.4</w:t>
      </w:r>
      <w:r>
        <w:rPr>
          <w:rFonts w:ascii="Times New Roman" w:hAnsi="Times New Roman" w:eastAsia="Times New Roman"/>
          <w:b w:val="0"/>
          <w:i w:val="0"/>
          <w:sz w:val="24"/>
        </w:rPr>
        <w:t xml:space="preserve"> Validate the fairness constraint that no regional or occupational segment exhibits an approval rate below 80% of the maximum observed segment rate, in line with the U.S. EEOC four-fifths rule formalised in §4.8.2.</w:t>
      </w:r>
    </w:p>
    <w:p>
      <w:pPr>
        <w:spacing w:after="240" w:before="0" w:lineRule="auto" w:line="360"/>
        <w:jc w:val="left"/>
      </w:pPr>
      <w:r>
        <w:rPr>
          <w:rFonts w:ascii="Times New Roman" w:hAnsi="Times New Roman" w:eastAsia="Times New Roman"/>
          <w:b/>
          <w:i w:val="0"/>
          <w:sz w:val="28"/>
        </w:rPr>
        <w:t>4.2 Non-Functional Requirements</w:t>
      </w:r>
    </w:p>
    <w:p>
      <w:pPr>
        <w:spacing w:after="240" w:before="0" w:lineRule="auto" w:line="360"/>
        <w:ind w:firstLine="720"/>
        <w:jc w:val="both"/>
      </w:pPr>
      <w:r>
        <w:rPr>
          <w:rFonts w:ascii="Times New Roman" w:hAnsi="Times New Roman" w:eastAsia="Times New Roman"/>
          <w:b w:val="0"/>
          <w:i w:val="0"/>
          <w:sz w:val="24"/>
        </w:rPr>
        <w:t>Non-functional requirements specify the quality attributes and operational constraints under which the system must perform. The eight requirements in Table 4.2 reflect the deployment context — low-resource mobile infrastructure in an emerging market — and the academic context — reproducibility for examiner replication and regulator audit.</w:t>
      </w:r>
    </w:p>
    <w:p>
      <w:pPr>
        <w:spacing w:after="240" w:before="0" w:lineRule="auto" w:line="360"/>
        <w:ind w:firstLine="720"/>
        <w:jc w:val="both"/>
      </w:pPr>
      <w:r>
        <w:rPr>
          <w:rFonts w:ascii="Times New Roman" w:hAnsi="Times New Roman" w:eastAsia="Times New Roman"/>
          <w:b/>
          <w:i w:val="0"/>
          <w:sz w:val="24"/>
        </w:rPr>
        <w:t>Table 4.2 — Non-functional requirements.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ID</w:t>
            </w:r>
          </w:p>
        </w:tc>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Requirement</w:t>
            </w:r>
          </w:p>
        </w:tc>
        <w:tc>
          <w:tcPr>
            <w:tcW w:type="dxa" w:w="2167"/>
          </w:tcPr>
          <w:p>
            <w:pPr>
              <w:spacing w:after="120" w:before="0" w:lineRule="auto" w:line="276"/>
              <w:jc w:val="left"/>
            </w:pPr>
            <w:r/>
            <w:r>
              <w:rPr>
                <w:rFonts w:ascii="Times New Roman" w:hAnsi="Times New Roman" w:eastAsia="Times New Roman"/>
                <w:b w:val="0"/>
                <w:i w:val="0"/>
                <w:sz w:val="22"/>
              </w:rPr>
              <w:t>Rationale</w:t>
            </w:r>
          </w:p>
        </w:tc>
      </w:tr>
      <w:tr>
        <w:tc>
          <w:tcPr>
            <w:tcW w:type="dxa" w:w="2167"/>
          </w:tcPr>
          <w:p>
            <w:pPr>
              <w:spacing w:after="120" w:before="0" w:lineRule="auto" w:line="276"/>
              <w:jc w:val="left"/>
            </w:pPr>
            <w:r/>
            <w:r>
              <w:rPr>
                <w:rFonts w:ascii="Times New Roman" w:hAnsi="Times New Roman" w:eastAsia="Times New Roman"/>
                <w:b w:val="0"/>
                <w:i w:val="0"/>
                <w:sz w:val="22"/>
              </w:rPr>
              <w:t>NFR-1</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Decision latency below 200 ms on standard CPU hardware.</w:t>
            </w:r>
          </w:p>
        </w:tc>
        <w:tc>
          <w:tcPr>
            <w:tcW w:type="dxa" w:w="2167"/>
          </w:tcPr>
          <w:p>
            <w:pPr>
              <w:spacing w:after="120" w:before="0" w:lineRule="auto" w:line="276"/>
              <w:jc w:val="left"/>
            </w:pPr>
            <w:r/>
            <w:r>
              <w:rPr>
                <w:rFonts w:ascii="Times New Roman" w:hAnsi="Times New Roman" w:eastAsia="Times New Roman"/>
                <w:b w:val="0"/>
                <w:i w:val="0"/>
                <w:sz w:val="22"/>
              </w:rPr>
              <w:t>Cambodian mobile distribution lacks GPU servers; the system must run on commodity infrastructure.</w:t>
            </w:r>
          </w:p>
        </w:tc>
      </w:tr>
      <w:tr>
        <w:tc>
          <w:tcPr>
            <w:tcW w:type="dxa" w:w="2167"/>
          </w:tcPr>
          <w:p>
            <w:pPr>
              <w:spacing w:after="120" w:before="0" w:lineRule="auto" w:line="276"/>
              <w:jc w:val="left"/>
            </w:pPr>
            <w:r/>
            <w:r>
              <w:rPr>
                <w:rFonts w:ascii="Times New Roman" w:hAnsi="Times New Roman" w:eastAsia="Times New Roman"/>
                <w:b w:val="0"/>
                <w:i w:val="0"/>
                <w:sz w:val="22"/>
              </w:rPr>
              <w:t>NFR-2</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A 5,000-round bandit simulation completes within 30 seconds.</w:t>
            </w:r>
          </w:p>
        </w:tc>
        <w:tc>
          <w:tcPr>
            <w:tcW w:type="dxa" w:w="2167"/>
          </w:tcPr>
          <w:p>
            <w:pPr>
              <w:spacing w:after="120" w:before="0" w:lineRule="auto" w:line="276"/>
              <w:jc w:val="left"/>
            </w:pPr>
            <w:r/>
            <w:r>
              <w:rPr>
                <w:rFonts w:ascii="Times New Roman" w:hAnsi="Times New Roman" w:eastAsia="Times New Roman"/>
                <w:b w:val="0"/>
                <w:i w:val="0"/>
                <w:sz w:val="22"/>
              </w:rPr>
              <w:t>Enables interactive demonstration and rapid experimentation for examiner and stakeholder sessions.</w:t>
            </w:r>
          </w:p>
        </w:tc>
      </w:tr>
      <w:tr>
        <w:tc>
          <w:tcPr>
            <w:tcW w:type="dxa" w:w="2167"/>
          </w:tcPr>
          <w:p>
            <w:pPr>
              <w:spacing w:after="120" w:before="0" w:lineRule="auto" w:line="276"/>
              <w:jc w:val="left"/>
            </w:pPr>
            <w:r/>
            <w:r>
              <w:rPr>
                <w:rFonts w:ascii="Times New Roman" w:hAnsi="Times New Roman" w:eastAsia="Times New Roman"/>
                <w:b w:val="0"/>
                <w:i w:val="0"/>
                <w:sz w:val="22"/>
              </w:rPr>
              <w:t>NFR-3</w:t>
            </w:r>
          </w:p>
        </w:tc>
        <w:tc>
          <w:tcPr>
            <w:tcW w:type="dxa" w:w="2167"/>
          </w:tcPr>
          <w:p>
            <w:pPr>
              <w:spacing w:after="120" w:before="0" w:lineRule="auto" w:line="276"/>
              <w:jc w:val="left"/>
            </w:pPr>
            <w:r/>
            <w:r>
              <w:rPr>
                <w:rFonts w:ascii="Times New Roman" w:hAnsi="Times New Roman" w:eastAsia="Times New Roman"/>
                <w:b w:val="0"/>
                <w:i w:val="0"/>
                <w:sz w:val="22"/>
              </w:rPr>
              <w:t>Reproducibility</w:t>
            </w:r>
          </w:p>
        </w:tc>
        <w:tc>
          <w:tcPr>
            <w:tcW w:type="dxa" w:w="2167"/>
          </w:tcPr>
          <w:p>
            <w:pPr>
              <w:spacing w:after="120" w:before="0" w:lineRule="auto" w:line="276"/>
              <w:jc w:val="left"/>
            </w:pPr>
            <w:r/>
            <w:r>
              <w:rPr>
                <w:rFonts w:ascii="Times New Roman" w:hAnsi="Times New Roman" w:eastAsia="Times New Roman"/>
                <w:b w:val="0"/>
                <w:i w:val="0"/>
                <w:sz w:val="22"/>
              </w:rPr>
              <w:t>All experiments produce identical results when rerun with a fixed random seed (default SEED = 42).</w:t>
            </w:r>
          </w:p>
        </w:tc>
        <w:tc>
          <w:tcPr>
            <w:tcW w:type="dxa" w:w="2167"/>
          </w:tcPr>
          <w:p>
            <w:pPr>
              <w:spacing w:after="120" w:before="0" w:lineRule="auto" w:line="276"/>
              <w:jc w:val="left"/>
            </w:pPr>
            <w:r/>
            <w:r>
              <w:rPr>
                <w:rFonts w:ascii="Times New Roman" w:hAnsi="Times New Roman" w:eastAsia="Times New Roman"/>
                <w:b w:val="0"/>
                <w:i w:val="0"/>
                <w:sz w:val="22"/>
              </w:rPr>
              <w:t>Required for scientific validation and for reconstruction of the audit trail.</w:t>
            </w:r>
          </w:p>
        </w:tc>
      </w:tr>
      <w:tr>
        <w:tc>
          <w:tcPr>
            <w:tcW w:type="dxa" w:w="2167"/>
          </w:tcPr>
          <w:p>
            <w:pPr>
              <w:spacing w:after="120" w:before="0" w:lineRule="auto" w:line="276"/>
              <w:jc w:val="left"/>
            </w:pPr>
            <w:r/>
            <w:r>
              <w:rPr>
                <w:rFonts w:ascii="Times New Roman" w:hAnsi="Times New Roman" w:eastAsia="Times New Roman"/>
                <w:b w:val="0"/>
                <w:i w:val="0"/>
                <w:sz w:val="22"/>
              </w:rPr>
              <w:t>NFR-4</w:t>
            </w:r>
          </w:p>
        </w:tc>
        <w:tc>
          <w:tcPr>
            <w:tcW w:type="dxa" w:w="2167"/>
          </w:tcPr>
          <w:p>
            <w:pPr>
              <w:spacing w:after="120" w:before="0" w:lineRule="auto" w:line="276"/>
              <w:jc w:val="left"/>
            </w:pPr>
            <w:r/>
            <w:r>
              <w:rPr>
                <w:rFonts w:ascii="Times New Roman" w:hAnsi="Times New Roman" w:eastAsia="Times New Roman"/>
                <w:b w:val="0"/>
                <w:i w:val="0"/>
                <w:sz w:val="22"/>
              </w:rPr>
              <w:t>Portability</w:t>
            </w:r>
          </w:p>
        </w:tc>
        <w:tc>
          <w:tcPr>
            <w:tcW w:type="dxa" w:w="2167"/>
          </w:tcPr>
          <w:p>
            <w:pPr>
              <w:spacing w:after="120" w:before="0" w:lineRule="auto" w:line="276"/>
              <w:jc w:val="left"/>
            </w:pPr>
            <w:r/>
            <w:r>
              <w:rPr>
                <w:rFonts w:ascii="Times New Roman" w:hAnsi="Times New Roman" w:eastAsia="Times New Roman"/>
                <w:b w:val="0"/>
                <w:i w:val="0"/>
                <w:sz w:val="22"/>
              </w:rPr>
              <w:t>Pure Python stack deployable on any VPS or Render free tier.</w:t>
            </w:r>
          </w:p>
        </w:tc>
        <w:tc>
          <w:tcPr>
            <w:tcW w:type="dxa" w:w="2167"/>
          </w:tcPr>
          <w:p>
            <w:pPr>
              <w:spacing w:after="120" w:before="0" w:lineRule="auto" w:line="276"/>
              <w:jc w:val="left"/>
            </w:pPr>
            <w:r/>
            <w:r>
              <w:rPr>
                <w:rFonts w:ascii="Times New Roman" w:hAnsi="Times New Roman" w:eastAsia="Times New Roman"/>
                <w:b w:val="0"/>
                <w:i w:val="0"/>
                <w:sz w:val="22"/>
              </w:rPr>
              <w:t>Avoids proprietary licences and cloud lock-in; supports adoption in markets with limited cloud budgets.</w:t>
            </w:r>
          </w:p>
        </w:tc>
      </w:tr>
      <w:tr>
        <w:tc>
          <w:tcPr>
            <w:tcW w:type="dxa" w:w="2167"/>
          </w:tcPr>
          <w:p>
            <w:pPr>
              <w:spacing w:after="120" w:before="0" w:lineRule="auto" w:line="276"/>
              <w:jc w:val="left"/>
            </w:pPr>
            <w:r/>
            <w:r>
              <w:rPr>
                <w:rFonts w:ascii="Times New Roman" w:hAnsi="Times New Roman" w:eastAsia="Times New Roman"/>
                <w:b w:val="0"/>
                <w:i w:val="0"/>
                <w:sz w:val="22"/>
              </w:rPr>
              <w:t>NFR-5</w:t>
            </w:r>
          </w:p>
        </w:tc>
        <w:tc>
          <w:tcPr>
            <w:tcW w:type="dxa" w:w="2167"/>
          </w:tcPr>
          <w:p>
            <w:pPr>
              <w:spacing w:after="120" w:before="0" w:lineRule="auto" w:line="276"/>
              <w:jc w:val="left"/>
            </w:pPr>
            <w:r/>
            <w:r>
              <w:rPr>
                <w:rFonts w:ascii="Times New Roman" w:hAnsi="Times New Roman" w:eastAsia="Times New Roman"/>
                <w:b w:val="0"/>
                <w:i w:val="0"/>
                <w:sz w:val="22"/>
              </w:rPr>
              <w:t>Maintainability</w:t>
            </w:r>
          </w:p>
        </w:tc>
        <w:tc>
          <w:tcPr>
            <w:tcW w:type="dxa" w:w="2167"/>
          </w:tcPr>
          <w:p>
            <w:pPr>
              <w:spacing w:after="120" w:before="0" w:lineRule="auto" w:line="276"/>
              <w:jc w:val="left"/>
            </w:pPr>
            <w:r/>
            <w:r>
              <w:rPr>
                <w:rFonts w:ascii="Times New Roman" w:hAnsi="Times New Roman" w:eastAsia="Times New Roman"/>
                <w:b w:val="0"/>
                <w:i w:val="0"/>
                <w:sz w:val="22"/>
              </w:rPr>
              <w:t>Modular code structure separating data generation, algorithm implementation, API routing, and frontend assets.</w:t>
            </w:r>
          </w:p>
        </w:tc>
        <w:tc>
          <w:tcPr>
            <w:tcW w:type="dxa" w:w="2167"/>
          </w:tcPr>
          <w:p>
            <w:pPr>
              <w:spacing w:after="120" w:before="0" w:lineRule="auto" w:line="276"/>
              <w:jc w:val="left"/>
            </w:pPr>
            <w:r/>
            <w:r>
              <w:rPr>
                <w:rFonts w:ascii="Times New Roman" w:hAnsi="Times New Roman" w:eastAsia="Times New Roman"/>
                <w:b w:val="0"/>
                <w:i w:val="0"/>
                <w:sz w:val="22"/>
              </w:rPr>
              <w:t>Enables extension with new algorithms or PSI dimensions without rewriting unrelated subsystems.</w:t>
            </w:r>
          </w:p>
        </w:tc>
      </w:tr>
      <w:tr>
        <w:tc>
          <w:tcPr>
            <w:tcW w:type="dxa" w:w="2167"/>
          </w:tcPr>
          <w:p>
            <w:pPr>
              <w:spacing w:after="120" w:before="0" w:lineRule="auto" w:line="276"/>
              <w:jc w:val="left"/>
            </w:pPr>
            <w:r/>
            <w:r>
              <w:rPr>
                <w:rFonts w:ascii="Times New Roman" w:hAnsi="Times New Roman" w:eastAsia="Times New Roman"/>
                <w:b w:val="0"/>
                <w:i w:val="0"/>
                <w:sz w:val="22"/>
              </w:rPr>
              <w:t>NFR-6</w:t>
            </w:r>
          </w:p>
        </w:tc>
        <w:tc>
          <w:tcPr>
            <w:tcW w:type="dxa" w:w="2167"/>
          </w:tcPr>
          <w:p>
            <w:pPr>
              <w:spacing w:after="120" w:before="0" w:lineRule="auto" w:line="276"/>
              <w:jc w:val="left"/>
            </w:pPr>
            <w:r/>
            <w:r>
              <w:rPr>
                <w:rFonts w:ascii="Times New Roman" w:hAnsi="Times New Roman" w:eastAsia="Times New Roman"/>
                <w:b w:val="0"/>
                <w:i w:val="0"/>
                <w:sz w:val="22"/>
              </w:rPr>
              <w:t>Accuracy</w:t>
            </w:r>
          </w:p>
        </w:tc>
        <w:tc>
          <w:tcPr>
            <w:tcW w:type="dxa" w:w="2167"/>
          </w:tcPr>
          <w:p>
            <w:pPr>
              <w:spacing w:after="120" w:before="0" w:lineRule="auto" w:line="276"/>
              <w:jc w:val="left"/>
            </w:pPr>
            <w:r/>
            <w:r>
              <w:rPr>
                <w:rFonts w:ascii="Times New Roman" w:hAnsi="Times New Roman" w:eastAsia="Times New Roman"/>
                <w:b w:val="0"/>
                <w:i w:val="0"/>
                <w:sz w:val="22"/>
              </w:rPr>
              <w:t>PSI computations in the demonstration interface match the values produced by experiment EXP-006 to four decimal places.</w:t>
            </w:r>
          </w:p>
        </w:tc>
        <w:tc>
          <w:tcPr>
            <w:tcW w:type="dxa" w:w="2167"/>
          </w:tcPr>
          <w:p>
            <w:pPr>
              <w:spacing w:after="120" w:before="0" w:lineRule="auto" w:line="276"/>
              <w:jc w:val="left"/>
            </w:pPr>
            <w:r/>
            <w:r>
              <w:rPr>
                <w:rFonts w:ascii="Times New Roman" w:hAnsi="Times New Roman" w:eastAsia="Times New Roman"/>
                <w:b w:val="0"/>
                <w:i w:val="0"/>
                <w:sz w:val="22"/>
              </w:rPr>
              <w:t>Guarantees consistency between research code and production demo so that reviewers can verify reported results.</w:t>
            </w:r>
          </w:p>
        </w:tc>
      </w:tr>
      <w:tr>
        <w:tc>
          <w:tcPr>
            <w:tcW w:type="dxa" w:w="2167"/>
          </w:tcPr>
          <w:p>
            <w:pPr>
              <w:spacing w:after="120" w:before="0" w:lineRule="auto" w:line="276"/>
              <w:jc w:val="left"/>
            </w:pPr>
            <w:r/>
            <w:r>
              <w:rPr>
                <w:rFonts w:ascii="Times New Roman" w:hAnsi="Times New Roman" w:eastAsia="Times New Roman"/>
                <w:b w:val="0"/>
                <w:i w:val="0"/>
                <w:sz w:val="22"/>
              </w:rPr>
              <w:t>NFR-7</w:t>
            </w:r>
          </w:p>
        </w:tc>
        <w:tc>
          <w:tcPr>
            <w:tcW w:type="dxa" w:w="2167"/>
          </w:tcPr>
          <w:p>
            <w:pPr>
              <w:spacing w:after="120" w:before="0" w:lineRule="auto" w:line="276"/>
              <w:jc w:val="left"/>
            </w:pPr>
            <w:r/>
            <w:r>
              <w:rPr>
                <w:rFonts w:ascii="Times New Roman" w:hAnsi="Times New Roman" w:eastAsia="Times New Roman"/>
                <w:b w:val="0"/>
                <w:i w:val="0"/>
                <w:sz w:val="22"/>
              </w:rPr>
              <w:t>Interpretability</w:t>
            </w:r>
          </w:p>
        </w:tc>
        <w:tc>
          <w:tcPr>
            <w:tcW w:type="dxa" w:w="2167"/>
          </w:tcPr>
          <w:p>
            <w:pPr>
              <w:spacing w:after="120" w:before="0" w:lineRule="auto" w:line="276"/>
              <w:jc w:val="left"/>
            </w:pPr>
            <w:r/>
            <w:r>
              <w:rPr>
                <w:rFonts w:ascii="Times New Roman" w:hAnsi="Times New Roman" w:eastAsia="Times New Roman"/>
                <w:b w:val="0"/>
                <w:i w:val="0"/>
                <w:sz w:val="22"/>
              </w:rPr>
              <w:t>Per-action coefficient vectors θ_a remain inspectable for LinUCB and LinTS.</w:t>
            </w:r>
          </w:p>
        </w:tc>
        <w:tc>
          <w:tcPr>
            <w:tcW w:type="dxa" w:w="2167"/>
          </w:tcPr>
          <w:p>
            <w:pPr>
              <w:spacing w:after="120" w:before="0" w:lineRule="auto" w:line="276"/>
              <w:jc w:val="left"/>
            </w:pPr>
            <w:r/>
            <w:r>
              <w:rPr>
                <w:rFonts w:ascii="Times New Roman" w:hAnsi="Times New Roman" w:eastAsia="Times New Roman"/>
                <w:b w:val="0"/>
                <w:i w:val="0"/>
                <w:sz w:val="22"/>
              </w:rPr>
              <w:t>Linear bandits, unlike neural alternatives, expose explicit feature weights for actuarial review and regulatory explanation.</w:t>
            </w:r>
          </w:p>
        </w:tc>
      </w:tr>
      <w:tr>
        <w:tc>
          <w:tcPr>
            <w:tcW w:type="dxa" w:w="2167"/>
          </w:tcPr>
          <w:p>
            <w:pPr>
              <w:spacing w:after="120" w:before="0" w:lineRule="auto" w:line="276"/>
              <w:jc w:val="left"/>
            </w:pPr>
            <w:r/>
            <w:r>
              <w:rPr>
                <w:rFonts w:ascii="Times New Roman" w:hAnsi="Times New Roman" w:eastAsia="Times New Roman"/>
                <w:b w:val="0"/>
                <w:i w:val="0"/>
                <w:sz w:val="22"/>
              </w:rPr>
              <w:t>NFR-8</w:t>
            </w:r>
          </w:p>
        </w:tc>
        <w:tc>
          <w:tcPr>
            <w:tcW w:type="dxa" w:w="2167"/>
          </w:tcPr>
          <w:p>
            <w:pPr>
              <w:spacing w:after="120" w:before="0" w:lineRule="auto" w:line="276"/>
              <w:jc w:val="left"/>
            </w:pPr>
            <w:r/>
            <w:r>
              <w:rPr>
                <w:rFonts w:ascii="Times New Roman" w:hAnsi="Times New Roman" w:eastAsia="Times New Roman"/>
                <w:b w:val="0"/>
                <w:i w:val="0"/>
                <w:sz w:val="22"/>
              </w:rPr>
              <w:t xml:space="preserve">Auditability </w:t>
            </w:r>
            <w:r>
              <w:rPr>
                <w:rFonts w:ascii="Times New Roman" w:hAnsi="Times New Roman" w:eastAsia="Times New Roman"/>
                <w:b w:val="0"/>
                <w:i/>
                <w:sz w:val="22"/>
              </w:rPr>
              <w:t>(design target)</w:t>
            </w:r>
          </w:p>
        </w:tc>
        <w:tc>
          <w:tcPr>
            <w:tcW w:type="dxa" w:w="2167"/>
          </w:tcPr>
          <w:p>
            <w:pPr>
              <w:spacing w:after="120" w:before="0" w:lineRule="auto" w:line="276"/>
              <w:jc w:val="left"/>
            </w:pPr>
            <w:r/>
            <w:r>
              <w:rPr>
                <w:rFonts w:ascii="Times New Roman" w:hAnsi="Times New Roman" w:eastAsia="Times New Roman"/>
                <w:b w:val="0"/>
                <w:i w:val="0"/>
                <w:sz w:val="22"/>
              </w:rPr>
              <w:t>Every decision tuple (context, action, reward, PSI status, timestamp) shall be immutably logged once the Shadow Mode wrapper described in §4.10.1 is deployed.</w:t>
            </w:r>
          </w:p>
        </w:tc>
        <w:tc>
          <w:tcPr>
            <w:tcW w:type="dxa" w:w="2167"/>
          </w:tcPr>
          <w:p>
            <w:pPr>
              <w:spacing w:after="120" w:before="0" w:lineRule="auto" w:line="276"/>
              <w:jc w:val="left"/>
            </w:pPr>
            <w:r/>
            <w:r>
              <w:rPr>
                <w:rFonts w:ascii="Times New Roman" w:hAnsi="Times New Roman" w:eastAsia="Times New Roman"/>
                <w:b w:val="0"/>
                <w:i w:val="0"/>
                <w:sz w:val="22"/>
              </w:rPr>
              <w:t>The decision log is the regulator-facing artefact; auditors must be able to reconstruct any historical decision from it. The current `demo/` exposes the bandit policy but does not yet provide the persistent decision log; integrating that log is part of the production rollout (§4.10).</w:t>
            </w:r>
          </w:p>
        </w:tc>
      </w:tr>
    </w:tbl>
    <w:p/>
    <w:p>
      <w:pPr>
        <w:spacing w:after="240" w:before="0" w:lineRule="auto" w:line="360"/>
        <w:jc w:val="left"/>
      </w:pPr>
      <w:r>
        <w:rPr>
          <w:rFonts w:ascii="Times New Roman" w:hAnsi="Times New Roman" w:eastAsia="Times New Roman"/>
          <w:b/>
          <w:i w:val="0"/>
          <w:sz w:val="28"/>
        </w:rPr>
        <w:t>4.3 Tool and Technology Requirements</w:t>
      </w:r>
    </w:p>
    <w:p>
      <w:pPr>
        <w:spacing w:after="240" w:before="0" w:lineRule="auto" w:line="360"/>
        <w:ind w:firstLine="720"/>
        <w:jc w:val="both"/>
      </w:pPr>
      <w:r>
        <w:rPr>
          <w:rFonts w:ascii="Times New Roman" w:hAnsi="Times New Roman" w:eastAsia="Times New Roman"/>
          <w:b w:val="0"/>
          <w:i w:val="0"/>
          <w:sz w:val="24"/>
        </w:rPr>
        <w:t>The technology stack is selected to satisfy three constraints simultaneously: scientific reproducibility (NFR-3), low-resource deployability (NFR-1, NFR-4), and academic transparency. All components are open-source, well-documented, and widely adopted in either actuarial practice or machine learning research. The stack is grouped into three categories: backend and data science (Section 4.3.1), frontend and visualisation (Section 4.3.2), and deployment and development (Section 4.3.3).</w:t>
      </w:r>
    </w:p>
    <w:p>
      <w:pPr>
        <w:spacing w:after="240" w:before="0" w:lineRule="auto" w:line="360"/>
        <w:ind w:left="720"/>
        <w:jc w:val="left"/>
      </w:pPr>
      <w:r>
        <w:rPr>
          <w:rFonts w:ascii="Times New Roman" w:hAnsi="Times New Roman" w:eastAsia="Times New Roman"/>
          <w:b/>
          <w:i w:val="0"/>
          <w:sz w:val="24"/>
        </w:rPr>
        <w:t>4.3.1 Backend and Data Science Stack</w:t>
      </w:r>
    </w:p>
    <w:p>
      <w:pPr>
        <w:spacing w:after="240" w:before="0" w:lineRule="auto" w:line="360"/>
        <w:ind w:firstLine="720"/>
        <w:jc w:val="both"/>
      </w:pPr>
      <w:r>
        <w:rPr>
          <w:rFonts w:ascii="Times New Roman" w:hAnsi="Times New Roman" w:eastAsia="Times New Roman"/>
          <w:b/>
          <w:i w:val="0"/>
          <w:sz w:val="24"/>
        </w:rPr>
        <w:t>Table 4.3a — Backend and data science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Python</w:t>
            </w:r>
          </w:p>
        </w:tc>
        <w:tc>
          <w:tcPr>
            <w:tcW w:type="dxa" w:w="2890"/>
          </w:tcPr>
          <w:p>
            <w:pPr>
              <w:spacing w:after="120" w:before="0" w:lineRule="auto" w:line="276"/>
              <w:jc w:val="left"/>
            </w:pPr>
            <w:r/>
            <w:r>
              <w:rPr>
                <w:rFonts w:ascii="Times New Roman" w:hAnsi="Times New Roman" w:eastAsia="Times New Roman"/>
                <w:b w:val="0"/>
                <w:i w:val="0"/>
                <w:sz w:val="22"/>
              </w:rPr>
              <w:t>3.11</w:t>
            </w:r>
          </w:p>
        </w:tc>
        <w:tc>
          <w:tcPr>
            <w:tcW w:type="dxa" w:w="2890"/>
          </w:tcPr>
          <w:p>
            <w:pPr>
              <w:spacing w:after="120" w:before="0" w:lineRule="auto" w:line="276"/>
              <w:jc w:val="left"/>
            </w:pPr>
            <w:r/>
            <w:r>
              <w:rPr>
                <w:rFonts w:ascii="Times New Roman" w:hAnsi="Times New Roman" w:eastAsia="Times New Roman"/>
                <w:b w:val="0"/>
                <w:i w:val="0"/>
                <w:sz w:val="22"/>
              </w:rPr>
              <w:t>Primary implementation language; chosen for its scientific computing ecosystem and clear syntax suitable for academic reproducibility.</w:t>
            </w:r>
          </w:p>
        </w:tc>
      </w:tr>
      <w:tr>
        <w:tc>
          <w:tcPr>
            <w:tcW w:type="dxa" w:w="2890"/>
          </w:tcPr>
          <w:p>
            <w:pPr>
              <w:spacing w:after="120" w:before="0" w:lineRule="auto" w:line="276"/>
              <w:jc w:val="left"/>
            </w:pPr>
            <w:r/>
            <w:r>
              <w:rPr>
                <w:rFonts w:ascii="Times New Roman" w:hAnsi="Times New Roman" w:eastAsia="Times New Roman"/>
                <w:b w:val="0"/>
                <w:i w:val="0"/>
                <w:sz w:val="22"/>
              </w:rPr>
              <w:t>FastAPI</w:t>
            </w:r>
          </w:p>
        </w:tc>
        <w:tc>
          <w:tcPr>
            <w:tcW w:type="dxa" w:w="2890"/>
          </w:tcPr>
          <w:p>
            <w:pPr>
              <w:spacing w:after="120" w:before="0" w:lineRule="auto" w:line="276"/>
              <w:jc w:val="left"/>
            </w:pPr>
            <w:r/>
            <w:r>
              <w:rPr>
                <w:rFonts w:ascii="Times New Roman" w:hAnsi="Times New Roman" w:eastAsia="Times New Roman"/>
                <w:b w:val="0"/>
                <w:i w:val="0"/>
                <w:sz w:val="22"/>
              </w:rPr>
              <w:t>≥ 0.110</w:t>
            </w:r>
          </w:p>
        </w:tc>
        <w:tc>
          <w:tcPr>
            <w:tcW w:type="dxa" w:w="2890"/>
          </w:tcPr>
          <w:p>
            <w:pPr>
              <w:spacing w:after="120" w:before="0" w:lineRule="auto" w:line="276"/>
              <w:jc w:val="left"/>
            </w:pPr>
            <w:r/>
            <w:r>
              <w:rPr>
                <w:rFonts w:ascii="Times New Roman" w:hAnsi="Times New Roman" w:eastAsia="Times New Roman"/>
                <w:b w:val="0"/>
                <w:i w:val="0"/>
                <w:sz w:val="22"/>
              </w:rPr>
              <w:t>Asynchronous web framework powering the REST API; provides native async support and automatic OpenAPI documentation.</w:t>
            </w:r>
          </w:p>
        </w:tc>
      </w:tr>
      <w:tr>
        <w:tc>
          <w:tcPr>
            <w:tcW w:type="dxa" w:w="2890"/>
          </w:tcPr>
          <w:p>
            <w:pPr>
              <w:spacing w:after="120" w:before="0" w:lineRule="auto" w:line="276"/>
              <w:jc w:val="left"/>
            </w:pPr>
            <w:r/>
            <w:r>
              <w:rPr>
                <w:rFonts w:ascii="Times New Roman" w:hAnsi="Times New Roman" w:eastAsia="Times New Roman"/>
                <w:b w:val="0"/>
                <w:i w:val="0"/>
                <w:sz w:val="22"/>
              </w:rPr>
              <w:t>Uvicorn</w:t>
            </w:r>
          </w:p>
        </w:tc>
        <w:tc>
          <w:tcPr>
            <w:tcW w:type="dxa" w:w="2890"/>
          </w:tcPr>
          <w:p>
            <w:pPr>
              <w:spacing w:after="120" w:before="0" w:lineRule="auto" w:line="276"/>
              <w:jc w:val="left"/>
            </w:pPr>
            <w:r/>
            <w:r>
              <w:rPr>
                <w:rFonts w:ascii="Times New Roman" w:hAnsi="Times New Roman" w:eastAsia="Times New Roman"/>
                <w:b w:val="0"/>
                <w:i w:val="0"/>
                <w:sz w:val="22"/>
              </w:rPr>
              <w:t>≥ 0.29</w:t>
            </w:r>
          </w:p>
        </w:tc>
        <w:tc>
          <w:tcPr>
            <w:tcW w:type="dxa" w:w="2890"/>
          </w:tcPr>
          <w:p>
            <w:pPr>
              <w:spacing w:after="120" w:before="0" w:lineRule="auto" w:line="276"/>
              <w:jc w:val="left"/>
            </w:pPr>
            <w:r/>
            <w:r>
              <w:rPr>
                <w:rFonts w:ascii="Times New Roman" w:hAnsi="Times New Roman" w:eastAsia="Times New Roman"/>
                <w:b w:val="0"/>
                <w:i w:val="0"/>
                <w:sz w:val="22"/>
              </w:rPr>
              <w:t>ASGI server hosting the FastAPI application in development and production.</w:t>
            </w:r>
          </w:p>
        </w:tc>
      </w:tr>
      <w:tr>
        <w:tc>
          <w:tcPr>
            <w:tcW w:type="dxa" w:w="2890"/>
          </w:tcPr>
          <w:p>
            <w:pPr>
              <w:spacing w:after="120" w:before="0" w:lineRule="auto" w:line="276"/>
              <w:jc w:val="left"/>
            </w:pPr>
            <w:r/>
            <w:r>
              <w:rPr>
                <w:rFonts w:ascii="Times New Roman" w:hAnsi="Times New Roman" w:eastAsia="Times New Roman"/>
                <w:b w:val="0"/>
                <w:i w:val="0"/>
                <w:sz w:val="22"/>
              </w:rPr>
              <w:t>Pydantic</w:t>
            </w:r>
          </w:p>
        </w:tc>
        <w:tc>
          <w:tcPr>
            <w:tcW w:type="dxa" w:w="2890"/>
          </w:tcPr>
          <w:p>
            <w:pPr>
              <w:spacing w:after="120" w:before="0" w:lineRule="auto" w:line="276"/>
              <w:jc w:val="left"/>
            </w:pPr>
            <w:r/>
            <w:r>
              <w:rPr>
                <w:rFonts w:ascii="Times New Roman" w:hAnsi="Times New Roman" w:eastAsia="Times New Roman"/>
                <w:b w:val="0"/>
                <w:i w:val="0"/>
                <w:sz w:val="22"/>
              </w:rPr>
              <w:t>≥ 2.6</w:t>
            </w:r>
          </w:p>
        </w:tc>
        <w:tc>
          <w:tcPr>
            <w:tcW w:type="dxa" w:w="2890"/>
          </w:tcPr>
          <w:p>
            <w:pPr>
              <w:spacing w:after="120" w:before="0" w:lineRule="auto" w:line="276"/>
              <w:jc w:val="left"/>
            </w:pPr>
            <w:r/>
            <w:r>
              <w:rPr>
                <w:rFonts w:ascii="Times New Roman" w:hAnsi="Times New Roman" w:eastAsia="Times New Roman"/>
                <w:b w:val="0"/>
                <w:i w:val="0"/>
                <w:sz w:val="22"/>
              </w:rPr>
              <w:t>Request and response schema validation, ensuring applicant payloads conform to expected types and ranges.</w:t>
            </w:r>
          </w:p>
        </w:tc>
      </w:tr>
      <w:tr>
        <w:tc>
          <w:tcPr>
            <w:tcW w:type="dxa" w:w="2890"/>
          </w:tcPr>
          <w:p>
            <w:pPr>
              <w:spacing w:after="120" w:before="0" w:lineRule="auto" w:line="276"/>
              <w:jc w:val="left"/>
            </w:pPr>
            <w:r/>
            <w:r>
              <w:rPr>
                <w:rFonts w:ascii="Times New Roman" w:hAnsi="Times New Roman" w:eastAsia="Times New Roman"/>
                <w:b w:val="0"/>
                <w:i w:val="0"/>
                <w:sz w:val="22"/>
              </w:rPr>
              <w:t>NumPy</w:t>
            </w:r>
          </w:p>
        </w:tc>
        <w:tc>
          <w:tcPr>
            <w:tcW w:type="dxa" w:w="2890"/>
          </w:tcPr>
          <w:p>
            <w:pPr>
              <w:spacing w:after="120" w:before="0" w:lineRule="auto" w:line="276"/>
              <w:jc w:val="left"/>
            </w:pPr>
            <w:r/>
            <w:r>
              <w:rPr>
                <w:rFonts w:ascii="Times New Roman" w:hAnsi="Times New Roman" w:eastAsia="Times New Roman"/>
                <w:b w:val="0"/>
                <w:i w:val="0"/>
                <w:sz w:val="22"/>
              </w:rPr>
              <w:t>≥ 1.26</w:t>
            </w:r>
          </w:p>
        </w:tc>
        <w:tc>
          <w:tcPr>
            <w:tcW w:type="dxa" w:w="2890"/>
          </w:tcPr>
          <w:p>
            <w:pPr>
              <w:spacing w:after="120" w:before="0" w:lineRule="auto" w:line="276"/>
              <w:jc w:val="left"/>
            </w:pPr>
            <w:r/>
            <w:r>
              <w:rPr>
                <w:rFonts w:ascii="Times New Roman" w:hAnsi="Times New Roman" w:eastAsia="Times New Roman"/>
                <w:b w:val="0"/>
                <w:i w:val="0"/>
                <w:sz w:val="22"/>
              </w:rPr>
              <w:t>Dense linear algebra (matrix inversion, outer products, multivariate normal sampling) underlying LinUCB and LinTS updates.</w:t>
            </w:r>
          </w:p>
        </w:tc>
      </w:tr>
      <w:tr>
        <w:tc>
          <w:tcPr>
            <w:tcW w:type="dxa" w:w="2890"/>
          </w:tcPr>
          <w:p>
            <w:pPr>
              <w:spacing w:after="120" w:before="0" w:lineRule="auto" w:line="276"/>
              <w:jc w:val="left"/>
            </w:pPr>
            <w:r/>
            <w:r>
              <w:rPr>
                <w:rFonts w:ascii="Times New Roman" w:hAnsi="Times New Roman" w:eastAsia="Times New Roman"/>
                <w:b w:val="0"/>
                <w:i w:val="0"/>
                <w:sz w:val="22"/>
              </w:rPr>
              <w:t>Pandas</w:t>
            </w:r>
          </w:p>
        </w:tc>
        <w:tc>
          <w:tcPr>
            <w:tcW w:type="dxa" w:w="2890"/>
          </w:tcPr>
          <w:p>
            <w:pPr>
              <w:spacing w:after="120" w:before="0" w:lineRule="auto" w:line="276"/>
              <w:jc w:val="left"/>
            </w:pPr>
            <w:r/>
            <w:r>
              <w:rPr>
                <w:rFonts w:ascii="Times New Roman" w:hAnsi="Times New Roman" w:eastAsia="Times New Roman"/>
                <w:b w:val="0"/>
                <w:i w:val="0"/>
                <w:sz w:val="22"/>
              </w:rPr>
              <w:t>≥ 2.2</w:t>
            </w:r>
          </w:p>
        </w:tc>
        <w:tc>
          <w:tcPr>
            <w:tcW w:type="dxa" w:w="2890"/>
          </w:tcPr>
          <w:p>
            <w:pPr>
              <w:spacing w:after="120" w:before="0" w:lineRule="auto" w:line="276"/>
              <w:jc w:val="left"/>
            </w:pPr>
            <w:r/>
            <w:r>
              <w:rPr>
                <w:rFonts w:ascii="Times New Roman" w:hAnsi="Times New Roman" w:eastAsia="Times New Roman"/>
                <w:b w:val="0"/>
                <w:i w:val="0"/>
                <w:sz w:val="22"/>
              </w:rPr>
              <w:t>Tabular data manipulation for dataset generation, feature engineering, and batch scoring.</w:t>
            </w:r>
          </w:p>
        </w:tc>
      </w:tr>
      <w:tr>
        <w:tc>
          <w:tcPr>
            <w:tcW w:type="dxa" w:w="2890"/>
          </w:tcPr>
          <w:p>
            <w:pPr>
              <w:spacing w:after="120" w:before="0" w:lineRule="auto" w:line="276"/>
              <w:jc w:val="left"/>
            </w:pPr>
            <w:r/>
            <w:r>
              <w:rPr>
                <w:rFonts w:ascii="Times New Roman" w:hAnsi="Times New Roman" w:eastAsia="Times New Roman"/>
                <w:b w:val="0"/>
                <w:i w:val="0"/>
                <w:sz w:val="22"/>
              </w:rPr>
              <w:t>scikit-learn</w:t>
            </w:r>
          </w:p>
        </w:tc>
        <w:tc>
          <w:tcPr>
            <w:tcW w:type="dxa" w:w="2890"/>
          </w:tcPr>
          <w:p>
            <w:pPr>
              <w:spacing w:after="120" w:before="0" w:lineRule="auto" w:line="276"/>
              <w:jc w:val="left"/>
            </w:pPr>
            <w:r/>
            <w:r>
              <w:rPr>
                <w:rFonts w:ascii="Times New Roman" w:hAnsi="Times New Roman" w:eastAsia="Times New Roman"/>
                <w:b w:val="0"/>
                <w:i w:val="0"/>
                <w:sz w:val="22"/>
              </w:rPr>
              <w:t>≥ 1.4</w:t>
            </w:r>
          </w:p>
        </w:tc>
        <w:tc>
          <w:tcPr>
            <w:tcW w:type="dxa" w:w="2890"/>
          </w:tcPr>
          <w:p>
            <w:pPr>
              <w:spacing w:after="120" w:before="0" w:lineRule="auto" w:line="276"/>
              <w:jc w:val="left"/>
            </w:pPr>
            <w:r/>
            <w:r>
              <w:rPr>
                <w:rFonts w:ascii="Times New Roman" w:hAnsi="Times New Roman" w:eastAsia="Times New Roman"/>
                <w:b w:val="0"/>
                <w:i w:val="0"/>
                <w:sz w:val="22"/>
              </w:rPr>
              <w:t>Preprocessing utilities (LabelEncoder for categorical variables, scaling helpers).</w:t>
            </w:r>
          </w:p>
        </w:tc>
      </w:tr>
      <w:tr>
        <w:tc>
          <w:tcPr>
            <w:tcW w:type="dxa" w:w="2890"/>
          </w:tcPr>
          <w:p>
            <w:pPr>
              <w:spacing w:after="120" w:before="0" w:lineRule="auto" w:line="276"/>
              <w:jc w:val="left"/>
            </w:pPr>
            <w:r/>
            <w:r>
              <w:rPr>
                <w:rFonts w:ascii="Times New Roman" w:hAnsi="Times New Roman" w:eastAsia="Times New Roman"/>
                <w:b w:val="0"/>
                <w:i w:val="0"/>
                <w:sz w:val="22"/>
              </w:rPr>
              <w:t>XGBoost</w:t>
            </w:r>
          </w:p>
        </w:tc>
        <w:tc>
          <w:tcPr>
            <w:tcW w:type="dxa" w:w="2890"/>
          </w:tcPr>
          <w:p>
            <w:pPr>
              <w:spacing w:after="120" w:before="0" w:lineRule="auto" w:line="276"/>
              <w:jc w:val="left"/>
            </w:pPr>
            <w:r/>
            <w:r>
              <w:rPr>
                <w:rFonts w:ascii="Times New Roman" w:hAnsi="Times New Roman" w:eastAsia="Times New Roman"/>
                <w:b w:val="0"/>
                <w:i w:val="0"/>
                <w:sz w:val="22"/>
              </w:rPr>
              <w:t>≥ 2.0</w:t>
            </w:r>
          </w:p>
        </w:tc>
        <w:tc>
          <w:tcPr>
            <w:tcW w:type="dxa" w:w="2890"/>
          </w:tcPr>
          <w:p>
            <w:pPr>
              <w:spacing w:after="120" w:before="0" w:lineRule="auto" w:line="276"/>
              <w:jc w:val="left"/>
            </w:pPr>
            <w:r/>
            <w:r>
              <w:rPr>
                <w:rFonts w:ascii="Times New Roman" w:hAnsi="Times New Roman" w:eastAsia="Times New Roman"/>
                <w:b w:val="0"/>
                <w:i w:val="0"/>
                <w:sz w:val="22"/>
              </w:rPr>
              <w:t>Gradient-boosted mortality predictor used as the static baseline against which bandits are benchmarked.</w:t>
            </w:r>
          </w:p>
        </w:tc>
      </w:tr>
      <w:tr>
        <w:tc>
          <w:tcPr>
            <w:tcW w:type="dxa" w:w="2890"/>
          </w:tcPr>
          <w:p>
            <w:pPr>
              <w:spacing w:after="120" w:before="0" w:lineRule="auto" w:line="276"/>
              <w:jc w:val="left"/>
            </w:pPr>
            <w:r/>
            <w:r>
              <w:rPr>
                <w:rFonts w:ascii="Times New Roman" w:hAnsi="Times New Roman" w:eastAsia="Times New Roman"/>
                <w:b w:val="0"/>
                <w:i w:val="0"/>
                <w:sz w:val="22"/>
              </w:rPr>
              <w:t xml:space="preserve">SQLAlchemy </w:t>
            </w:r>
            <w:r>
              <w:rPr>
                <w:rFonts w:ascii="Times New Roman" w:hAnsi="Times New Roman" w:eastAsia="Times New Roman"/>
                <w:b w:val="0"/>
                <w:i/>
                <w:sz w:val="22"/>
              </w:rPr>
              <w:t>(planned)</w:t>
            </w:r>
          </w:p>
        </w:tc>
        <w:tc>
          <w:tcPr>
            <w:tcW w:type="dxa" w:w="2890"/>
          </w:tcPr>
          <w:p>
            <w:pPr>
              <w:spacing w:after="120" w:before="0" w:lineRule="auto" w:line="276"/>
              <w:jc w:val="left"/>
            </w:pPr>
            <w:r/>
            <w:r>
              <w:rPr>
                <w:rFonts w:ascii="Times New Roman" w:hAnsi="Times New Roman" w:eastAsia="Times New Roman"/>
                <w:b w:val="0"/>
                <w:i w:val="0"/>
                <w:sz w:val="22"/>
              </w:rPr>
              <w:t>2.0 (async)</w:t>
            </w:r>
          </w:p>
        </w:tc>
        <w:tc>
          <w:tcPr>
            <w:tcW w:type="dxa" w:w="2890"/>
          </w:tcPr>
          <w:p>
            <w:pPr>
              <w:spacing w:after="120" w:before="0" w:lineRule="auto" w:line="276"/>
              <w:jc w:val="left"/>
            </w:pPr>
            <w:r/>
            <w:r>
              <w:rPr>
                <w:rFonts w:ascii="Times New Roman" w:hAnsi="Times New Roman" w:eastAsia="Times New Roman"/>
                <w:b w:val="0"/>
                <w:i w:val="0"/>
                <w:sz w:val="22"/>
              </w:rPr>
              <w:t>Object-relational mapper anticipated for the shadow-mode decision log (NFR-8) when §4.10.1 is implemented. Not currently used by `demo/`.</w:t>
            </w:r>
          </w:p>
        </w:tc>
      </w:tr>
    </w:tbl>
    <w:p/>
    <w:p>
      <w:pPr>
        <w:spacing w:after="240" w:before="0" w:lineRule="auto" w:line="360"/>
        <w:ind w:left="720"/>
        <w:jc w:val="left"/>
      </w:pPr>
      <w:r>
        <w:rPr>
          <w:rFonts w:ascii="Times New Roman" w:hAnsi="Times New Roman" w:eastAsia="Times New Roman"/>
          <w:b/>
          <w:i w:val="0"/>
          <w:sz w:val="24"/>
        </w:rPr>
        <w:t>4.3.2 Frontend and Visualisation</w:t>
      </w:r>
    </w:p>
    <w:p>
      <w:pPr>
        <w:spacing w:after="240" w:before="0" w:lineRule="auto" w:line="360"/>
        <w:ind w:firstLine="720"/>
        <w:jc w:val="both"/>
      </w:pPr>
      <w:r>
        <w:rPr>
          <w:rFonts w:ascii="Times New Roman" w:hAnsi="Times New Roman" w:eastAsia="Times New Roman"/>
          <w:b/>
          <w:i w:val="0"/>
          <w:sz w:val="24"/>
        </w:rPr>
        <w:t>Table 4.3b — Frontend and visualisation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HTML5 / CSS3</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Markup and styling for the single-page demonstration.</w:t>
            </w:r>
          </w:p>
        </w:tc>
      </w:tr>
      <w:tr>
        <w:tc>
          <w:tcPr>
            <w:tcW w:type="dxa" w:w="2890"/>
          </w:tcPr>
          <w:p>
            <w:pPr>
              <w:spacing w:after="120" w:before="0" w:lineRule="auto" w:line="276"/>
              <w:jc w:val="left"/>
            </w:pPr>
            <w:r/>
            <w:r>
              <w:rPr>
                <w:rFonts w:ascii="Times New Roman" w:hAnsi="Times New Roman" w:eastAsia="Times New Roman"/>
                <w:b w:val="0"/>
                <w:i w:val="0"/>
                <w:sz w:val="22"/>
              </w:rPr>
              <w:t>Vanilla JavaScript</w:t>
            </w:r>
          </w:p>
        </w:tc>
        <w:tc>
          <w:tcPr>
            <w:tcW w:type="dxa" w:w="2890"/>
          </w:tcPr>
          <w:p>
            <w:pPr>
              <w:spacing w:after="120" w:before="0" w:lineRule="auto" w:line="276"/>
              <w:jc w:val="left"/>
            </w:pPr>
            <w:r/>
            <w:r>
              <w:rPr>
                <w:rFonts w:ascii="Times New Roman" w:hAnsi="Times New Roman" w:eastAsia="Times New Roman"/>
                <w:b w:val="0"/>
                <w:i w:val="0"/>
                <w:sz w:val="22"/>
              </w:rPr>
              <w:t>ES6+</w:t>
            </w:r>
          </w:p>
        </w:tc>
        <w:tc>
          <w:tcPr>
            <w:tcW w:type="dxa" w:w="2890"/>
          </w:tcPr>
          <w:p>
            <w:pPr>
              <w:spacing w:after="120" w:before="0" w:lineRule="auto" w:line="276"/>
              <w:jc w:val="left"/>
            </w:pPr>
            <w:r/>
            <w:r>
              <w:rPr>
                <w:rFonts w:ascii="Times New Roman" w:hAnsi="Times New Roman" w:eastAsia="Times New Roman"/>
                <w:b w:val="0"/>
                <w:i w:val="0"/>
                <w:sz w:val="22"/>
              </w:rPr>
              <w:t>Frontend interactivity, API calls, and DOM manipulation; avoids framework lock-in for a small SPA.</w:t>
            </w:r>
          </w:p>
        </w:tc>
      </w:tr>
      <w:tr>
        <w:tc>
          <w:tcPr>
            <w:tcW w:type="dxa" w:w="2890"/>
          </w:tcPr>
          <w:p>
            <w:pPr>
              <w:spacing w:after="120" w:before="0" w:lineRule="auto" w:line="276"/>
              <w:jc w:val="left"/>
            </w:pPr>
            <w:r/>
            <w:r>
              <w:rPr>
                <w:rFonts w:ascii="Times New Roman" w:hAnsi="Times New Roman" w:eastAsia="Times New Roman"/>
                <w:b w:val="0"/>
                <w:i w:val="0"/>
                <w:sz w:val="22"/>
              </w:rPr>
              <w:t>Chart.js</w:t>
            </w:r>
          </w:p>
        </w:tc>
        <w:tc>
          <w:tcPr>
            <w:tcW w:type="dxa" w:w="2890"/>
          </w:tcPr>
          <w:p>
            <w:pPr>
              <w:spacing w:after="120" w:before="0" w:lineRule="auto" w:line="276"/>
              <w:jc w:val="left"/>
            </w:pPr>
            <w:r/>
            <w:r>
              <w:rPr>
                <w:rFonts w:ascii="Times New Roman" w:hAnsi="Times New Roman" w:eastAsia="Times New Roman"/>
                <w:b w:val="0"/>
                <w:i w:val="0"/>
                <w:sz w:val="22"/>
              </w:rPr>
              <w:t>4.x</w:t>
            </w:r>
          </w:p>
        </w:tc>
        <w:tc>
          <w:tcPr>
            <w:tcW w:type="dxa" w:w="2890"/>
          </w:tcPr>
          <w:p>
            <w:pPr>
              <w:spacing w:after="120" w:before="0" w:lineRule="auto" w:line="276"/>
              <w:jc w:val="left"/>
            </w:pPr>
            <w:r/>
            <w:r>
              <w:rPr>
                <w:rFonts w:ascii="Times New Roman" w:hAnsi="Times New Roman" w:eastAsia="Times New Roman"/>
                <w:b w:val="0"/>
                <w:i w:val="0"/>
                <w:sz w:val="22"/>
              </w:rPr>
              <w:t>Interactive line, bar, and pie charts for cumulative reward, regret, and PSI visualisation.</w:t>
            </w:r>
          </w:p>
        </w:tc>
      </w:tr>
      <w:tr>
        <w:tc>
          <w:tcPr>
            <w:tcW w:type="dxa" w:w="2890"/>
          </w:tcPr>
          <w:p>
            <w:pPr>
              <w:spacing w:after="120" w:before="0" w:lineRule="auto" w:line="276"/>
              <w:jc w:val="left"/>
            </w:pPr>
            <w:r/>
            <w:r>
              <w:rPr>
                <w:rFonts w:ascii="Times New Roman" w:hAnsi="Times New Roman" w:eastAsia="Times New Roman"/>
                <w:b w:val="0"/>
                <w:i w:val="0"/>
                <w:sz w:val="22"/>
              </w:rPr>
              <w:t>Jinja2</w:t>
            </w:r>
          </w:p>
        </w:tc>
        <w:tc>
          <w:tcPr>
            <w:tcW w:type="dxa" w:w="2890"/>
          </w:tcPr>
          <w:p>
            <w:pPr>
              <w:spacing w:after="120" w:before="0" w:lineRule="auto" w:line="276"/>
              <w:jc w:val="left"/>
            </w:pPr>
            <w:r/>
            <w:r>
              <w:rPr>
                <w:rFonts w:ascii="Times New Roman" w:hAnsi="Times New Roman" w:eastAsia="Times New Roman"/>
                <w:b w:val="0"/>
                <w:i w:val="0"/>
                <w:sz w:val="22"/>
              </w:rPr>
              <w:t>≥ 3.1</w:t>
            </w:r>
          </w:p>
        </w:tc>
        <w:tc>
          <w:tcPr>
            <w:tcW w:type="dxa" w:w="2890"/>
          </w:tcPr>
          <w:p>
            <w:pPr>
              <w:spacing w:after="120" w:before="0" w:lineRule="auto" w:line="276"/>
              <w:jc w:val="left"/>
            </w:pPr>
            <w:r/>
            <w:r>
              <w:rPr>
                <w:rFonts w:ascii="Times New Roman" w:hAnsi="Times New Roman" w:eastAsia="Times New Roman"/>
                <w:b w:val="0"/>
                <w:i w:val="0"/>
                <w:sz w:val="22"/>
              </w:rPr>
              <w:t>Server-side HTML templating embedded in the FastAPI application.</w:t>
            </w:r>
          </w:p>
        </w:tc>
      </w:tr>
      <w:tr>
        <w:tc>
          <w:tcPr>
            <w:tcW w:type="dxa" w:w="2890"/>
          </w:tcPr>
          <w:p>
            <w:pPr>
              <w:spacing w:after="120" w:before="0" w:lineRule="auto" w:line="276"/>
              <w:jc w:val="left"/>
            </w:pPr>
            <w:r/>
            <w:r>
              <w:rPr>
                <w:rFonts w:ascii="Times New Roman" w:hAnsi="Times New Roman" w:eastAsia="Times New Roman"/>
                <w:b w:val="0"/>
                <w:i w:val="0"/>
                <w:sz w:val="22"/>
              </w:rPr>
              <w:t>Matplotlib</w:t>
            </w:r>
          </w:p>
        </w:tc>
        <w:tc>
          <w:tcPr>
            <w:tcW w:type="dxa" w:w="2890"/>
          </w:tcPr>
          <w:p>
            <w:pPr>
              <w:spacing w:after="120" w:before="0" w:lineRule="auto" w:line="276"/>
              <w:jc w:val="left"/>
            </w:pPr>
            <w:r/>
            <w:r>
              <w:rPr>
                <w:rFonts w:ascii="Times New Roman" w:hAnsi="Times New Roman" w:eastAsia="Times New Roman"/>
                <w:b w:val="0"/>
                <w:i w:val="0"/>
                <w:sz w:val="22"/>
              </w:rPr>
              <w:t>≥ 3.8</w:t>
            </w:r>
          </w:p>
        </w:tc>
        <w:tc>
          <w:tcPr>
            <w:tcW w:type="dxa" w:w="2890"/>
          </w:tcPr>
          <w:p>
            <w:pPr>
              <w:spacing w:after="120" w:before="0" w:lineRule="auto" w:line="276"/>
              <w:jc w:val="left"/>
            </w:pPr>
            <w:r/>
            <w:r>
              <w:rPr>
                <w:rFonts w:ascii="Times New Roman" w:hAnsi="Times New Roman" w:eastAsia="Times New Roman"/>
                <w:b w:val="0"/>
                <w:i w:val="0"/>
                <w:sz w:val="22"/>
              </w:rPr>
              <w:t>Generation of all static figures used in this thesis (cumulative reward curves, regret trajectories, fairness diagnostics, architecture diagrams).</w:t>
            </w:r>
          </w:p>
        </w:tc>
      </w:tr>
    </w:tbl>
    <w:p/>
    <w:p>
      <w:pPr>
        <w:spacing w:after="240" w:before="0" w:lineRule="auto" w:line="360"/>
        <w:ind w:left="720"/>
        <w:jc w:val="left"/>
      </w:pPr>
      <w:r>
        <w:rPr>
          <w:rFonts w:ascii="Times New Roman" w:hAnsi="Times New Roman" w:eastAsia="Times New Roman"/>
          <w:b/>
          <w:i w:val="0"/>
          <w:sz w:val="24"/>
        </w:rPr>
        <w:t>4.3.3 Deployment and Development</w:t>
      </w:r>
    </w:p>
    <w:p>
      <w:pPr>
        <w:spacing w:after="240" w:before="0" w:lineRule="auto" w:line="360"/>
        <w:ind w:firstLine="720"/>
        <w:jc w:val="both"/>
      </w:pPr>
      <w:r>
        <w:rPr>
          <w:rFonts w:ascii="Times New Roman" w:hAnsi="Times New Roman" w:eastAsia="Times New Roman"/>
          <w:b/>
          <w:i w:val="0"/>
          <w:sz w:val="24"/>
        </w:rPr>
        <w:t>Table 4.3c — Deployment and development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Render</w:t>
            </w:r>
          </w:p>
        </w:tc>
        <w:tc>
          <w:tcPr>
            <w:tcW w:type="dxa" w:w="2890"/>
          </w:tcPr>
          <w:p>
            <w:pPr>
              <w:spacing w:after="120" w:before="0" w:lineRule="auto" w:line="276"/>
              <w:jc w:val="left"/>
            </w:pPr>
            <w:r/>
            <w:r>
              <w:rPr>
                <w:rFonts w:ascii="Times New Roman" w:hAnsi="Times New Roman" w:eastAsia="Times New Roman"/>
                <w:b w:val="0"/>
                <w:i w:val="0"/>
                <w:sz w:val="22"/>
              </w:rPr>
              <w:t>Cloud PaaS</w:t>
            </w:r>
          </w:p>
        </w:tc>
        <w:tc>
          <w:tcPr>
            <w:tcW w:type="dxa" w:w="2890"/>
          </w:tcPr>
          <w:p>
            <w:pPr>
              <w:spacing w:after="120" w:before="0" w:lineRule="auto" w:line="276"/>
              <w:jc w:val="left"/>
            </w:pPr>
            <w:r/>
            <w:r>
              <w:rPr>
                <w:rFonts w:ascii="Times New Roman" w:hAnsi="Times New Roman" w:eastAsia="Times New Roman"/>
                <w:b w:val="0"/>
                <w:i w:val="0"/>
                <w:sz w:val="22"/>
              </w:rPr>
              <w:t>Free-tier hosting with automatic deployment on git push; meets the portability constraint (NFR-4).</w:t>
            </w:r>
          </w:p>
        </w:tc>
      </w:tr>
      <w:tr>
        <w:tc>
          <w:tcPr>
            <w:tcW w:type="dxa" w:w="2890"/>
          </w:tcPr>
          <w:p>
            <w:pPr>
              <w:spacing w:after="120" w:before="0" w:lineRule="auto" w:line="276"/>
              <w:jc w:val="left"/>
            </w:pPr>
            <w:r/>
            <w:r>
              <w:rPr>
                <w:rFonts w:ascii="Times New Roman" w:hAnsi="Times New Roman" w:eastAsia="Times New Roman"/>
                <w:b w:val="0"/>
                <w:i w:val="0"/>
                <w:sz w:val="22"/>
              </w:rPr>
              <w:t>Git</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Version control and collaboration; underpins the reproducibility constraint (NFR-3).</w:t>
            </w:r>
          </w:p>
        </w:tc>
      </w:tr>
      <w:tr>
        <w:tc>
          <w:tcPr>
            <w:tcW w:type="dxa" w:w="2890"/>
          </w:tcPr>
          <w:p>
            <w:pPr>
              <w:spacing w:after="120" w:before="0" w:lineRule="auto" w:line="276"/>
              <w:jc w:val="left"/>
            </w:pPr>
            <w:r/>
            <w:r>
              <w:rPr>
                <w:rFonts w:ascii="Times New Roman" w:hAnsi="Times New Roman" w:eastAsia="Times New Roman"/>
                <w:b w:val="0"/>
                <w:i w:val="0"/>
                <w:sz w:val="22"/>
              </w:rPr>
              <w:t>python-dotenv</w:t>
            </w:r>
          </w:p>
        </w:tc>
        <w:tc>
          <w:tcPr>
            <w:tcW w:type="dxa" w:w="2890"/>
          </w:tcPr>
          <w:p>
            <w:pPr>
              <w:spacing w:after="120" w:before="0" w:lineRule="auto" w:line="276"/>
              <w:jc w:val="left"/>
            </w:pPr>
            <w:r/>
            <w:r>
              <w:rPr>
                <w:rFonts w:ascii="Times New Roman" w:hAnsi="Times New Roman" w:eastAsia="Times New Roman"/>
                <w:b w:val="0"/>
                <w:i w:val="0"/>
                <w:sz w:val="22"/>
              </w:rPr>
              <w:t>≥ 1.0</w:t>
            </w:r>
          </w:p>
        </w:tc>
        <w:tc>
          <w:tcPr>
            <w:tcW w:type="dxa" w:w="2890"/>
          </w:tcPr>
          <w:p>
            <w:pPr>
              <w:spacing w:after="120" w:before="0" w:lineRule="auto" w:line="276"/>
              <w:jc w:val="left"/>
            </w:pPr>
            <w:r/>
            <w:r>
              <w:rPr>
                <w:rFonts w:ascii="Times New Roman" w:hAnsi="Times New Roman" w:eastAsia="Times New Roman"/>
                <w:b w:val="0"/>
                <w:i w:val="0"/>
                <w:sz w:val="22"/>
              </w:rPr>
              <w:t>Environment variable management for separating development and production configuration.</w:t>
            </w:r>
          </w:p>
        </w:tc>
      </w:tr>
      <w:tr>
        <w:tc>
          <w:tcPr>
            <w:tcW w:type="dxa" w:w="2890"/>
          </w:tcPr>
          <w:p>
            <w:pPr>
              <w:spacing w:after="120" w:before="0" w:lineRule="auto" w:line="276"/>
              <w:jc w:val="left"/>
            </w:pPr>
            <w:r/>
            <w:r>
              <w:rPr>
                <w:rFonts w:ascii="Times New Roman" w:hAnsi="Times New Roman" w:eastAsia="Times New Roman"/>
                <w:b w:val="0"/>
                <w:i w:val="0"/>
                <w:sz w:val="22"/>
              </w:rPr>
              <w:t>pytest</w:t>
            </w:r>
          </w:p>
        </w:tc>
        <w:tc>
          <w:tcPr>
            <w:tcW w:type="dxa" w:w="2890"/>
          </w:tcPr>
          <w:p>
            <w:pPr>
              <w:spacing w:after="120" w:before="0" w:lineRule="auto" w:line="276"/>
              <w:jc w:val="left"/>
            </w:pPr>
            <w:r/>
            <w:r>
              <w:rPr>
                <w:rFonts w:ascii="Times New Roman" w:hAnsi="Times New Roman" w:eastAsia="Times New Roman"/>
                <w:b w:val="0"/>
                <w:i w:val="0"/>
                <w:sz w:val="22"/>
              </w:rPr>
              <w:t>≥ 8.0</w:t>
            </w:r>
          </w:p>
        </w:tc>
        <w:tc>
          <w:tcPr>
            <w:tcW w:type="dxa" w:w="2890"/>
          </w:tcPr>
          <w:p>
            <w:pPr>
              <w:spacing w:after="120" w:before="0" w:lineRule="auto" w:line="276"/>
              <w:jc w:val="left"/>
            </w:pPr>
            <w:r/>
            <w:r>
              <w:rPr>
                <w:rFonts w:ascii="Times New Roman" w:hAnsi="Times New Roman" w:eastAsia="Times New Roman"/>
                <w:b w:val="0"/>
                <w:i w:val="0"/>
                <w:sz w:val="22"/>
              </w:rPr>
              <w:t>Test runner for the automated suite; each experiment script (EXP-005 to EXP-008) embeds explicit pass/fail assertions and an exit code, doubling as scientific validation and regression test.</w:t>
            </w:r>
          </w:p>
        </w:tc>
      </w:tr>
    </w:tbl>
    <w:p/>
    <w:p>
      <w:pPr>
        <w:spacing w:after="240" w:before="0" w:lineRule="auto" w:line="360"/>
        <w:jc w:val="left"/>
      </w:pPr>
      <w:r>
        <w:rPr>
          <w:rFonts w:ascii="Times New Roman" w:hAnsi="Times New Roman" w:eastAsia="Times New Roman"/>
          <w:b/>
          <w:i w:val="0"/>
          <w:sz w:val="28"/>
        </w:rPr>
        <w:t>4.4 Detail Concept — Contextual Bandits</w:t>
      </w:r>
    </w:p>
    <w:p>
      <w:pPr>
        <w:spacing w:after="240" w:before="0" w:lineRule="auto" w:line="360"/>
        <w:ind w:firstLine="720"/>
        <w:jc w:val="both"/>
      </w:pPr>
      <w:r>
        <w:rPr>
          <w:rFonts w:ascii="Times New Roman" w:hAnsi="Times New Roman" w:eastAsia="Times New Roman"/>
          <w:b w:val="0"/>
          <w:i w:val="0"/>
          <w:sz w:val="24"/>
        </w:rPr>
        <w:t>The technology at the centre of this thesis is the contextual bandit. Because every functional and non-functional requirement above is shaped by the choice of this learning paradigm, the present section provides a focused treatment in four parts: definition, mechanism, system architecture, and selection rationale.</w:t>
      </w:r>
    </w:p>
    <w:p>
      <w:pPr>
        <w:spacing w:after="240" w:before="0" w:lineRule="auto" w:line="360"/>
        <w:ind w:left="720"/>
        <w:jc w:val="left"/>
      </w:pPr>
      <w:r>
        <w:rPr>
          <w:rFonts w:ascii="Times New Roman" w:hAnsi="Times New Roman" w:eastAsia="Times New Roman"/>
          <w:b/>
          <w:i w:val="0"/>
          <w:sz w:val="24"/>
        </w:rPr>
        <w:t>4.4.1 What is a Contextual Bandit?</w:t>
      </w:r>
    </w:p>
    <w:p>
      <w:pPr>
        <w:spacing w:after="240" w:before="0" w:lineRule="auto" w:line="360"/>
        <w:ind w:firstLine="720"/>
        <w:jc w:val="both"/>
      </w:pPr>
      <w:r>
        <w:rPr>
          <w:rFonts w:ascii="Times New Roman" w:hAnsi="Times New Roman" w:eastAsia="Times New Roman"/>
          <w:b w:val="0"/>
          <w:i w:val="0"/>
          <w:sz w:val="24"/>
        </w:rPr>
        <w:t>A contextual bandit is a reinforcement learning framework in which an agent repeatedly observes a context vector, selects an action from a finite set, and receives a reward whose distribution depends on both the context and the chosen action. Unlike full reinforcement learning, the contextual bandit assumes no state transitions: each round is statistically independent except through the parameters the agent has learned from previous rounds. This restriction discards the modelling burden of a Markov decision process and yields algorithms that are computationally lightweight, statistically tractable, and theoretically well understood, which makes them well suited to high-stakes sequential decision problems such as health insurance underwriting.</w:t>
      </w:r>
    </w:p>
    <w:p>
      <w:pPr>
        <w:spacing w:after="240" w:before="0" w:lineRule="auto" w:line="360"/>
        <w:ind w:left="720"/>
        <w:jc w:val="left"/>
      </w:pPr>
      <w:r>
        <w:rPr>
          <w:rFonts w:ascii="Times New Roman" w:hAnsi="Times New Roman" w:eastAsia="Times New Roman"/>
          <w:b/>
          <w:i w:val="0"/>
          <w:sz w:val="24"/>
        </w:rPr>
        <w:t>4.4.2 How Does It Work?</w:t>
      </w:r>
    </w:p>
    <w:p>
      <w:pPr>
        <w:spacing w:after="240" w:before="0" w:lineRule="auto" w:line="360"/>
        <w:ind w:firstLine="720"/>
        <w:jc w:val="both"/>
      </w:pPr>
      <w:r>
        <w:rPr>
          <w:rFonts w:ascii="Times New Roman" w:hAnsi="Times New Roman" w:eastAsia="Times New Roman"/>
          <w:b w:val="0"/>
          <w:i w:val="0"/>
          <w:sz w:val="24"/>
        </w:rPr>
        <w:t>The contextual bandit underwriting loop proceeds in five steps per applicant.</w:t>
      </w:r>
    </w:p>
    <w:p>
      <w:pPr>
        <w:pStyle w:val="ListNumber"/>
        <w:ind w:left="720"/>
      </w:pPr>
      <w:r>
        <w:rPr>
          <w:rFonts w:ascii="Times New Roman" w:hAnsi="Times New Roman" w:eastAsia="Times New Roman"/>
          <w:b/>
          <w:i w:val="0"/>
          <w:sz w:val="24"/>
        </w:rPr>
        <w:t>Context observation.</w:t>
      </w:r>
      <w:r>
        <w:rPr>
          <w:rFonts w:ascii="Times New Roman" w:hAnsi="Times New Roman" w:eastAsia="Times New Roman"/>
          <w:b w:val="0"/>
          <w:i w:val="0"/>
          <w:sz w:val="24"/>
        </w:rPr>
        <w:t xml:space="preserv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algorithm observes the applicant feature vector </w:t>
      </w:r>
      <w:r>
        <w:rPr>
          <w:rFonts w:ascii="Times New Roman" w:hAnsi="Times New Roman" w:eastAsia="Times New Roman"/>
          <w:b w:val="0"/>
          <w:i/>
          <w:sz w:val="24"/>
        </w:rPr>
        <w:t>x_t</w:t>
      </w:r>
      <w:r>
        <w:rPr>
          <w:rFonts w:ascii="Times New Roman" w:hAnsi="Times New Roman" w:eastAsia="Times New Roman"/>
          <w:b w:val="0"/>
          <w:i w:val="0"/>
          <w:sz w:val="24"/>
        </w:rPr>
        <w:t xml:space="preserve"> ∈ ℝ^d, where d = 34 in this implementation (age, BMI, region one-hot, occupation one-hot, health flags, income).</w:t>
      </w:r>
    </w:p>
    <w:p>
      <w:pPr>
        <w:pStyle w:val="ListNumber"/>
        <w:ind w:left="720"/>
      </w:pPr>
      <w:r>
        <w:rPr>
          <w:rFonts w:ascii="Times New Roman" w:hAnsi="Times New Roman" w:eastAsia="Times New Roman"/>
          <w:b/>
          <w:i w:val="0"/>
          <w:sz w:val="24"/>
        </w:rPr>
        <w:t>Action selection.</w:t>
      </w:r>
      <w:r>
        <w:rPr>
          <w:rFonts w:ascii="Times New Roman" w:hAnsi="Times New Roman" w:eastAsia="Times New Roman"/>
          <w:b w:val="0"/>
          <w:i w:val="0"/>
          <w:sz w:val="24"/>
        </w:rPr>
        <w:t xml:space="preserve">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 {STANDARD, RATED, DECLINE, REFER}, the algorithm estimates the expected reward and adds an exploration term. LinUCB adds an upper-confidence bonus α·√(x_tᵀ A_a⁻¹ x_t); LinTS samples θ_a from its posterior; Epsilon-Greedy chooses the empirical maximum with probability 1−ε and explores uniformly otherwise.</w:t>
      </w:r>
    </w:p>
    <w:p>
      <w:pPr>
        <w:pStyle w:val="ListNumber"/>
        <w:ind w:left="720"/>
      </w:pPr>
      <w:r>
        <w:rPr>
          <w:rFonts w:ascii="Times New Roman" w:hAnsi="Times New Roman" w:eastAsia="Times New Roman"/>
          <w:b/>
          <w:i w:val="0"/>
          <w:sz w:val="24"/>
        </w:rPr>
        <w:t>Reward observation.</w:t>
      </w:r>
      <w:r>
        <w:rPr>
          <w:rFonts w:ascii="Times New Roman" w:hAnsi="Times New Roman" w:eastAsia="Times New Roman"/>
          <w:b w:val="0"/>
          <w:i w:val="0"/>
          <w:sz w:val="24"/>
        </w:rPr>
        <w:t xml:space="preserve"> The selected action is executed by the actuarial simulator, which returns a stochastic reward composed of premium revenue, expected claims, customer acceptance, and expense loadings.</w:t>
      </w:r>
    </w:p>
    <w:p>
      <w:pPr>
        <w:pStyle w:val="ListNumber"/>
        <w:ind w:left="720"/>
      </w:pPr>
      <w:r>
        <w:rPr>
          <w:rFonts w:ascii="Times New Roman" w:hAnsi="Times New Roman" w:eastAsia="Times New Roman"/>
          <w:b/>
          <w:i w:val="0"/>
          <w:sz w:val="24"/>
        </w:rPr>
        <w:t>Parameter update.</w:t>
      </w:r>
      <w:r>
        <w:rPr>
          <w:rFonts w:ascii="Times New Roman" w:hAnsi="Times New Roman" w:eastAsia="Times New Roman"/>
          <w:b w:val="0"/>
          <w:i w:val="0"/>
          <w:sz w:val="24"/>
        </w:rPr>
        <w:t xml:space="preserve"> The algorithm updates its parameter estimates using the observed (</w:t>
      </w:r>
      <w:r>
        <w:rPr>
          <w:rFonts w:ascii="Times New Roman" w:hAnsi="Times New Roman" w:eastAsia="Times New Roman"/>
          <w:b w:val="0"/>
          <w:i/>
          <w:sz w:val="24"/>
        </w:rPr>
        <w:t>x_t</w:t>
      </w:r>
      <w:r>
        <w:rPr>
          <w:rFonts w:ascii="Times New Roman" w:hAnsi="Times New Roman" w:eastAsia="Times New Roman"/>
          <w:b w:val="0"/>
          <w:i w:val="0"/>
          <w:sz w:val="24"/>
        </w:rPr>
        <w:t xml:space="preserve">, </w:t>
      </w:r>
      <w:r>
        <w:rPr>
          <w:rFonts w:ascii="Times New Roman" w:hAnsi="Times New Roman" w:eastAsia="Times New Roman"/>
          <w:b w:val="0"/>
          <w:i/>
          <w:sz w:val="24"/>
        </w:rPr>
        <w:t>a_t</w:t>
      </w:r>
      <w:r>
        <w:rPr>
          <w:rFonts w:ascii="Times New Roman" w:hAnsi="Times New Roman" w:eastAsia="Times New Roman"/>
          <w:b w:val="0"/>
          <w:i w:val="0"/>
          <w:sz w:val="24"/>
        </w:rPr>
        <w:t xml:space="preserve">, </w:t>
      </w:r>
      <w:r>
        <w:rPr>
          <w:rFonts w:ascii="Times New Roman" w:hAnsi="Times New Roman" w:eastAsia="Times New Roman"/>
          <w:b w:val="0"/>
          <w:i/>
          <w:sz w:val="24"/>
        </w:rPr>
        <w:t>r_t</w:t>
      </w:r>
      <w:r>
        <w:rPr>
          <w:rFonts w:ascii="Times New Roman" w:hAnsi="Times New Roman" w:eastAsia="Times New Roman"/>
          <w:b w:val="0"/>
          <w:i w:val="0"/>
          <w:sz w:val="24"/>
        </w:rPr>
        <w:t>) triple. For LinUCB and LinTS this is a rank-one update of the per-action precision matrix A_a and reward vector b_a, completed in O(d²) operations.</w:t>
      </w:r>
    </w:p>
    <w:p>
      <w:pPr>
        <w:pStyle w:val="ListNumber"/>
        <w:ind w:left="720"/>
      </w:pPr>
      <w:r>
        <w:rPr>
          <w:rFonts w:ascii="Times New Roman" w:hAnsi="Times New Roman" w:eastAsia="Times New Roman"/>
          <w:b/>
          <w:i w:val="0"/>
          <w:sz w:val="24"/>
        </w:rPr>
        <w:t>Repeat.</w:t>
      </w:r>
      <w:r>
        <w:rPr>
          <w:rFonts w:ascii="Times New Roman" w:hAnsi="Times New Roman" w:eastAsia="Times New Roman"/>
          <w:b w:val="0"/>
          <w:i w:val="0"/>
          <w:sz w:val="24"/>
        </w:rPr>
        <w:t xml:space="preserve"> Steps 1–4 continue for </w:t>
      </w:r>
      <w:r>
        <w:rPr>
          <w:rFonts w:ascii="Times New Roman" w:hAnsi="Times New Roman" w:eastAsia="Times New Roman"/>
          <w:b w:val="0"/>
          <w:i/>
          <w:sz w:val="24"/>
        </w:rPr>
        <w:t>T</w:t>
      </w:r>
      <w:r>
        <w:rPr>
          <w:rFonts w:ascii="Times New Roman" w:hAnsi="Times New Roman" w:eastAsia="Times New Roman"/>
          <w:b w:val="0"/>
          <w:i w:val="0"/>
          <w:sz w:val="24"/>
        </w:rPr>
        <w:t xml:space="preserve"> rounds. Cumulative regret — the gap between the algorithm's total reward and the oracle optimal policy — quantifies learning quality.</w:t>
      </w:r>
    </w:p>
    <w:p>
      <w:pPr>
        <w:spacing w:after="240" w:before="0" w:lineRule="auto" w:line="360"/>
        <w:ind w:left="720"/>
        <w:jc w:val="left"/>
      </w:pPr>
      <w:r>
        <w:rPr>
          <w:rFonts w:ascii="Times New Roman" w:hAnsi="Times New Roman" w:eastAsia="Times New Roman"/>
          <w:b/>
          <w:i w:val="0"/>
          <w:sz w:val="24"/>
        </w:rPr>
        <w:t>4.4.3 Architecture</w:t>
      </w:r>
    </w:p>
    <w:p>
      <w:pPr>
        <w:spacing w:after="240" w:before="0" w:lineRule="auto" w:line="360"/>
        <w:ind w:firstLine="720"/>
        <w:jc w:val="both"/>
      </w:pPr>
      <w:r>
        <w:rPr>
          <w:rFonts w:ascii="Times New Roman" w:hAnsi="Times New Roman" w:eastAsia="Times New Roman"/>
          <w:b w:val="0"/>
          <w:i w:val="0"/>
          <w:sz w:val="24"/>
        </w:rPr>
        <w:t>Figure 4.1 shows the end-to-end architecture of the demonstration system. The browser frontend exposes four interaction tabs (Applicant Simulator, Premium Optimiser, Bandit Arena, PSI Monitor); each issues HTTP requests to the FastAPI backend, which dispatches to one of six core modules (Actuarial Reward Simulator, Pricing Engine, Bandit Algorithms, PSI Compute, Cambodia Dataset, Static XGB Baseline). The bandit decision loop itself, isolated from infrastructural concerns, is shown in Figure 4.2.</w:t>
      </w:r>
    </w:p>
    <w:p>
      <w:pPr>
        <w:spacing w:after="120" w:before="0" w:lineRule="auto" w:line="360"/>
        <w:jc w:val="center"/>
      </w:pPr>
      <w:r>
        <w:drawing>
          <wp:inline xmlns:a="http://schemas.openxmlformats.org/drawingml/2006/main" xmlns:pic="http://schemas.openxmlformats.org/drawingml/2006/picture">
            <wp:extent cx="5486400" cy="3478504"/>
            <wp:docPr id="4" name="Picture 4"/>
            <wp:cNvGraphicFramePr>
              <a:graphicFrameLocks noChangeAspect="1"/>
            </wp:cNvGraphicFramePr>
            <a:graphic>
              <a:graphicData uri="http://schemas.openxmlformats.org/drawingml/2006/picture">
                <pic:pic>
                  <pic:nvPicPr>
                    <pic:cNvPr id="0" name="fig_ch4_architecture.png"/>
                    <pic:cNvPicPr/>
                  </pic:nvPicPr>
                  <pic:blipFill>
                    <a:blip r:embed="rId14"/>
                    <a:stretch>
                      <a:fillRect/>
                    </a:stretch>
                  </pic:blipFill>
                  <pic:spPr>
                    <a:xfrm>
                      <a:off x="0" y="0"/>
                      <a:ext cx="5486400" cy="347850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4.1. System architecture — Browser tabs → FastAPI endpoints → backend modules.</w:t>
      </w:r>
    </w:p>
    <w:p>
      <w:pPr>
        <w:spacing w:after="120" w:before="0" w:lineRule="auto" w:line="360"/>
        <w:jc w:val="center"/>
      </w:pPr>
      <w:r>
        <w:drawing>
          <wp:inline xmlns:a="http://schemas.openxmlformats.org/drawingml/2006/main" xmlns:pic="http://schemas.openxmlformats.org/drawingml/2006/picture">
            <wp:extent cx="5486400" cy="5702741"/>
            <wp:docPr id="5" name="Picture 5"/>
            <wp:cNvGraphicFramePr>
              <a:graphicFrameLocks noChangeAspect="1"/>
            </wp:cNvGraphicFramePr>
            <a:graphic>
              <a:graphicData uri="http://schemas.openxmlformats.org/drawingml/2006/picture">
                <pic:pic>
                  <pic:nvPicPr>
                    <pic:cNvPr id="0" name="fig_ch4_bandit_loop.png"/>
                    <pic:cNvPicPr/>
                  </pic:nvPicPr>
                  <pic:blipFill>
                    <a:blip r:embed="rId15"/>
                    <a:stretch>
                      <a:fillRect/>
                    </a:stretch>
                  </pic:blipFill>
                  <pic:spPr>
                    <a:xfrm>
                      <a:off x="0" y="0"/>
                      <a:ext cx="5486400" cy="570274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4.2. Contextual bandit decision loop — context x_t → action selection → reward r_t → parameter update (A_a, b_a) → next round.</w:t>
      </w:r>
    </w:p>
    <w:p>
      <w:pPr>
        <w:spacing w:after="240" w:before="0" w:lineRule="auto" w:line="360"/>
        <w:ind w:left="720"/>
        <w:jc w:val="left"/>
      </w:pPr>
      <w:r>
        <w:rPr>
          <w:rFonts w:ascii="Times New Roman" w:hAnsi="Times New Roman" w:eastAsia="Times New Roman"/>
          <w:b/>
          <w:i w:val="0"/>
          <w:sz w:val="24"/>
        </w:rPr>
        <w:t>4.4.4 Why Contextual Bandits Were Chosen</w:t>
      </w:r>
    </w:p>
    <w:p>
      <w:pPr>
        <w:spacing w:after="240" w:before="0" w:lineRule="auto" w:line="360"/>
        <w:ind w:firstLine="720"/>
        <w:jc w:val="both"/>
      </w:pPr>
      <w:r>
        <w:rPr>
          <w:rFonts w:ascii="Times New Roman" w:hAnsi="Times New Roman" w:eastAsia="Times New Roman"/>
          <w:b w:val="0"/>
          <w:i w:val="0"/>
          <w:sz w:val="24"/>
        </w:rPr>
        <w:t>Six properties distinguish contextual bandits from competing approaches and motivate their use in this thesis.</w:t>
      </w:r>
    </w:p>
    <w:p>
      <w:pPr>
        <w:pStyle w:val="ListNumber"/>
        <w:ind w:left="720"/>
      </w:pPr>
      <w:r>
        <w:rPr>
          <w:rFonts w:ascii="Times New Roman" w:hAnsi="Times New Roman" w:eastAsia="Times New Roman"/>
          <w:b/>
          <w:i w:val="0"/>
          <w:sz w:val="24"/>
        </w:rPr>
        <w:t>Computational efficiency.</w:t>
      </w:r>
      <w:r>
        <w:rPr>
          <w:rFonts w:ascii="Times New Roman" w:hAnsi="Times New Roman" w:eastAsia="Times New Roman"/>
          <w:b w:val="0"/>
          <w:i w:val="0"/>
          <w:sz w:val="24"/>
        </w:rPr>
        <w:t xml:space="preserve"> LinUCB and LinTS perform their per-round update in milliseconds on commodity CPU hardware, satisfying the 200 ms latency budget (NFR-1).</w:t>
      </w:r>
    </w:p>
    <w:p>
      <w:pPr>
        <w:pStyle w:val="ListNumber"/>
        <w:ind w:left="720"/>
      </w:pPr>
      <w:r>
        <w:rPr>
          <w:rFonts w:ascii="Times New Roman" w:hAnsi="Times New Roman" w:eastAsia="Times New Roman"/>
          <w:b/>
          <w:i w:val="0"/>
          <w:sz w:val="24"/>
        </w:rPr>
        <w:t>Theoretical regret guarantees.</w:t>
      </w:r>
      <w:r>
        <w:rPr>
          <w:rFonts w:ascii="Times New Roman" w:hAnsi="Times New Roman" w:eastAsia="Times New Roman"/>
          <w:b w:val="0"/>
          <w:i w:val="0"/>
          <w:sz w:val="24"/>
        </w:rPr>
        <w:t xml:space="preserve"> Both algorithms achieve sublinear regret of order O(d√T), so performance improves predictably as more applicants are processed and the optimality gap shrinks asymptotically to zero.</w:t>
      </w:r>
    </w:p>
    <w:p>
      <w:pPr>
        <w:pStyle w:val="ListNumber"/>
        <w:ind w:left="720"/>
      </w:pPr>
      <w:r>
        <w:rPr>
          <w:rFonts w:ascii="Times New Roman" w:hAnsi="Times New Roman" w:eastAsia="Times New Roman"/>
          <w:b/>
          <w:i w:val="0"/>
          <w:sz w:val="24"/>
        </w:rPr>
        <w:t>No batch retraining.</w:t>
      </w:r>
      <w:r>
        <w:rPr>
          <w:rFonts w:ascii="Times New Roman" w:hAnsi="Times New Roman" w:eastAsia="Times New Roman"/>
          <w:b w:val="0"/>
          <w:i w:val="0"/>
          <w:sz w:val="24"/>
        </w:rPr>
        <w:t xml:space="preserve"> Unlike static XGBoost models that require periodic offline retraining cycles, bandits learn online from each new decision, eliminating the operational cost and stale-model risk of scheduled retraining.</w:t>
      </w:r>
    </w:p>
    <w:p>
      <w:pPr>
        <w:pStyle w:val="ListNumber"/>
        <w:ind w:left="720"/>
      </w:pPr>
      <w:r>
        <w:rPr>
          <w:rFonts w:ascii="Times New Roman" w:hAnsi="Times New Roman" w:eastAsia="Times New Roman"/>
          <w:b/>
          <w:i w:val="0"/>
          <w:sz w:val="24"/>
        </w:rPr>
        <w:t>Interpretability.</w:t>
      </w:r>
      <w:r>
        <w:rPr>
          <w:rFonts w:ascii="Times New Roman" w:hAnsi="Times New Roman" w:eastAsia="Times New Roman"/>
          <w:b w:val="0"/>
          <w:i w:val="0"/>
          <w:sz w:val="24"/>
        </w:rPr>
        <w:t xml:space="preserve"> Linear bandits maintain explicit per-action coefficient vectors θ_a, allowing actuaries and regulators to inspect which features drive each decision (NFR-7) — a property that neural bandits do not provide.</w:t>
      </w:r>
    </w:p>
    <w:p>
      <w:pPr>
        <w:pStyle w:val="ListNumber"/>
        <w:ind w:left="720"/>
      </w:pPr>
      <w:r>
        <w:rPr>
          <w:rFonts w:ascii="Times New Roman" w:hAnsi="Times New Roman" w:eastAsia="Times New Roman"/>
          <w:b/>
          <w:i w:val="0"/>
          <w:sz w:val="24"/>
        </w:rPr>
        <w:t>Fairness compatibility.</w:t>
      </w:r>
      <w:r>
        <w:rPr>
          <w:rFonts w:ascii="Times New Roman" w:hAnsi="Times New Roman" w:eastAsia="Times New Roman"/>
          <w:b w:val="0"/>
          <w:i w:val="0"/>
          <w:sz w:val="24"/>
        </w:rPr>
        <w:t xml:space="preserve"> Because the reward function need not encode demographic parity, fairness can be monitored externally via PSI guardrails (FR-4), decoupling profitability from demographic constraints and avoiding the adversarial dynamics of constrained-reward formulations.</w:t>
      </w:r>
    </w:p>
    <w:p>
      <w:pPr>
        <w:pStyle w:val="ListNumber"/>
        <w:ind w:left="720"/>
      </w:pPr>
      <w:r>
        <w:rPr>
          <w:rFonts w:ascii="Times New Roman" w:hAnsi="Times New Roman" w:eastAsia="Times New Roman"/>
          <w:b/>
          <w:i w:val="0"/>
          <w:sz w:val="24"/>
        </w:rPr>
        <w:t>Emerging-market data fit.</w:t>
      </w:r>
      <w:r>
        <w:rPr>
          <w:rFonts w:ascii="Times New Roman" w:hAnsi="Times New Roman" w:eastAsia="Times New Roman"/>
          <w:b w:val="0"/>
          <w:i w:val="0"/>
          <w:sz w:val="24"/>
        </w:rPr>
        <w:t xml:space="preserve"> With only 2,000 calibrated records available, deep neural approaches risk overfitting. Linear bandits with d = 34 features achieve strong generalisation under this sample budget while remaining flexible enough to capture the dominant feature interactions identified in the literature.</w:t>
      </w:r>
    </w:p>
    <w:p>
      <w:pPr>
        <w:spacing w:after="240" w:before="0" w:lineRule="auto" w:line="360"/>
        <w:jc w:val="left"/>
      </w:pPr>
      <w:r>
        <w:rPr>
          <w:rFonts w:ascii="Times New Roman" w:hAnsi="Times New Roman" w:eastAsia="Times New Roman"/>
          <w:b/>
          <w:i w:val="0"/>
          <w:sz w:val="28"/>
        </w:rPr>
        <w:t>4.5 Dataset and Feature Engineering</w:t>
      </w:r>
    </w:p>
    <w:p>
      <w:pPr>
        <w:spacing w:after="240" w:before="0" w:lineRule="auto" w:line="360"/>
        <w:ind w:left="720"/>
        <w:jc w:val="left"/>
      </w:pPr>
      <w:r>
        <w:rPr>
          <w:rFonts w:ascii="Times New Roman" w:hAnsi="Times New Roman" w:eastAsia="Times New Roman"/>
          <w:b/>
          <w:i w:val="0"/>
          <w:sz w:val="24"/>
        </w:rPr>
        <w:t>4.5.1 Synthetic Cambodia Health Insurance Dataset</w:t>
      </w:r>
    </w:p>
    <w:p>
      <w:pPr>
        <w:spacing w:after="240" w:before="0" w:lineRule="auto" w:line="360"/>
        <w:ind w:firstLine="720"/>
        <w:jc w:val="both"/>
      </w:pPr>
      <w:r>
        <w:rPr>
          <w:rFonts w:ascii="Times New Roman" w:hAnsi="Times New Roman" w:eastAsia="Times New Roman"/>
          <w:b w:val="0"/>
          <w:i w:val="0"/>
          <w:sz w:val="24"/>
        </w:rPr>
        <w:t xml:space="preserve">The empirical foundation of this thesis is a synthetic dataset of 2,000 Cambodian health-insurance applicants generated by `data/cambodia/generate_cambodia_dataset.py`.  Every record is statistically anchored on the </w:t>
      </w:r>
      <w:r>
        <w:rPr>
          <w:rFonts w:ascii="Times New Roman" w:hAnsi="Times New Roman" w:eastAsia="Times New Roman"/>
          <w:b/>
          <w:i w:val="0"/>
          <w:sz w:val="24"/>
        </w:rPr>
        <w:t>Cambodia Demographic and Health Survey (CDHS) 2021–22</w:t>
      </w:r>
      <w:r>
        <w:rPr>
          <w:rFonts w:ascii="Times New Roman" w:hAnsi="Times New Roman" w:eastAsia="Times New Roman"/>
          <w:b w:val="0"/>
          <w:i w:val="0"/>
          <w:sz w:val="24"/>
        </w:rPr>
        <w:t xml:space="preserve"> [National Institute of Statistics / ICF, 2023], with complementary calibration from the Cambodia STEPS Survey 2023 (MoH/WHO), the 2019 General Population Census, the ILO Cambodia Labour Force Survey 2023, and WHO disease-burden reports.</w:t>
      </w:r>
    </w:p>
    <w:p>
      <w:pPr>
        <w:spacing w:after="240" w:before="0" w:lineRule="auto" w:line="360"/>
        <w:ind w:firstLine="720"/>
        <w:jc w:val="both"/>
      </w:pPr>
      <w:r>
        <w:rPr>
          <w:rFonts w:ascii="Times New Roman" w:hAnsi="Times New Roman" w:eastAsia="Times New Roman"/>
          <w:b/>
          <w:i w:val="0"/>
          <w:sz w:val="24"/>
        </w:rPr>
        <w:t>Demographic calibration.</w:t>
      </w:r>
      <w:r>
        <w:rPr>
          <w:rFonts w:ascii="Times New Roman" w:hAnsi="Times New Roman" w:eastAsia="Times New Roman"/>
          <w:b w:val="0"/>
          <w:i w:val="0"/>
          <w:sz w:val="24"/>
        </w:rPr>
        <w:t xml:space="preserve">  Age is drawn from a gamma distribution (shape = 3.8, scale = 4.2, shifted +18) calibrated to the CDHS working-adult mean (~30.9 years for women, ~32.5 for men) but skewed slightly older to reflect the stable-income population most likely to purchase insurance.  Gender is occupation-conditional: the dataset respects documented labour-market sex ratios (e.g., 85 % female in garment factories, 90 % male in construction) rather than applying a uniform 52.2 % / 47.8 % population split.</w:t>
      </w:r>
    </w:p>
    <w:p>
      <w:pPr>
        <w:spacing w:after="240" w:before="0" w:lineRule="auto" w:line="360"/>
        <w:ind w:firstLine="720"/>
        <w:jc w:val="both"/>
      </w:pPr>
      <w:r>
        <w:rPr>
          <w:rFonts w:ascii="Times New Roman" w:hAnsi="Times New Roman" w:eastAsia="Times New Roman"/>
          <w:b/>
          <w:i w:val="0"/>
          <w:sz w:val="24"/>
        </w:rPr>
        <w:t>Regional distribution</w:t>
      </w:r>
      <w:r>
        <w:rPr>
          <w:rFonts w:ascii="Times New Roman" w:hAnsi="Times New Roman" w:eastAsia="Times New Roman"/>
          <w:b w:val="0"/>
          <w:i w:val="0"/>
          <w:sz w:val="24"/>
        </w:rPr>
        <w:t xml:space="preserve"> follows the CDHS 2021–22 province-level respondent shares for adults aged 15–49, collapsed into eight macro regions: Phnom Penh (16.2 %), Kandal (7.4 %), Kampong Cham (10.3 %), Siem Reap (7.9 %), Battambang (6.9 %), Prey Veng (6.3 %), Preah Sihanouk (1.2 %), and Other Provinces (43.6 %).  Urban provinces receive higher education and wealth quintile probabilities, reproducing the well-documented rural–urban gradient in Cambodian socioeconomic indicators.</w:t>
      </w:r>
    </w:p>
    <w:p>
      <w:pPr>
        <w:spacing w:after="240" w:before="0" w:lineRule="auto" w:line="360"/>
        <w:ind w:firstLine="720"/>
        <w:jc w:val="both"/>
      </w:pPr>
      <w:r>
        <w:rPr>
          <w:rFonts w:ascii="Times New Roman" w:hAnsi="Times New Roman" w:eastAsia="Times New Roman"/>
          <w:b/>
          <w:i w:val="0"/>
          <w:sz w:val="24"/>
        </w:rPr>
        <w:t>Occupational mix</w:t>
      </w:r>
      <w:r>
        <w:rPr>
          <w:rFonts w:ascii="Times New Roman" w:hAnsi="Times New Roman" w:eastAsia="Times New Roman"/>
          <w:b w:val="0"/>
          <w:i w:val="0"/>
          <w:sz w:val="24"/>
        </w:rPr>
        <w:t xml:space="preserve"> reflects the ILO 2023 sectoral composition and is parametrised by base health risk, life risk, frequency, and income base: Rice Farmer (28 %), Garment Worker (20 %), Market Vendor (15 %), Moto/Tuk-tuk Driver (12 %), Civil Servant (10 %), Construction Worker (8 %), and Monk/Retired (7 %).  Each occupation carries a distinct mortality multiplier that feeds directly into the actuarial reward simulator.</w:t>
      </w:r>
    </w:p>
    <w:p>
      <w:pPr>
        <w:spacing w:after="240" w:before="0" w:lineRule="auto" w:line="360"/>
        <w:ind w:firstLine="720"/>
        <w:jc w:val="both"/>
      </w:pPr>
      <w:r>
        <w:rPr>
          <w:rFonts w:ascii="Times New Roman" w:hAnsi="Times New Roman" w:eastAsia="Times New Roman"/>
          <w:b/>
          <w:i w:val="0"/>
          <w:sz w:val="24"/>
        </w:rPr>
        <w:t>Disease prevalence</w:t>
      </w:r>
      <w:r>
        <w:rPr>
          <w:rFonts w:ascii="Times New Roman" w:hAnsi="Times New Roman" w:eastAsia="Times New Roman"/>
          <w:b w:val="0"/>
          <w:i w:val="0"/>
          <w:sz w:val="24"/>
        </w:rPr>
        <w:t xml:space="preserve"> is condition-specific and probability-linked to age, BMI, occupation risk, education, and wealth:</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Source Prevalence</w:t>
            </w:r>
          </w:p>
        </w:tc>
        <w:tc>
          <w:tcPr>
            <w:tcW w:type="dxa" w:w="2890"/>
          </w:tcPr>
          <w:p>
            <w:pPr>
              <w:spacing w:after="120" w:before="0" w:lineRule="auto" w:line="276"/>
              <w:jc w:val="left"/>
            </w:pPr>
            <w:r/>
            <w:r>
              <w:rPr>
                <w:rFonts w:ascii="Times New Roman" w:hAnsi="Times New Roman" w:eastAsia="Times New Roman"/>
                <w:b w:val="0"/>
                <w:i w:val="0"/>
                <w:sz w:val="22"/>
              </w:rPr>
              <w:t>Key Risk Drivers</w:t>
            </w:r>
          </w:p>
        </w:tc>
      </w:tr>
      <w:tr>
        <w:tc>
          <w:tcPr>
            <w:tcW w:type="dxa" w:w="2890"/>
          </w:tcPr>
          <w:p>
            <w:pPr>
              <w:spacing w:after="120" w:before="0" w:lineRule="auto" w:line="276"/>
              <w:jc w:val="left"/>
            </w:pPr>
            <w:r/>
            <w:r>
              <w:rPr>
                <w:rFonts w:ascii="Times New Roman" w:hAnsi="Times New Roman" w:eastAsia="Times New Roman"/>
                <w:b w:val="0"/>
                <w:i w:val="0"/>
                <w:sz w:val="22"/>
              </w:rPr>
              <w:t>Hypertension</w:t>
            </w:r>
          </w:p>
        </w:tc>
        <w:tc>
          <w:tcPr>
            <w:tcW w:type="dxa" w:w="2890"/>
          </w:tcPr>
          <w:p>
            <w:pPr>
              <w:spacing w:after="120" w:before="0" w:lineRule="auto" w:line="276"/>
              <w:jc w:val="left"/>
            </w:pPr>
            <w:r/>
            <w:r>
              <w:rPr>
                <w:rFonts w:ascii="Times New Roman" w:hAnsi="Times New Roman" w:eastAsia="Times New Roman"/>
                <w:b w:val="0"/>
                <w:i w:val="0"/>
                <w:sz w:val="22"/>
              </w:rPr>
              <w:t>16.8 % (STEPS 2023, ages 18–69)</w:t>
            </w:r>
          </w:p>
        </w:tc>
        <w:tc>
          <w:tcPr>
            <w:tcW w:type="dxa" w:w="2890"/>
          </w:tcPr>
          <w:p>
            <w:pPr>
              <w:spacing w:after="120" w:before="0" w:lineRule="auto" w:line="276"/>
              <w:jc w:val="left"/>
            </w:pPr>
            <w:r/>
            <w:r>
              <w:rPr>
                <w:rFonts w:ascii="Times New Roman" w:hAnsi="Times New Roman" w:eastAsia="Times New Roman"/>
                <w:b w:val="0"/>
                <w:i w:val="0"/>
                <w:sz w:val="22"/>
              </w:rPr>
              <w:t>Age ≥ 45, BMI ≥ 25, smoking</w:t>
            </w:r>
          </w:p>
        </w:tc>
      </w:tr>
      <w:tr>
        <w:tc>
          <w:tcPr>
            <w:tcW w:type="dxa" w:w="2890"/>
          </w:tcPr>
          <w:p>
            <w:pPr>
              <w:spacing w:after="120" w:before="0" w:lineRule="auto" w:line="276"/>
              <w:jc w:val="left"/>
            </w:pPr>
            <w:r/>
            <w:r>
              <w:rPr>
                <w:rFonts w:ascii="Times New Roman" w:hAnsi="Times New Roman" w:eastAsia="Times New Roman"/>
                <w:b w:val="0"/>
                <w:i w:val="0"/>
                <w:sz w:val="22"/>
              </w:rPr>
              <w:t>Diabetes</w:t>
            </w:r>
          </w:p>
        </w:tc>
        <w:tc>
          <w:tcPr>
            <w:tcW w:type="dxa" w:w="2890"/>
          </w:tcPr>
          <w:p>
            <w:pPr>
              <w:spacing w:after="120" w:before="0" w:lineRule="auto" w:line="276"/>
              <w:jc w:val="left"/>
            </w:pPr>
            <w:r/>
            <w:r>
              <w:rPr>
                <w:rFonts w:ascii="Times New Roman" w:hAnsi="Times New Roman" w:eastAsia="Times New Roman"/>
                <w:b w:val="0"/>
                <w:i w:val="0"/>
                <w:sz w:val="22"/>
              </w:rPr>
              <w:t>7.6 % (STEPS 2023, ages 25–64)</w:t>
            </w:r>
          </w:p>
        </w:tc>
        <w:tc>
          <w:tcPr>
            <w:tcW w:type="dxa" w:w="2890"/>
          </w:tcPr>
          <w:p>
            <w:pPr>
              <w:spacing w:after="120" w:before="0" w:lineRule="auto" w:line="276"/>
              <w:jc w:val="left"/>
            </w:pPr>
            <w:r/>
            <w:r>
              <w:rPr>
                <w:rFonts w:ascii="Times New Roman" w:hAnsi="Times New Roman" w:eastAsia="Times New Roman"/>
                <w:b w:val="0"/>
                <w:i w:val="0"/>
                <w:sz w:val="22"/>
              </w:rPr>
              <w:t>Age ≥ 40, BMI ≥ 25, richest quintile</w:t>
            </w:r>
          </w:p>
        </w:tc>
      </w:tr>
      <w:tr>
        <w:tc>
          <w:tcPr>
            <w:tcW w:type="dxa" w:w="2890"/>
          </w:tcPr>
          <w:p>
            <w:pPr>
              <w:spacing w:after="120" w:before="0" w:lineRule="auto" w:line="276"/>
              <w:jc w:val="left"/>
            </w:pPr>
            <w:r/>
            <w:r>
              <w:rPr>
                <w:rFonts w:ascii="Times New Roman" w:hAnsi="Times New Roman" w:eastAsia="Times New Roman"/>
                <w:b w:val="0"/>
                <w:i w:val="0"/>
                <w:sz w:val="22"/>
              </w:rPr>
              <w:t>Heart Disease</w:t>
            </w:r>
          </w:p>
        </w:tc>
        <w:tc>
          <w:tcPr>
            <w:tcW w:type="dxa" w:w="2890"/>
          </w:tcPr>
          <w:p>
            <w:pPr>
              <w:spacing w:after="120" w:before="0" w:lineRule="auto" w:line="276"/>
              <w:jc w:val="left"/>
            </w:pPr>
            <w:r/>
            <w:r>
              <w:rPr>
                <w:rFonts w:ascii="Times New Roman" w:hAnsi="Times New Roman" w:eastAsia="Times New Roman"/>
                <w:b w:val="0"/>
                <w:i w:val="0"/>
                <w:sz w:val="22"/>
              </w:rPr>
              <w:t>~4 % (GBD 2019)</w:t>
            </w:r>
          </w:p>
        </w:tc>
        <w:tc>
          <w:tcPr>
            <w:tcW w:type="dxa" w:w="2890"/>
          </w:tcPr>
          <w:p>
            <w:pPr>
              <w:spacing w:after="120" w:before="0" w:lineRule="auto" w:line="276"/>
              <w:jc w:val="left"/>
            </w:pPr>
            <w:r/>
            <w:r>
              <w:rPr>
                <w:rFonts w:ascii="Times New Roman" w:hAnsi="Times New Roman" w:eastAsia="Times New Roman"/>
                <w:b w:val="0"/>
                <w:i w:val="0"/>
                <w:sz w:val="22"/>
              </w:rPr>
              <w:t>Age ≥ 50, smoking</w:t>
            </w:r>
          </w:p>
        </w:tc>
      </w:tr>
      <w:tr>
        <w:tc>
          <w:tcPr>
            <w:tcW w:type="dxa" w:w="2890"/>
          </w:tcPr>
          <w:p>
            <w:pPr>
              <w:spacing w:after="120" w:before="0" w:lineRule="auto" w:line="276"/>
              <w:jc w:val="left"/>
            </w:pPr>
            <w:r/>
            <w:r>
              <w:rPr>
                <w:rFonts w:ascii="Times New Roman" w:hAnsi="Times New Roman" w:eastAsia="Times New Roman"/>
                <w:b w:val="0"/>
                <w:i w:val="0"/>
                <w:sz w:val="22"/>
              </w:rPr>
              <w:t>COPD/Asthma</w:t>
            </w:r>
          </w:p>
        </w:tc>
        <w:tc>
          <w:tcPr>
            <w:tcW w:type="dxa" w:w="2890"/>
          </w:tcPr>
          <w:p>
            <w:pPr>
              <w:spacing w:after="120" w:before="0" w:lineRule="auto" w:line="276"/>
              <w:jc w:val="left"/>
            </w:pPr>
            <w:r/>
            <w:r>
              <w:rPr>
                <w:rFonts w:ascii="Times New Roman" w:hAnsi="Times New Roman" w:eastAsia="Times New Roman"/>
                <w:b w:val="0"/>
                <w:i w:val="0"/>
                <w:sz w:val="22"/>
              </w:rPr>
              <w:t>~3.5 % / ~4 % (WHO 2020)</w:t>
            </w:r>
          </w:p>
        </w:tc>
        <w:tc>
          <w:tcPr>
            <w:tcW w:type="dxa" w:w="2890"/>
          </w:tcPr>
          <w:p>
            <w:pPr>
              <w:spacing w:after="120" w:before="0" w:lineRule="auto" w:line="276"/>
              <w:jc w:val="left"/>
            </w:pPr>
            <w:r/>
            <w:r>
              <w:rPr>
                <w:rFonts w:ascii="Times New Roman" w:hAnsi="Times New Roman" w:eastAsia="Times New Roman"/>
                <w:b w:val="0"/>
                <w:i w:val="0"/>
                <w:sz w:val="22"/>
              </w:rPr>
              <w:t>Smoking</w:t>
            </w:r>
          </w:p>
        </w:tc>
      </w:tr>
      <w:tr>
        <w:tc>
          <w:tcPr>
            <w:tcW w:type="dxa" w:w="2890"/>
          </w:tcPr>
          <w:p>
            <w:pPr>
              <w:spacing w:after="120" w:before="0" w:lineRule="auto" w:line="276"/>
              <w:jc w:val="left"/>
            </w:pPr>
            <w:r/>
            <w:r>
              <w:rPr>
                <w:rFonts w:ascii="Times New Roman" w:hAnsi="Times New Roman" w:eastAsia="Times New Roman"/>
                <w:b w:val="0"/>
                <w:i w:val="0"/>
                <w:sz w:val="22"/>
              </w:rPr>
              <w:t>Arthritis</w:t>
            </w:r>
          </w:p>
        </w:tc>
        <w:tc>
          <w:tcPr>
            <w:tcW w:type="dxa" w:w="2890"/>
          </w:tcPr>
          <w:p>
            <w:pPr>
              <w:spacing w:after="120" w:before="0" w:lineRule="auto" w:line="276"/>
              <w:jc w:val="left"/>
            </w:pPr>
            <w:r/>
            <w:r>
              <w:rPr>
                <w:rFonts w:ascii="Times New Roman" w:hAnsi="Times New Roman" w:eastAsia="Times New Roman"/>
                <w:b w:val="0"/>
                <w:i w:val="0"/>
                <w:sz w:val="22"/>
              </w:rPr>
              <w:t>Low baseline</w:t>
            </w:r>
          </w:p>
        </w:tc>
        <w:tc>
          <w:tcPr>
            <w:tcW w:type="dxa" w:w="2890"/>
          </w:tcPr>
          <w:p>
            <w:pPr>
              <w:spacing w:after="120" w:before="0" w:lineRule="auto" w:line="276"/>
              <w:jc w:val="left"/>
            </w:pPr>
            <w:r/>
            <w:r>
              <w:rPr>
                <w:rFonts w:ascii="Times New Roman" w:hAnsi="Times New Roman" w:eastAsia="Times New Roman"/>
                <w:b w:val="0"/>
                <w:i w:val="0"/>
                <w:sz w:val="22"/>
              </w:rPr>
              <w:t>Age ≥ 50</w:t>
            </w:r>
          </w:p>
        </w:tc>
      </w:tr>
      <w:tr>
        <w:tc>
          <w:tcPr>
            <w:tcW w:type="dxa" w:w="2890"/>
          </w:tcPr>
          <w:p>
            <w:pPr>
              <w:spacing w:after="120" w:before="0" w:lineRule="auto" w:line="276"/>
              <w:jc w:val="left"/>
            </w:pPr>
            <w:r/>
            <w:r>
              <w:rPr>
                <w:rFonts w:ascii="Times New Roman" w:hAnsi="Times New Roman" w:eastAsia="Times New Roman"/>
                <w:b w:val="0"/>
                <w:i w:val="0"/>
                <w:sz w:val="22"/>
              </w:rPr>
              <w:t>TB</w:t>
            </w:r>
          </w:p>
        </w:tc>
        <w:tc>
          <w:tcPr>
            <w:tcW w:type="dxa" w:w="2890"/>
          </w:tcPr>
          <w:p>
            <w:pPr>
              <w:spacing w:after="120" w:before="0" w:lineRule="auto" w:line="276"/>
              <w:jc w:val="left"/>
            </w:pPr>
            <w:r/>
            <w:r>
              <w:rPr>
                <w:rFonts w:ascii="Times New Roman" w:hAnsi="Times New Roman" w:eastAsia="Times New Roman"/>
                <w:b w:val="0"/>
                <w:i w:val="0"/>
                <w:sz w:val="22"/>
              </w:rPr>
              <w:t>246 / 100k (WHO Global TB Report 2022)</w:t>
            </w:r>
          </w:p>
        </w:tc>
        <w:tc>
          <w:tcPr>
            <w:tcW w:type="dxa" w:w="2890"/>
          </w:tcPr>
          <w:p>
            <w:pPr>
              <w:spacing w:after="120" w:before="0" w:lineRule="auto" w:line="276"/>
              <w:jc w:val="left"/>
            </w:pPr>
            <w:r/>
            <w:r>
              <w:rPr>
                <w:rFonts w:ascii="Times New Roman" w:hAnsi="Times New Roman" w:eastAsia="Times New Roman"/>
                <w:b w:val="0"/>
                <w:i w:val="0"/>
                <w:sz w:val="22"/>
              </w:rPr>
              <w:t>Poorest quintile, rural region</w:t>
            </w:r>
          </w:p>
        </w:tc>
      </w:tr>
      <w:tr>
        <w:tc>
          <w:tcPr>
            <w:tcW w:type="dxa" w:w="2890"/>
          </w:tcPr>
          <w:p>
            <w:pPr>
              <w:spacing w:after="120" w:before="0" w:lineRule="auto" w:line="276"/>
              <w:jc w:val="left"/>
            </w:pPr>
            <w:r/>
            <w:r>
              <w:rPr>
                <w:rFonts w:ascii="Times New Roman" w:hAnsi="Times New Roman" w:eastAsia="Times New Roman"/>
                <w:b w:val="0"/>
                <w:i w:val="0"/>
                <w:sz w:val="22"/>
              </w:rPr>
              <w:t>Hepatitis B</w:t>
            </w:r>
          </w:p>
        </w:tc>
        <w:tc>
          <w:tcPr>
            <w:tcW w:type="dxa" w:w="2890"/>
          </w:tcPr>
          <w:p>
            <w:pPr>
              <w:spacing w:after="120" w:before="0" w:lineRule="auto" w:line="276"/>
              <w:jc w:val="left"/>
            </w:pPr>
            <w:r/>
            <w:r>
              <w:rPr>
                <w:rFonts w:ascii="Times New Roman" w:hAnsi="Times New Roman" w:eastAsia="Times New Roman"/>
                <w:b w:val="0"/>
                <w:i w:val="0"/>
                <w:sz w:val="22"/>
              </w:rPr>
              <w:t>~7.5 % surface antigen (WHO 2019)</w:t>
            </w:r>
          </w:p>
        </w:tc>
        <w:tc>
          <w:tcPr>
            <w:tcW w:type="dxa" w:w="2890"/>
          </w:tcPr>
          <w:p>
            <w:pPr>
              <w:spacing w:after="120" w:before="0" w:lineRule="auto" w:line="276"/>
              <w:jc w:val="left"/>
            </w:pPr>
            <w:r/>
            <w:r>
              <w:rPr>
                <w:rFonts w:ascii="Times New Roman" w:hAnsi="Times New Roman" w:eastAsia="Times New Roman"/>
                <w:b w:val="0"/>
                <w:i w:val="0"/>
                <w:sz w:val="22"/>
              </w:rPr>
              <w:t>Baseline population risk</w:t>
            </w:r>
          </w:p>
        </w:tc>
      </w:tr>
    </w:tbl>
    <w:p/>
    <w:p>
      <w:pPr>
        <w:spacing w:after="240" w:before="0" w:lineRule="auto" w:line="360"/>
        <w:ind w:firstLine="720"/>
        <w:jc w:val="both"/>
      </w:pPr>
      <w:r>
        <w:rPr>
          <w:rFonts w:ascii="Times New Roman" w:hAnsi="Times New Roman" w:eastAsia="Times New Roman"/>
          <w:b w:val="0"/>
          <w:i w:val="0"/>
          <w:sz w:val="24"/>
        </w:rPr>
        <w:t xml:space="preserve">Multiple conditions can co-occur in a single applicant; the mean condition count is approximately 1.1.  A composite </w:t>
      </w:r>
      <w:r>
        <w:rPr>
          <w:rFonts w:ascii="Times New Roman" w:hAnsi="Times New Roman" w:eastAsia="Times New Roman"/>
          <w:b/>
          <w:i w:val="0"/>
          <w:sz w:val="24"/>
        </w:rPr>
        <w:t>health score</w:t>
      </w:r>
      <w:r>
        <w:rPr>
          <w:rFonts w:ascii="Times New Roman" w:hAnsi="Times New Roman" w:eastAsia="Times New Roman"/>
          <w:b w:val="0"/>
          <w:i w:val="0"/>
          <w:sz w:val="24"/>
        </w:rPr>
        <w:t xml:space="preserve"> (0–100, inverse of risk) and a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(1.0 = standard actuarial rate) are computed deterministically from the full feature vector and serve as the primary inputs to premium pricing and underwriting decisions.</w:t>
      </w:r>
    </w:p>
    <w:p>
      <w:pPr>
        <w:spacing w:after="240" w:before="0" w:lineRule="auto" w:line="360"/>
        <w:ind w:left="720"/>
        <w:jc w:val="left"/>
      </w:pPr>
      <w:r>
        <w:rPr>
          <w:rFonts w:ascii="Times New Roman" w:hAnsi="Times New Roman" w:eastAsia="Times New Roman"/>
          <w:b/>
          <w:i w:val="0"/>
          <w:sz w:val="24"/>
        </w:rPr>
        <w:t>4.5.2 Feature Categories and Encoding</w:t>
      </w:r>
    </w:p>
    <w:p>
      <w:pPr>
        <w:spacing w:after="240" w:before="0" w:lineRule="auto" w:line="360"/>
        <w:ind w:firstLine="720"/>
        <w:jc w:val="both"/>
      </w:pPr>
      <w:r>
        <w:rPr>
          <w:rFonts w:ascii="Times New Roman" w:hAnsi="Times New Roman" w:eastAsia="Times New Roman"/>
          <w:b w:val="0"/>
          <w:i w:val="0"/>
          <w:sz w:val="24"/>
        </w:rPr>
        <w:t xml:space="preserve">After one-hot encoding of categorical variables and normalisation, each applicant is represented by a 34-dimensional real-valued context vector </w:t>
      </w:r>
      <w:r>
        <w:rPr>
          <w:rFonts w:ascii="Times New Roman" w:hAnsi="Times New Roman" w:eastAsia="Times New Roman"/>
          <w:b w:val="0"/>
          <w:i/>
          <w:sz w:val="24"/>
        </w:rPr>
        <w:t>xₜ ∈ ℝ³⁴</w:t>
      </w:r>
      <w:r>
        <w:rPr>
          <w:rFonts w:ascii="Times New Roman" w:hAnsi="Times New Roman" w:eastAsia="Times New Roman"/>
          <w:b w:val="0"/>
          <w:i w:val="0"/>
          <w:sz w:val="24"/>
        </w:rPr>
        <w:t>.  Table 4.5.2 breaks the raw features into four categories.</w:t>
      </w:r>
    </w:p>
    <w:p>
      <w:pPr>
        <w:spacing w:after="240" w:before="0" w:lineRule="auto" w:line="360"/>
        <w:ind w:firstLine="720"/>
        <w:jc w:val="both"/>
      </w:pPr>
      <w:r>
        <w:rPr>
          <w:rFonts w:ascii="Times New Roman" w:hAnsi="Times New Roman" w:eastAsia="Times New Roman"/>
          <w:b/>
          <w:i w:val="0"/>
          <w:sz w:val="24"/>
        </w:rPr>
        <w:t>Table 4.5.2 — Feature categories and encoding scheme</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Raw Features</w:t>
            </w:r>
          </w:p>
        </w:tc>
        <w:tc>
          <w:tcPr>
            <w:tcW w:type="dxa" w:w="2167"/>
          </w:tcPr>
          <w:p>
            <w:pPr>
              <w:spacing w:after="120" w:before="0" w:lineRule="auto" w:line="276"/>
              <w:jc w:val="left"/>
            </w:pPr>
            <w:r/>
            <w:r>
              <w:rPr>
                <w:rFonts w:ascii="Times New Roman" w:hAnsi="Times New Roman" w:eastAsia="Times New Roman"/>
                <w:b w:val="0"/>
                <w:i w:val="0"/>
                <w:sz w:val="22"/>
              </w:rPr>
              <w:t>Encoded Dim.</w:t>
            </w:r>
          </w:p>
        </w:tc>
        <w:tc>
          <w:tcPr>
            <w:tcW w:type="dxa" w:w="2167"/>
          </w:tcPr>
          <w:p>
            <w:pPr>
              <w:spacing w:after="120" w:before="0" w:lineRule="auto" w:line="276"/>
              <w:jc w:val="left"/>
            </w:pPr>
            <w:r/>
            <w:r>
              <w:rPr>
                <w:rFonts w:ascii="Times New Roman" w:hAnsi="Times New Roman" w:eastAsia="Times New Roman"/>
                <w:b w:val="0"/>
                <w:i w:val="0"/>
                <w:sz w:val="22"/>
              </w:rPr>
              <w:t>Encoding</w:t>
            </w:r>
          </w:p>
        </w:tc>
      </w:tr>
      <w:tr>
        <w:tc>
          <w:tcPr>
            <w:tcW w:type="dxa" w:w="2167"/>
          </w:tcPr>
          <w:p>
            <w:pPr>
              <w:spacing w:after="120" w:before="0" w:lineRule="auto" w:line="276"/>
              <w:jc w:val="left"/>
            </w:pPr>
            <w:r/>
            <w:r>
              <w:rPr>
                <w:rFonts w:ascii="Times New Roman" w:hAnsi="Times New Roman" w:eastAsia="Times New Roman"/>
                <w:b w:val="0"/>
                <w:i w:val="0"/>
                <w:sz w:val="22"/>
              </w:rPr>
              <w:t>Demographics &amp; vitals</w:t>
            </w:r>
          </w:p>
        </w:tc>
        <w:tc>
          <w:tcPr>
            <w:tcW w:type="dxa" w:w="2167"/>
          </w:tcPr>
          <w:p>
            <w:pPr>
              <w:spacing w:after="120" w:before="0" w:lineRule="auto" w:line="276"/>
              <w:jc w:val="left"/>
            </w:pPr>
            <w:r/>
            <w:r>
              <w:rPr>
                <w:rFonts w:ascii="Times New Roman" w:hAnsi="Times New Roman" w:eastAsia="Times New Roman"/>
                <w:b w:val="0"/>
                <w:i w:val="0"/>
                <w:sz w:val="22"/>
              </w:rPr>
              <w:t>age, gender, BMI</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Lifestyle behaviours</w:t>
            </w:r>
          </w:p>
        </w:tc>
        <w:tc>
          <w:tcPr>
            <w:tcW w:type="dxa" w:w="2167"/>
          </w:tcPr>
          <w:p>
            <w:pPr>
              <w:spacing w:after="120" w:before="0" w:lineRule="auto" w:line="276"/>
              <w:jc w:val="left"/>
            </w:pPr>
            <w:r/>
            <w:r>
              <w:rPr>
                <w:rFonts w:ascii="Times New Roman" w:hAnsi="Times New Roman" w:eastAsia="Times New Roman"/>
                <w:b w:val="0"/>
                <w:i w:val="0"/>
                <w:sz w:val="22"/>
              </w:rPr>
              <w:t>is_smoking, alcohol_use, is_exercise</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Social determinants</w:t>
            </w:r>
          </w:p>
        </w:tc>
        <w:tc>
          <w:tcPr>
            <w:tcW w:type="dxa" w:w="2167"/>
          </w:tcPr>
          <w:p>
            <w:pPr>
              <w:spacing w:after="120" w:before="0" w:lineRule="auto" w:line="276"/>
              <w:jc w:val="left"/>
            </w:pPr>
            <w:r/>
            <w:r>
              <w:rPr>
                <w:rFonts w:ascii="Times New Roman" w:hAnsi="Times New Roman" w:eastAsia="Times New Roman"/>
                <w:b w:val="0"/>
                <w:i w:val="0"/>
                <w:sz w:val="22"/>
              </w:rPr>
              <w:t>education, wealth_quintile, self_reported_health</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Ordinal 0–3 / 0–4 / 0–2, z-scored</w:t>
            </w:r>
          </w:p>
        </w:tc>
      </w:tr>
      <w:tr>
        <w:tc>
          <w:tcPr>
            <w:tcW w:type="dxa" w:w="2167"/>
          </w:tcPr>
          <w:p>
            <w:pPr>
              <w:spacing w:after="120" w:before="0" w:lineRule="auto" w:line="276"/>
              <w:jc w:val="left"/>
            </w:pPr>
            <w:r/>
            <w:r>
              <w:rPr>
                <w:rFonts w:ascii="Times New Roman" w:hAnsi="Times New Roman" w:eastAsia="Times New Roman"/>
                <w:b w:val="0"/>
                <w:i w:val="0"/>
                <w:sz w:val="22"/>
              </w:rPr>
              <w:t>Economic</w:t>
            </w:r>
          </w:p>
        </w:tc>
        <w:tc>
          <w:tcPr>
            <w:tcW w:type="dxa" w:w="2167"/>
          </w:tcPr>
          <w:p>
            <w:pPr>
              <w:spacing w:after="120" w:before="0" w:lineRule="auto" w:line="276"/>
              <w:jc w:val="left"/>
            </w:pPr>
            <w:r/>
            <w:r>
              <w:rPr>
                <w:rFonts w:ascii="Times New Roman" w:hAnsi="Times New Roman" w:eastAsia="Times New Roman"/>
                <w:b w:val="0"/>
                <w:i w:val="0"/>
                <w:sz w:val="22"/>
              </w:rPr>
              <w:t>monthly_income_usd, has_family_history</w:t>
            </w:r>
          </w:p>
        </w:tc>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Numeric / 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flags</w:t>
            </w:r>
          </w:p>
        </w:tc>
        <w:tc>
          <w:tcPr>
            <w:tcW w:type="dxa" w:w="2167"/>
          </w:tcPr>
          <w:p>
            <w:pPr>
              <w:spacing w:after="120" w:before="0" w:lineRule="auto" w:line="276"/>
              <w:jc w:val="left"/>
            </w:pPr>
            <w:r/>
            <w:r>
              <w:rPr>
                <w:rFonts w:ascii="Times New Roman" w:hAnsi="Times New Roman" w:eastAsia="Times New Roman"/>
                <w:b w:val="0"/>
                <w:i w:val="0"/>
                <w:sz w:val="22"/>
              </w:rPr>
              <w:t>Hypertension, Diabetes, Heart Disease, COPD/Asthma, Arthritis, TB, Hepatitis B</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aggregate</w:t>
            </w:r>
          </w:p>
        </w:tc>
        <w:tc>
          <w:tcPr>
            <w:tcW w:type="dxa" w:w="2167"/>
          </w:tcPr>
          <w:p>
            <w:pPr>
              <w:spacing w:after="120" w:before="0" w:lineRule="auto" w:line="276"/>
              <w:jc w:val="left"/>
            </w:pPr>
            <w:r/>
            <w:r>
              <w:rPr>
                <w:rFonts w:ascii="Times New Roman" w:hAnsi="Times New Roman" w:eastAsia="Times New Roman"/>
                <w:b w:val="0"/>
                <w:i w:val="0"/>
                <w:sz w:val="22"/>
              </w:rPr>
              <w:t>condition_count</w:t>
            </w:r>
          </w:p>
        </w:tc>
        <w:tc>
          <w:tcPr>
            <w:tcW w:type="dxa" w:w="2167"/>
          </w:tcPr>
          <w:p>
            <w:pPr>
              <w:spacing w:after="120" w:before="0" w:lineRule="auto" w:line="276"/>
              <w:jc w:val="left"/>
            </w:pPr>
            <w:r/>
            <w:r>
              <w:rPr>
                <w:rFonts w:ascii="Times New Roman" w:hAnsi="Times New Roman" w:eastAsia="Times New Roman"/>
                <w:b w:val="0"/>
                <w:i w:val="0"/>
                <w:sz w:val="22"/>
              </w:rPr>
              <w:t>1</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Region</w:t>
            </w:r>
          </w:p>
        </w:tc>
        <w:tc>
          <w:tcPr>
            <w:tcW w:type="dxa" w:w="2167"/>
          </w:tcPr>
          <w:p>
            <w:pPr>
              <w:spacing w:after="120" w:before="0" w:lineRule="auto" w:line="276"/>
              <w:jc w:val="left"/>
            </w:pPr>
            <w:r/>
            <w:r>
              <w:rPr>
                <w:rFonts w:ascii="Times New Roman" w:hAnsi="Times New Roman" w:eastAsia="Times New Roman"/>
                <w:b w:val="0"/>
                <w:i w:val="0"/>
                <w:sz w:val="22"/>
              </w:rPr>
              <w:t>Phnom Penh, Kandal, Kampong Cham, Siem Reap, Battambang, Prey Veng, Preah Sihanouk, Other Provinces</w:t>
            </w:r>
          </w:p>
        </w:tc>
        <w:tc>
          <w:tcPr>
            <w:tcW w:type="dxa" w:w="2167"/>
          </w:tcPr>
          <w:p>
            <w:pPr>
              <w:spacing w:after="120" w:before="0" w:lineRule="auto" w:line="276"/>
              <w:jc w:val="left"/>
            </w:pPr>
            <w:r/>
            <w:r>
              <w:rPr>
                <w:rFonts w:ascii="Times New Roman" w:hAnsi="Times New Roman" w:eastAsia="Times New Roman"/>
                <w:b w:val="0"/>
                <w:i w:val="0"/>
                <w:sz w:val="22"/>
              </w:rPr>
              <w:t>8</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val="0"/>
                <w:i w:val="0"/>
                <w:sz w:val="22"/>
              </w:rPr>
              <w:t>Occupation</w:t>
            </w:r>
          </w:p>
        </w:tc>
        <w:tc>
          <w:tcPr>
            <w:tcW w:type="dxa" w:w="2167"/>
          </w:tcPr>
          <w:p>
            <w:pPr>
              <w:spacing w:after="120" w:before="0" w:lineRule="auto" w:line="276"/>
              <w:jc w:val="left"/>
            </w:pPr>
            <w:r/>
            <w:r>
              <w:rPr>
                <w:rFonts w:ascii="Times New Roman" w:hAnsi="Times New Roman" w:eastAsia="Times New Roman"/>
                <w:b w:val="0"/>
                <w:i w:val="0"/>
                <w:sz w:val="22"/>
              </w:rPr>
              <w:t>Rice Farmer, Garment Worker, Market Vendor, Moto/Tuk-tuk Driver, Civil Servant, Construction Worker, Monk/Retired</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i w:val="0"/>
                <w:sz w:val="22"/>
              </w:rPr>
              <w:t>Total</w:t>
            </w:r>
          </w:p>
        </w:tc>
        <w:tc>
          <w:tcPr>
            <w:tcW w:type="dxa" w:w="2167"/>
          </w:tcPr>
          <w:p>
            <w:pPr>
              <w:spacing w:after="120" w:before="0" w:lineRule="auto" w:line="276"/>
              <w:jc w:val="left"/>
            </w:pPr>
            <w:r/>
            <w:r>
              <w:rPr>
                <w:rFonts w:ascii="Times New Roman" w:hAnsi="Times New Roman" w:eastAsia="Times New Roman"/>
                <w:b/>
                <w:i w:val="0"/>
                <w:sz w:val="22"/>
              </w:rPr>
              <w:t>34</w:t>
            </w:r>
          </w:p>
        </w:tc>
        <w:tc>
          <w:tcPr>
            <w:tcW w:type="dxa" w:w="2167"/>
          </w:tcPr>
          <w:p>
            <w:pPr>
              <w:spacing w:after="120" w:before="0" w:lineRule="auto" w:line="276"/>
              <w:jc w:val="left"/>
            </w:pPr>
            <w:r/>
          </w:p>
        </w:tc>
        <w:tc>
          <w:tcPr>
            <w:tcW w:type="dxa" w:w="2167"/>
          </w:tcPr>
          <w:p>
            <w:pPr>
              <w:spacing w:after="120" w:before="0" w:lineRule="auto" w:line="276"/>
              <w:jc w:val="left"/>
            </w:pPr>
            <w:r/>
          </w:p>
        </w:tc>
      </w:tr>
    </w:tbl>
    <w:p/>
    <w:p>
      <w:pPr>
        <w:spacing w:after="240" w:before="0" w:lineRule="auto" w:line="360"/>
        <w:ind w:firstLine="720"/>
        <w:jc w:val="both"/>
      </w:pPr>
      <w:r>
        <w:rPr>
          <w:rFonts w:ascii="Times New Roman" w:hAnsi="Times New Roman" w:eastAsia="Times New Roman"/>
          <w:b w:val="0"/>
          <w:i w:val="0"/>
          <w:sz w:val="24"/>
        </w:rPr>
        <w:t xml:space="preserve">A critical design choice is the </w:t>
      </w:r>
      <w:r>
        <w:rPr>
          <w:rFonts w:ascii="Times New Roman" w:hAnsi="Times New Roman" w:eastAsia="Times New Roman"/>
          <w:b/>
          <w:i w:val="0"/>
          <w:sz w:val="24"/>
        </w:rPr>
        <w:t>one-hot encoding of region and occupation</w:t>
      </w:r>
      <w:r>
        <w:rPr>
          <w:rFonts w:ascii="Times New Roman" w:hAnsi="Times New Roman" w:eastAsia="Times New Roman"/>
          <w:b w:val="0"/>
          <w:i w:val="0"/>
          <w:sz w:val="24"/>
        </w:rPr>
        <w:t xml:space="preserve"> for the bandit preprocessor, versus the </w:t>
      </w:r>
      <w:r>
        <w:rPr>
          <w:rFonts w:ascii="Times New Roman" w:hAnsi="Times New Roman" w:eastAsia="Times New Roman"/>
          <w:b/>
          <w:i w:val="0"/>
          <w:sz w:val="24"/>
        </w:rPr>
        <w:t>label encoding</w:t>
      </w:r>
      <w:r>
        <w:rPr>
          <w:rFonts w:ascii="Times New Roman" w:hAnsi="Times New Roman" w:eastAsia="Times New Roman"/>
          <w:b w:val="0"/>
          <w:i w:val="0"/>
          <w:sz w:val="24"/>
        </w:rPr>
        <w:t xml:space="preserve"> used for the static XGBoost baseline.  Linear bandit algorithms (LinUCB, LinTS, Epsilon-Greedy) assume a linear relationship between context features and expected reward; assigning arbitrary integer labels (e.g., 0–7) to regions would impose an artificial ordinal structure (Phnom Penh &lt; Kandal &lt; ...) that does not exist geographically.  One-hot encoding removes this false ordering, at the cost of increasing dimensionality from 21 to 34.  The static XGB baseline, being a tree ensemble, is insensitive to ordinal encoding and therefore uses the more compact 21-feature representation (label-encoded region and occupation) on which it was originally trained.  All 34 features are standardised to zero mean and unit variance before entering the bandit algorithms.</w:t>
      </w:r>
    </w:p>
    <w:p>
      <w:pPr>
        <w:spacing w:after="240" w:before="0" w:lineRule="auto" w:line="360"/>
        <w:ind w:left="720"/>
        <w:jc w:val="left"/>
      </w:pPr>
      <w:r>
        <w:rPr>
          <w:rFonts w:ascii="Times New Roman" w:hAnsi="Times New Roman" w:eastAsia="Times New Roman"/>
          <w:b/>
          <w:i w:val="0"/>
          <w:sz w:val="24"/>
        </w:rPr>
        <w:t>4.5.3 Train-Test Split and Reference Distribution</w:t>
      </w:r>
    </w:p>
    <w:p>
      <w:pPr>
        <w:spacing w:after="240" w:before="0" w:lineRule="auto" w:line="360"/>
        <w:ind w:firstLine="720"/>
        <w:jc w:val="both"/>
      </w:pPr>
      <w:r>
        <w:rPr>
          <w:rFonts w:ascii="Times New Roman" w:hAnsi="Times New Roman" w:eastAsia="Times New Roman"/>
          <w:b w:val="0"/>
          <w:i w:val="0"/>
          <w:sz w:val="24"/>
        </w:rPr>
        <w:t xml:space="preserve">The static XGBoost baseline requires a separate training phase.  The full 2,000-record dataset is split 80 / 20 (train / test) with `random_state = 42` via `sklearn.model_selection.train_test_split`.  The training fold (1,600 records) is used to fit the XGBoost mortality-predictor and the accompanying GLM baseline; the hold-out fold (400 records) is reserved for out-of-sample performance diagnostics (MAE, RMSE, </w:t>
      </w:r>
      <w:r>
        <w:rPr>
          <w:rFonts w:ascii="Times New Roman" w:hAnsi="Times New Roman" w:eastAsia="Times New Roman"/>
          <w:b w:val="0"/>
          <w:i/>
          <w:sz w:val="24"/>
        </w:rPr>
        <w:t>R²</w:t>
      </w:r>
      <w:r>
        <w:rPr>
          <w:rFonts w:ascii="Times New Roman" w:hAnsi="Times New Roman" w:eastAsia="Times New Roman"/>
          <w:b w:val="0"/>
          <w:i w:val="0"/>
          <w:sz w:val="24"/>
        </w:rPr>
        <w:t>).  Feature statistics (mean and standard deviation) are computed on the full dataset so that the bandit preprocessor applies consistent normalisation across all rounds.</w:t>
      </w:r>
    </w:p>
    <w:p>
      <w:pPr>
        <w:spacing w:after="240" w:before="0" w:lineRule="auto" w:line="360"/>
        <w:ind w:firstLine="720"/>
        <w:jc w:val="both"/>
      </w:pPr>
      <w:r>
        <w:rPr>
          <w:rFonts w:ascii="Times New Roman" w:hAnsi="Times New Roman" w:eastAsia="Times New Roman"/>
          <w:b w:val="0"/>
          <w:i w:val="0"/>
          <w:sz w:val="24"/>
        </w:rPr>
        <w:t xml:space="preserve">The contextual bandit experiments do </w:t>
      </w:r>
      <w:r>
        <w:rPr>
          <w:rFonts w:ascii="Times New Roman" w:hAnsi="Times New Roman" w:eastAsia="Times New Roman"/>
          <w:b w:val="0"/>
          <w:i/>
          <w:sz w:val="24"/>
        </w:rPr>
        <w:t>not</w:t>
      </w:r>
      <w:r>
        <w:rPr>
          <w:rFonts w:ascii="Times New Roman" w:hAnsi="Times New Roman" w:eastAsia="Times New Roman"/>
          <w:b w:val="0"/>
          <w:i w:val="0"/>
          <w:sz w:val="24"/>
        </w:rPr>
        <w:t xml:space="preserve"> use a train-test split in the conventional sense.  Instead, the bandit interacts with the full 2,000-record pool sequentially: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next applicant is sampled uniformly without replacement until the pool is exhausted, at which point the indices are reshuffled and sampling resumes.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each applicant is seen 2.5 times on average, mimicking a steady stream of new applications drawn from the same underlying population distribution.  This design ensures that the bandit's learning curve is not confounded by a finite-sample exhaustion effect, while preserving the empirical joint distribution of features observed in the Cambodia dataset.</w:t>
      </w:r>
    </w:p>
    <w:p>
      <w:pPr>
        <w:spacing w:after="240" w:before="0" w:lineRule="auto" w:line="360"/>
        <w:jc w:val="left"/>
      </w:pPr>
      <w:r>
        <w:rPr>
          <w:rFonts w:ascii="Times New Roman" w:hAnsi="Times New Roman" w:eastAsia="Times New Roman"/>
          <w:b/>
          <w:i w:val="0"/>
          <w:sz w:val="28"/>
        </w:rPr>
        <w:t>4.6 Bandit Algorithms and Baselines</w:t>
      </w:r>
    </w:p>
    <w:p>
      <w:pPr>
        <w:spacing w:after="240" w:before="0" w:lineRule="auto" w:line="360"/>
        <w:ind w:left="720"/>
        <w:jc w:val="left"/>
      </w:pPr>
      <w:r>
        <w:rPr>
          <w:rFonts w:ascii="Times New Roman" w:hAnsi="Times New Roman" w:eastAsia="Times New Roman"/>
          <w:b/>
          <w:i w:val="0"/>
          <w:sz w:val="24"/>
        </w:rPr>
        <w:t>4.6.1 LinUCB</w:t>
      </w:r>
    </w:p>
    <w:p>
      <w:pPr>
        <w:spacing w:after="240" w:before="0" w:lineRule="auto" w:line="360"/>
        <w:ind w:firstLine="720"/>
        <w:jc w:val="both"/>
      </w:pPr>
      <w:r>
        <w:rPr>
          <w:rFonts w:ascii="Times New Roman" w:hAnsi="Times New Roman" w:eastAsia="Times New Roman"/>
          <w:b w:val="0"/>
          <w:i w:val="0"/>
          <w:sz w:val="24"/>
        </w:rPr>
        <w:t xml:space="preserve">LinUCB (Li et al., 2010) is a frequentist algorithm that maintains,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a ridge-regression estimate of the unknown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and adds an exploration bonus proportional to the standard deviation of that estimate.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learner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and selects the action that maximises the upper confidence bound:</w:t>
      </w:r>
    </w:p>
    <w:p>
      <w:pPr>
        <w:spacing w:after="240" w:before="120" w:lineRule="auto" w:line="360"/>
        <w:jc w:val="center"/>
      </w:pPr>
      <w:r>
        <w:rPr>
          <w:rFonts w:ascii="Times New Roman" w:hAnsi="Times New Roman" w:eastAsia="Times New Roman"/>
          <w:b w:val="0"/>
          <w:i/>
          <w:sz w:val="24"/>
        </w:rPr>
        <w:t>aₜ = argmax_(a∈𝒜) ( θ̂ₐ(t)ᵀ xₜ + α √(xₜᵀ Aₐ(t)⁻¹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θ̂ₐ(t) = Aₐ(t)⁻¹ bₐ(t)</w:t>
      </w:r>
      <w:r>
        <w:rPr>
          <w:rFonts w:ascii="Times New Roman" w:hAnsi="Times New Roman" w:eastAsia="Times New Roman"/>
          <w:b w:val="0"/>
          <w:i w:val="0"/>
          <w:sz w:val="24"/>
        </w:rPr>
        <w:t xml:space="preserve"> is the regularised least-squares estimate, </w:t>
      </w:r>
      <w:r>
        <w:rPr>
          <w:rFonts w:ascii="Times New Roman" w:hAnsi="Times New Roman" w:eastAsia="Times New Roman"/>
          <w:b w:val="0"/>
          <w:i/>
          <w:sz w:val="24"/>
        </w:rPr>
        <w:t>Aₐ(t) = I_(d) + Σ_(s:aₛ=a) xₛ xₛᵀ</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bₐ(t) = Σ_(s:aₛ=a) rₛ xₛ</w:t>
      </w:r>
      <w:r>
        <w:rPr>
          <w:rFonts w:ascii="Times New Roman" w:hAnsi="Times New Roman" w:eastAsia="Times New Roman"/>
          <w:b w:val="0"/>
          <w:i w:val="0"/>
          <w:sz w:val="24"/>
        </w:rPr>
        <w:t xml:space="preserve"> is the response vector.  The scalar </w:t>
      </w:r>
      <w:r>
        <w:rPr>
          <w:rFonts w:ascii="Times New Roman" w:hAnsi="Times New Roman" w:eastAsia="Times New Roman"/>
          <w:b w:val="0"/>
          <w:i/>
          <w:sz w:val="24"/>
        </w:rPr>
        <w:t>α = 1.0</w:t>
      </w:r>
      <w:r>
        <w:rPr>
          <w:rFonts w:ascii="Times New Roman" w:hAnsi="Times New Roman" w:eastAsia="Times New Roman"/>
          <w:b w:val="0"/>
          <w:i w:val="0"/>
          <w:sz w:val="24"/>
        </w:rPr>
        <w:t xml:space="preserve"> controls the width of the confidence ellipsoid and therefore the exploration–exploitation trade-off; larger </w:t>
      </w:r>
      <w:r>
        <w:rPr>
          <w:rFonts w:ascii="Times New Roman" w:hAnsi="Times New Roman" w:eastAsia="Times New Roman"/>
          <w:b w:val="0"/>
          <w:i/>
          <w:sz w:val="24"/>
        </w:rPr>
        <w:t>α</w:t>
      </w:r>
      <w:r>
        <w:rPr>
          <w:rFonts w:ascii="Times New Roman" w:hAnsi="Times New Roman" w:eastAsia="Times New Roman"/>
          <w:b w:val="0"/>
          <w:i w:val="0"/>
          <w:sz w:val="24"/>
        </w:rPr>
        <w:t xml:space="preserve"> encourages more exploration.</w:t>
      </w:r>
    </w:p>
    <w:p>
      <w:pPr>
        <w:spacing w:after="240" w:before="0" w:lineRule="auto" w:line="360"/>
        <w:ind w:firstLine="720"/>
        <w:jc w:val="both"/>
      </w:pPr>
      <w:r>
        <w:rPr>
          <w:rFonts w:ascii="Times New Roman" w:hAnsi="Times New Roman" w:eastAsia="Times New Roman"/>
          <w:b w:val="0"/>
          <w:i w:val="0"/>
          <w:sz w:val="24"/>
        </w:rPr>
        <w:t xml:space="preserve">After observing reward </w:t>
      </w:r>
      <w:r>
        <w:rPr>
          <w:rFonts w:ascii="Times New Roman" w:hAnsi="Times New Roman" w:eastAsia="Times New Roman"/>
          <w:b w:val="0"/>
          <w:i/>
          <w:sz w:val="24"/>
        </w:rPr>
        <w:t>rₜ</w:t>
      </w:r>
      <w:r>
        <w:rPr>
          <w:rFonts w:ascii="Times New Roman" w:hAnsi="Times New Roman" w:eastAsia="Times New Roman"/>
          <w:b w:val="0"/>
          <w:i w:val="0"/>
          <w:sz w:val="24"/>
        </w:rPr>
        <w:t>, the sufficient statistics for the chosen action are updated via rank-one increments:</w:t>
      </w:r>
    </w:p>
    <w:p>
      <w:pPr>
        <w:spacing w:after="240" w:before="120" w:lineRule="auto" w:line="360"/>
        <w:jc w:val="center"/>
      </w:pPr>
      <w:r>
        <w:rPr>
          <w:rFonts w:ascii="Times New Roman" w:hAnsi="Times New Roman" w:eastAsia="Times New Roman"/>
          <w:b w:val="0"/>
          <w:i/>
          <w:sz w:val="24"/>
        </w:rPr>
        <w:t>A_(aₜ) ← A_(aₜ) + xₜ xₜᵀ,    b_(aₜ) ← b_(aₜ) + rₜ xₜ.</w:t>
      </w:r>
    </w:p>
    <w:p>
      <w:pPr>
        <w:spacing w:after="240" w:before="0" w:lineRule="auto" w:line="360"/>
        <w:ind w:firstLine="720"/>
        <w:jc w:val="both"/>
      </w:pPr>
      <w:r>
        <w:rPr>
          <w:rFonts w:ascii="Times New Roman" w:hAnsi="Times New Roman" w:eastAsia="Times New Roman"/>
          <w:b w:val="0"/>
          <w:i w:val="0"/>
          <w:sz w:val="24"/>
        </w:rPr>
        <w:t xml:space="preserve">To avoid the </w:t>
      </w:r>
      <w:r>
        <w:rPr>
          <w:rFonts w:ascii="Times New Roman" w:hAnsi="Times New Roman" w:eastAsia="Times New Roman"/>
          <w:b w:val="0"/>
          <w:i/>
          <w:sz w:val="24"/>
        </w:rPr>
        <w:t>O(d³)</w:t>
      </w:r>
      <w:r>
        <w:rPr>
          <w:rFonts w:ascii="Times New Roman" w:hAnsi="Times New Roman" w:eastAsia="Times New Roman"/>
          <w:b w:val="0"/>
          <w:i w:val="0"/>
          <w:sz w:val="24"/>
        </w:rPr>
        <w:t xml:space="preserve"> cost of explicitly inverting </w:t>
      </w:r>
      <w:r>
        <w:rPr>
          <w:rFonts w:ascii="Times New Roman" w:hAnsi="Times New Roman" w:eastAsia="Times New Roman"/>
          <w:b w:val="0"/>
          <w:i/>
          <w:sz w:val="24"/>
        </w:rPr>
        <w:t>Aₐ</w:t>
      </w:r>
      <w:r>
        <w:rPr>
          <w:rFonts w:ascii="Times New Roman" w:hAnsi="Times New Roman" w:eastAsia="Times New Roman"/>
          <w:b w:val="0"/>
          <w:i w:val="0"/>
          <w:sz w:val="24"/>
        </w:rPr>
        <w:t xml:space="preserve"> at every round, the implementation uses the Sherman–Morrison formula to maintain </w:t>
      </w:r>
      <w:r>
        <w:rPr>
          <w:rFonts w:ascii="Times New Roman" w:hAnsi="Times New Roman" w:eastAsia="Times New Roman"/>
          <w:b w:val="0"/>
          <w:i/>
          <w:sz w:val="24"/>
        </w:rPr>
        <w:t>Aₐ⁻¹</w:t>
      </w:r>
      <w:r>
        <w:rPr>
          <w:rFonts w:ascii="Times New Roman" w:hAnsi="Times New Roman" w:eastAsia="Times New Roman"/>
          <w:b w:val="0"/>
          <w:i w:val="0"/>
          <w:sz w:val="24"/>
        </w:rPr>
        <w:t xml:space="preserve">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120" w:lineRule="auto" w:line="360"/>
        <w:jc w:val="center"/>
      </w:pPr>
      <w:r>
        <w:rPr>
          <w:rFonts w:ascii="Times New Roman" w:hAnsi="Times New Roman" w:eastAsia="Times New Roman"/>
          <w:b w:val="0"/>
          <w:i/>
          <w:sz w:val="24"/>
        </w:rPr>
        <w:t>Aₐ⁻¹ ← Aₐ⁻¹ - (Aₐ⁻¹ xₜ xₜᵀ Aₐ⁻¹)/(1 + xₜᵀ Aₐ⁻¹ xₜ).</w:t>
      </w:r>
    </w:p>
    <w:p>
      <w:pPr>
        <w:spacing w:after="240" w:before="0" w:lineRule="auto" w:line="360"/>
        <w:ind w:firstLine="720"/>
        <w:jc w:val="both"/>
      </w:pPr>
      <w:r>
        <w:rPr>
          <w:rFonts w:ascii="Times New Roman" w:hAnsi="Times New Roman" w:eastAsia="Times New Roman"/>
          <w:b w:val="0"/>
          <w:i w:val="0"/>
          <w:sz w:val="24"/>
        </w:rPr>
        <w:t xml:space="preserve">Initialisation follows the standard choice </w:t>
      </w:r>
      <w:r>
        <w:rPr>
          <w:rFonts w:ascii="Times New Roman" w:hAnsi="Times New Roman" w:eastAsia="Times New Roman"/>
          <w:b w:val="0"/>
          <w:i/>
          <w:sz w:val="24"/>
        </w:rPr>
        <w:t>Aₐ(0) = I_(d)</w:t>
      </w:r>
      <w:r>
        <w:rPr>
          <w:rFonts w:ascii="Times New Roman" w:hAnsi="Times New Roman" w:eastAsia="Times New Roman"/>
          <w:b w:val="0"/>
          <w:i w:val="0"/>
          <w:sz w:val="24"/>
        </w:rPr>
        <w:t xml:space="preserve"> and </w:t>
      </w:r>
      <w:r>
        <w:rPr>
          <w:rFonts w:ascii="Times New Roman" w:hAnsi="Times New Roman" w:eastAsia="Times New Roman"/>
          <w:b w:val="0"/>
          <w:i/>
          <w:sz w:val="24"/>
        </w:rPr>
        <w:t>bₐ(0) = 0</w:t>
      </w:r>
      <w:r>
        <w:rPr>
          <w:rFonts w:ascii="Times New Roman" w:hAnsi="Times New Roman" w:eastAsia="Times New Roman"/>
          <w:b w:val="0"/>
          <w:i w:val="0"/>
          <w:sz w:val="24"/>
        </w:rPr>
        <w:t>, which corresponds to a zero-mean Gaussian prior with unit covariance.</w:t>
      </w:r>
    </w:p>
    <w:p>
      <w:pPr>
        <w:spacing w:after="240" w:before="0" w:lineRule="auto" w:line="360"/>
        <w:ind w:left="720"/>
        <w:jc w:val="left"/>
      </w:pPr>
      <w:r>
        <w:rPr>
          <w:rFonts w:ascii="Times New Roman" w:hAnsi="Times New Roman" w:eastAsia="Times New Roman"/>
          <w:b/>
          <w:i w:val="0"/>
          <w:sz w:val="24"/>
        </w:rPr>
        <w:t>4.6.2 LinTS</w:t>
      </w:r>
    </w:p>
    <w:p>
      <w:pPr>
        <w:spacing w:after="240" w:before="0" w:lineRule="auto" w:line="360"/>
        <w:ind w:firstLine="720"/>
        <w:jc w:val="both"/>
      </w:pPr>
      <w:r>
        <w:rPr>
          <w:rFonts w:ascii="Times New Roman" w:hAnsi="Times New Roman" w:eastAsia="Times New Roman"/>
          <w:b w:val="0"/>
          <w:i w:val="0"/>
          <w:sz w:val="24"/>
        </w:rPr>
        <w:t xml:space="preserve">Linear Thompson Sampling (Agrawal &amp; Goyal, 2013) replaces the deterministic confidence bonus of LinUCB with randomised posterior sampling.  It maintains the same sufficient statistics </w:t>
      </w:r>
      <w:r>
        <w:rPr>
          <w:rFonts w:ascii="Times New Roman" w:hAnsi="Times New Roman" w:eastAsia="Times New Roman"/>
          <w:b w:val="0"/>
          <w:i/>
          <w:sz w:val="24"/>
        </w:rPr>
        <w:t>(Aₐ, bₐ)</w:t>
      </w:r>
      <w:r>
        <w:rPr>
          <w:rFonts w:ascii="Times New Roman" w:hAnsi="Times New Roman" w:eastAsia="Times New Roman"/>
          <w:b w:val="0"/>
          <w:i w:val="0"/>
          <w:sz w:val="24"/>
        </w:rPr>
        <w:t xml:space="preserve"> but treats them as the posterior parameters of a Gaussian distribution over </w:t>
      </w:r>
      <w:r>
        <w:rPr>
          <w:rFonts w:ascii="Times New Roman" w:hAnsi="Times New Roman" w:eastAsia="Times New Roman"/>
          <w:b w:val="0"/>
          <w:i/>
          <w:sz w:val="24"/>
        </w:rPr>
        <w:t>θₐ</w:t>
      </w:r>
      <w:r>
        <w:rPr>
          <w:rFonts w:ascii="Times New Roman" w:hAnsi="Times New Roman" w:eastAsia="Times New Roman"/>
          <w:b w:val="0"/>
          <w:i w:val="0"/>
          <w:sz w:val="24"/>
        </w:rPr>
        <w:t>.  At each round it samples a candidate parameter vector from the posterior and acts greedily with respect to that sample:</w:t>
      </w:r>
    </w:p>
    <w:p>
      <w:pPr>
        <w:spacing w:after="240" w:before="120" w:lineRule="auto" w:line="360"/>
        <w:jc w:val="center"/>
      </w:pPr>
      <w:r>
        <w:rPr>
          <w:rFonts w:ascii="Times New Roman" w:hAnsi="Times New Roman" w:eastAsia="Times New Roman"/>
          <w:b w:val="0"/>
          <w:i/>
          <w:sz w:val="24"/>
        </w:rPr>
        <w:t>θ̃ₐ ∼ 𝒩( θ̂ₐ,  v² Aₐ⁻¹ ),    aₜ = argmax_(a∈𝒜) θ̃ₐᵀ xₜ.</w:t>
      </w:r>
    </w:p>
    <w:p>
      <w:pPr>
        <w:spacing w:after="240" w:before="0" w:lineRule="auto" w:line="360"/>
        <w:ind w:firstLine="720"/>
        <w:jc w:val="both"/>
      </w:pPr>
      <w:r>
        <w:rPr>
          <w:rFonts w:ascii="Times New Roman" w:hAnsi="Times New Roman" w:eastAsia="Times New Roman"/>
          <w:b w:val="0"/>
          <w:i w:val="0"/>
          <w:sz w:val="24"/>
        </w:rPr>
        <w:t xml:space="preserve">The hyperparameter </w:t>
      </w:r>
      <w:r>
        <w:rPr>
          <w:rFonts w:ascii="Times New Roman" w:hAnsi="Times New Roman" w:eastAsia="Times New Roman"/>
          <w:b w:val="0"/>
          <w:i/>
          <w:sz w:val="24"/>
        </w:rPr>
        <w:t>v² = 1.0</w:t>
      </w:r>
      <w:r>
        <w:rPr>
          <w:rFonts w:ascii="Times New Roman" w:hAnsi="Times New Roman" w:eastAsia="Times New Roman"/>
          <w:b w:val="0"/>
          <w:i w:val="0"/>
          <w:sz w:val="24"/>
        </w:rPr>
        <w:t xml:space="preserve"> scales the posterior covariance and therefore the amplitude of exploration.  When the posterior is wide (early rounds or rarely selected actions), samples are dispersed and the algorithm explores; when the posterior narrows (late rounds or well-understood contexts), samples concentrate near </w:t>
      </w:r>
      <w:r>
        <w:rPr>
          <w:rFonts w:ascii="Times New Roman" w:hAnsi="Times New Roman" w:eastAsia="Times New Roman"/>
          <w:b w:val="0"/>
          <w:i/>
          <w:sz w:val="24"/>
        </w:rPr>
        <w:t>θ̂ₐ</w:t>
      </w:r>
      <w:r>
        <w:rPr>
          <w:rFonts w:ascii="Times New Roman" w:hAnsi="Times New Roman" w:eastAsia="Times New Roman"/>
          <w:b w:val="0"/>
          <w:i w:val="0"/>
          <w:sz w:val="24"/>
        </w:rPr>
        <w:t xml:space="preserve"> and the algorithm exploits.  Unlike LinUCB, Thompson Sampling requires no tuning of an explicit exploration parameter such as </w:t>
      </w:r>
      <w:r>
        <w:rPr>
          <w:rFonts w:ascii="Times New Roman" w:hAnsi="Times New Roman" w:eastAsia="Times New Roman"/>
          <w:b w:val="0"/>
          <w:i/>
          <w:sz w:val="24"/>
        </w:rPr>
        <w:t>α</w:t>
      </w:r>
      <w:r>
        <w:rPr>
          <w:rFonts w:ascii="Times New Roman" w:hAnsi="Times New Roman" w:eastAsia="Times New Roman"/>
          <w:b w:val="0"/>
          <w:i w:val="0"/>
          <w:sz w:val="24"/>
        </w:rPr>
        <w:t xml:space="preserve">; the variance </w:t>
      </w:r>
      <w:r>
        <w:rPr>
          <w:rFonts w:ascii="Times New Roman" w:hAnsi="Times New Roman" w:eastAsia="Times New Roman"/>
          <w:b w:val="0"/>
          <w:i/>
          <w:sz w:val="24"/>
        </w:rPr>
        <w:t>v²</w:t>
      </w:r>
      <w:r>
        <w:rPr>
          <w:rFonts w:ascii="Times New Roman" w:hAnsi="Times New Roman" w:eastAsia="Times New Roman"/>
          <w:b w:val="0"/>
          <w:i w:val="0"/>
          <w:sz w:val="24"/>
        </w:rPr>
        <w:t xml:space="preserve"> can be fixed or calibrated offline via empirical Bayes.</w:t>
      </w:r>
    </w:p>
    <w:p>
      <w:pPr>
        <w:spacing w:after="240" w:before="0" w:lineRule="auto" w:line="360"/>
        <w:ind w:firstLine="720"/>
        <w:jc w:val="both"/>
      </w:pPr>
      <w:r>
        <w:rPr>
          <w:rFonts w:ascii="Times New Roman" w:hAnsi="Times New Roman" w:eastAsia="Times New Roman"/>
          <w:b w:val="0"/>
          <w:i w:val="0"/>
          <w:sz w:val="24"/>
        </w:rPr>
        <w:t xml:space="preserve">The update of </w:t>
      </w:r>
      <w:r>
        <w:rPr>
          <w:rFonts w:ascii="Times New Roman" w:hAnsi="Times New Roman" w:eastAsia="Times New Roman"/>
          <w:b w:val="0"/>
          <w:i/>
          <w:sz w:val="24"/>
        </w:rPr>
        <w:t>(Aₐ, bₐ)</w:t>
      </w:r>
      <w:r>
        <w:rPr>
          <w:rFonts w:ascii="Times New Roman" w:hAnsi="Times New Roman" w:eastAsia="Times New Roman"/>
          <w:b w:val="0"/>
          <w:i w:val="0"/>
          <w:sz w:val="24"/>
        </w:rPr>
        <w:t xml:space="preserve"> is identical to LinUCB.  To avoid the expensive singular-value decomposition required by `numpy.random.multivariate_normal`, the implementation pre-computes and caches the Cholesky factor of </w:t>
      </w:r>
      <w:r>
        <w:rPr>
          <w:rFonts w:ascii="Times New Roman" w:hAnsi="Times New Roman" w:eastAsia="Times New Roman"/>
          <w:b w:val="0"/>
          <w:i/>
          <w:sz w:val="24"/>
        </w:rPr>
        <w:t>v² Aₐ⁻¹ + 10⁻⁶ I_(d)</w:t>
      </w:r>
      <w:r>
        <w:rPr>
          <w:rFonts w:ascii="Times New Roman" w:hAnsi="Times New Roman" w:eastAsia="Times New Roman"/>
          <w:b w:val="0"/>
          <w:i w:val="0"/>
          <w:sz w:val="24"/>
        </w:rPr>
        <w:t xml:space="preserve">, yielding sampling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0" w:lineRule="auto" w:line="360"/>
        <w:ind w:left="720"/>
        <w:jc w:val="left"/>
      </w:pPr>
      <w:r>
        <w:rPr>
          <w:rFonts w:ascii="Times New Roman" w:hAnsi="Times New Roman" w:eastAsia="Times New Roman"/>
          <w:b/>
          <w:i w:val="0"/>
          <w:sz w:val="24"/>
        </w:rPr>
        <w:t>4.6.3 Epsilon-Greedy</w:t>
      </w:r>
    </w:p>
    <w:p>
      <w:pPr>
        <w:spacing w:after="240" w:before="0" w:lineRule="auto" w:line="360"/>
        <w:ind w:firstLine="720"/>
        <w:jc w:val="both"/>
      </w:pPr>
      <w:r>
        <w:rPr>
          <w:rFonts w:ascii="Times New Roman" w:hAnsi="Times New Roman" w:eastAsia="Times New Roman"/>
          <w:b w:val="0"/>
          <w:i w:val="0"/>
          <w:sz w:val="24"/>
        </w:rPr>
        <w:t xml:space="preserve">Epsilon-Greedy serves as a simple baseline that separates exploration and exploitation explicitly rather than through a statistically principled confidence measure.  With probability </w:t>
      </w:r>
      <w:r>
        <w:rPr>
          <w:rFonts w:ascii="Times New Roman" w:hAnsi="Times New Roman" w:eastAsia="Times New Roman"/>
          <w:b w:val="0"/>
          <w:i/>
          <w:sz w:val="24"/>
        </w:rPr>
        <w:t>ε = 0.15</w:t>
      </w:r>
      <w:r>
        <w:rPr>
          <w:rFonts w:ascii="Times New Roman" w:hAnsi="Times New Roman" w:eastAsia="Times New Roman"/>
          <w:b w:val="0"/>
          <w:i w:val="0"/>
          <w:sz w:val="24"/>
        </w:rPr>
        <w:t xml:space="preserve"> it selects a uniformly random action; with probability $1 - \varepsilon$ it selects the action with highest estimated expected reward:</w:t>
      </w:r>
    </w:p>
    <w:p>
      <w:pPr>
        <w:spacing w:after="240" w:before="120" w:lineRule="auto" w:line="360"/>
        <w:jc w:val="center"/>
      </w:pPr>
      <w:r>
        <w:rPr>
          <w:rFonts w:ascii="Times New Roman" w:hAnsi="Times New Roman" w:eastAsia="Times New Roman"/>
          <w:b w:val="0"/>
          <w:i/>
          <w:sz w:val="24"/>
        </w:rPr>
        <w:t>aₜ = { Uniform(𝒜), with probability  ε,; argmaxₐ θ̂ₐᵀ xₜ, otherwise }</w:t>
      </w:r>
    </w:p>
    <w:p>
      <w:pPr>
        <w:spacing w:after="240" w:before="0" w:lineRule="auto" w:line="360"/>
        <w:ind w:firstLine="720"/>
        <w:jc w:val="both"/>
      </w:pPr>
      <w:r>
        <w:rPr>
          <w:rFonts w:ascii="Times New Roman" w:hAnsi="Times New Roman" w:eastAsia="Times New Roman"/>
          <w:b w:val="0"/>
          <w:i w:val="0"/>
          <w:sz w:val="24"/>
        </w:rPr>
        <w:t xml:space="preserve">The parameter estimates </w:t>
      </w:r>
      <w:r>
        <w:rPr>
          <w:rFonts w:ascii="Times New Roman" w:hAnsi="Times New Roman" w:eastAsia="Times New Roman"/>
          <w:b w:val="0"/>
          <w:i/>
          <w:sz w:val="24"/>
        </w:rPr>
        <w:t>θ̂ₐ = Aₐ⁻¹ bₐ</w:t>
      </w:r>
      <w:r>
        <w:rPr>
          <w:rFonts w:ascii="Times New Roman" w:hAnsi="Times New Roman" w:eastAsia="Times New Roman"/>
          <w:b w:val="0"/>
          <w:i w:val="0"/>
          <w:sz w:val="24"/>
        </w:rPr>
        <w:t xml:space="preserve"> are maintained via the same online least-squares update as LinUCB and LinTS.  Epsilon-Greedy is included to illustrate the cost of </w:t>
      </w:r>
      <w:r>
        <w:rPr>
          <w:rFonts w:ascii="Times New Roman" w:hAnsi="Times New Roman" w:eastAsia="Times New Roman"/>
          <w:b w:val="0"/>
          <w:i/>
          <w:sz w:val="24"/>
        </w:rPr>
        <w:t>non-adaptive</w:t>
      </w:r>
      <w:r>
        <w:rPr>
          <w:rFonts w:ascii="Times New Roman" w:hAnsi="Times New Roman" w:eastAsia="Times New Roman"/>
          <w:b w:val="0"/>
          <w:i w:val="0"/>
          <w:sz w:val="24"/>
        </w:rPr>
        <w:t xml:space="preserve"> exploration: it continues to randomise 15 % of decisions even after thousands of rounds have been observed, whereas UCB and Thompson Sampling automatically shrink exploration as confidence grows.</w:t>
      </w:r>
    </w:p>
    <w:p>
      <w:pPr>
        <w:spacing w:after="240" w:before="0" w:lineRule="auto" w:line="360"/>
        <w:ind w:left="720"/>
        <w:jc w:val="left"/>
      </w:pPr>
      <w:r>
        <w:rPr>
          <w:rFonts w:ascii="Times New Roman" w:hAnsi="Times New Roman" w:eastAsia="Times New Roman"/>
          <w:b/>
          <w:i w:val="0"/>
          <w:sz w:val="24"/>
        </w:rPr>
        <w:t>4.6.4 Static XGBoost Baseline</w:t>
      </w:r>
    </w:p>
    <w:p>
      <w:pPr>
        <w:spacing w:after="240" w:before="0" w:lineRule="auto" w:line="360"/>
        <w:ind w:firstLine="720"/>
        <w:jc w:val="both"/>
      </w:pPr>
      <w:r>
        <w:rPr>
          <w:rFonts w:ascii="Times New Roman" w:hAnsi="Times New Roman" w:eastAsia="Times New Roman"/>
          <w:b w:val="0"/>
          <w:i w:val="0"/>
          <w:sz w:val="24"/>
        </w:rPr>
        <w:t xml:space="preserve">The static baseline combines a pre-trained XGBoost regressor with a fixed deterministic rule engine.  The model is trained on 1,600 records (80 % split) to predict the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from 21 label-encoded features (region and occupation are encoded as integers 0–7 rather than one-hot vectors).  At decision time, the model outputs a predicted mortality multiplier </w:t>
      </w:r>
      <w:r>
        <w:rPr>
          <w:rFonts w:ascii="Times New Roman" w:hAnsi="Times New Roman" w:eastAsia="Times New Roman"/>
          <w:b w:val="0"/>
          <w:i/>
          <w:sz w:val="24"/>
        </w:rPr>
        <w:t>m̂</w:t>
      </w:r>
      <w:r>
        <w:rPr>
          <w:rFonts w:ascii="Times New Roman" w:hAnsi="Times New Roman" w:eastAsia="Times New Roman"/>
          <w:b w:val="0"/>
          <w:i w:val="0"/>
          <w:sz w:val="24"/>
        </w:rPr>
        <w:t xml:space="preserve"> for the applicant, and the rule engine maps this to one of four underwriting actions: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Rule</w:t>
            </w:r>
          </w:p>
        </w:tc>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Action</w:t>
            </w:r>
          </w:p>
        </w:tc>
      </w:tr>
      <w:tr>
        <w:tc>
          <w:tcPr>
            <w:tcW w:type="dxa" w:w="2890"/>
          </w:tcPr>
          <w:p>
            <w:pPr>
              <w:spacing w:after="120" w:before="0" w:lineRule="auto" w:line="276"/>
              <w:jc w:val="left"/>
            </w:pPr>
            <w:r/>
            <w:r>
              <w:rPr>
                <w:rFonts w:ascii="Times New Roman" w:hAnsi="Times New Roman" w:eastAsia="Times New Roman"/>
                <w:b w:val="0"/>
                <w:i w:val="0"/>
                <w:sz w:val="22"/>
              </w:rPr>
              <w:t>R1</w:t>
            </w:r>
          </w:p>
        </w:tc>
        <w:tc>
          <w:tcPr>
            <w:tcW w:type="dxa" w:w="2890"/>
          </w:tcPr>
          <w:p>
            <w:pPr>
              <w:spacing w:after="120" w:before="0" w:lineRule="auto" w:line="276"/>
              <w:jc w:val="left"/>
            </w:pPr>
            <w:r/>
            <w:r>
              <w:rPr>
                <w:rFonts w:ascii="Times New Roman" w:hAnsi="Times New Roman" w:eastAsia="Times New Roman"/>
                <w:b w:val="0"/>
                <w:i/>
                <w:sz w:val="22"/>
              </w:rPr>
              <w:t>m̂ ≤ 1.5</w:t>
            </w:r>
          </w:p>
        </w:tc>
        <w:tc>
          <w:tcPr>
            <w:tcW w:type="dxa" w:w="2890"/>
          </w:tcPr>
          <w:p>
            <w:pPr>
              <w:spacing w:after="120" w:before="0" w:lineRule="auto" w:line="276"/>
              <w:jc w:val="left"/>
            </w:pPr>
            <w:r/>
            <w:r>
              <w:rPr>
                <w:rFonts w:ascii="Times New Roman" w:hAnsi="Times New Roman" w:eastAsia="Times New Roman"/>
                <w:b w:val="0"/>
                <w:i w:val="0"/>
                <w:sz w:val="22"/>
              </w:rPr>
              <w:t>STANDARD</w:t>
            </w:r>
          </w:p>
        </w:tc>
      </w:tr>
      <w:tr>
        <w:tc>
          <w:tcPr>
            <w:tcW w:type="dxa" w:w="2890"/>
          </w:tcPr>
          <w:p>
            <w:pPr>
              <w:spacing w:after="120" w:before="0" w:lineRule="auto" w:line="276"/>
              <w:jc w:val="left"/>
            </w:pPr>
            <w:r/>
            <w:r>
              <w:rPr>
                <w:rFonts w:ascii="Times New Roman" w:hAnsi="Times New Roman" w:eastAsia="Times New Roman"/>
                <w:b w:val="0"/>
                <w:i w:val="0"/>
                <w:sz w:val="22"/>
              </w:rPr>
              <w:t>R2</w:t>
            </w:r>
          </w:p>
        </w:tc>
        <w:tc>
          <w:tcPr>
            <w:tcW w:type="dxa" w:w="2890"/>
          </w:tcPr>
          <w:p>
            <w:pPr>
              <w:spacing w:after="120" w:before="0" w:lineRule="auto" w:line="276"/>
              <w:jc w:val="left"/>
            </w:pPr>
            <w:r/>
            <w:r>
              <w:rPr>
                <w:rFonts w:ascii="Times New Roman" w:hAnsi="Times New Roman" w:eastAsia="Times New Roman"/>
                <w:b w:val="0"/>
                <w:i/>
                <w:sz w:val="22"/>
              </w:rPr>
              <w:t>1.5 &lt; m̂ ≤ 2.2</w:t>
            </w:r>
          </w:p>
        </w:tc>
        <w:tc>
          <w:tcPr>
            <w:tcW w:type="dxa" w:w="2890"/>
          </w:tcPr>
          <w:p>
            <w:pPr>
              <w:spacing w:after="120" w:before="0" w:lineRule="auto" w:line="276"/>
              <w:jc w:val="left"/>
            </w:pPr>
            <w:r/>
            <w:r>
              <w:rPr>
                <w:rFonts w:ascii="Times New Roman" w:hAnsi="Times New Roman" w:eastAsia="Times New Roman"/>
                <w:b w:val="0"/>
                <w:i w:val="0"/>
                <w:sz w:val="22"/>
              </w:rPr>
              <w:t>RATED (+25 %)</w:t>
            </w:r>
          </w:p>
        </w:tc>
      </w:tr>
      <w:tr>
        <w:tc>
          <w:tcPr>
            <w:tcW w:type="dxa" w:w="2890"/>
          </w:tcPr>
          <w:p>
            <w:pPr>
              <w:spacing w:after="120" w:before="0" w:lineRule="auto" w:line="276"/>
              <w:jc w:val="left"/>
            </w:pPr>
            <w:r/>
            <w:r>
              <w:rPr>
                <w:rFonts w:ascii="Times New Roman" w:hAnsi="Times New Roman" w:eastAsia="Times New Roman"/>
                <w:b w:val="0"/>
                <w:i w:val="0"/>
                <w:sz w:val="22"/>
              </w:rPr>
              <w:t>R3</w:t>
            </w:r>
          </w:p>
        </w:tc>
        <w:tc>
          <w:tcPr>
            <w:tcW w:type="dxa" w:w="2890"/>
          </w:tcPr>
          <w:p>
            <w:pPr>
              <w:spacing w:after="120" w:before="0" w:lineRule="auto" w:line="276"/>
              <w:jc w:val="left"/>
            </w:pPr>
            <w:r/>
            <w:r>
              <w:rPr>
                <w:rFonts w:ascii="Times New Roman" w:hAnsi="Times New Roman" w:eastAsia="Times New Roman"/>
                <w:b w:val="0"/>
                <w:i/>
                <w:sz w:val="22"/>
              </w:rPr>
              <w:t>2.2 &lt; m̂ ≤ 2.6</w:t>
            </w:r>
          </w:p>
        </w:tc>
        <w:tc>
          <w:tcPr>
            <w:tcW w:type="dxa" w:w="2890"/>
          </w:tcPr>
          <w:p>
            <w:pPr>
              <w:spacing w:after="120" w:before="0" w:lineRule="auto" w:line="276"/>
              <w:jc w:val="left"/>
            </w:pPr>
            <w:r/>
            <w:r>
              <w:rPr>
                <w:rFonts w:ascii="Times New Roman" w:hAnsi="Times New Roman" w:eastAsia="Times New Roman"/>
                <w:b w:val="0"/>
                <w:i w:val="0"/>
                <w:sz w:val="22"/>
              </w:rPr>
              <w:t>REFER</w:t>
            </w:r>
          </w:p>
        </w:tc>
      </w:tr>
      <w:tr>
        <w:tc>
          <w:tcPr>
            <w:tcW w:type="dxa" w:w="2890"/>
          </w:tcPr>
          <w:p>
            <w:pPr>
              <w:spacing w:after="120" w:before="0" w:lineRule="auto" w:line="276"/>
              <w:jc w:val="left"/>
            </w:pPr>
            <w:r/>
            <w:r>
              <w:rPr>
                <w:rFonts w:ascii="Times New Roman" w:hAnsi="Times New Roman" w:eastAsia="Times New Roman"/>
                <w:b w:val="0"/>
                <w:i w:val="0"/>
                <w:sz w:val="22"/>
              </w:rPr>
              <w:t>R4</w:t>
            </w:r>
          </w:p>
        </w:tc>
        <w:tc>
          <w:tcPr>
            <w:tcW w:type="dxa" w:w="2890"/>
          </w:tcPr>
          <w:p>
            <w:pPr>
              <w:spacing w:after="120" w:before="0" w:lineRule="auto" w:line="276"/>
              <w:jc w:val="left"/>
            </w:pPr>
            <w:r/>
            <w:r>
              <w:rPr>
                <w:rFonts w:ascii="Times New Roman" w:hAnsi="Times New Roman" w:eastAsia="Times New Roman"/>
                <w:b w:val="0"/>
                <w:i/>
                <w:sz w:val="22"/>
              </w:rPr>
              <w:t>m̂ &gt; 2.6</w:t>
            </w:r>
          </w:p>
        </w:tc>
        <w:tc>
          <w:tcPr>
            <w:tcW w:type="dxa" w:w="2890"/>
          </w:tcPr>
          <w:p>
            <w:pPr>
              <w:spacing w:after="120" w:before="0" w:lineRule="auto" w:line="276"/>
              <w:jc w:val="left"/>
            </w:pPr>
            <w:r/>
            <w:r>
              <w:rPr>
                <w:rFonts w:ascii="Times New Roman" w:hAnsi="Times New Roman" w:eastAsia="Times New Roman"/>
                <w:b w:val="0"/>
                <w:i w:val="0"/>
                <w:sz w:val="22"/>
              </w:rPr>
              <w:t>DECLINE</w:t>
            </w:r>
          </w:p>
        </w:tc>
      </w:tr>
    </w:tbl>
    <w:p/>
    <w:p>
      <w:pPr>
        <w:spacing w:after="240" w:before="0" w:lineRule="auto" w:line="360"/>
        <w:ind w:firstLine="720"/>
        <w:jc w:val="both"/>
      </w:pPr>
      <w:r>
        <w:rPr>
          <w:rFonts w:ascii="Times New Roman" w:hAnsi="Times New Roman" w:eastAsia="Times New Roman"/>
          <w:b w:val="0"/>
          <w:i w:val="0"/>
          <w:sz w:val="24"/>
        </w:rPr>
        <w:t>The thresholds (1.5, 2.2, 2.6) were chosen to partition the mortality distribution into actuarially meaningful segments: low standard risk, moderate rated risk, elevated risk requiring manual review, and unacceptably high risk.  Because the static baseline does not learn from feedback, its `update()` method is a no-op; it serves as a fixed-policy benchmark against which the adaptive algorithms' regret is measured.</w:t>
      </w:r>
    </w:p>
    <w:p>
      <w:pPr>
        <w:spacing w:after="240" w:before="0" w:lineRule="auto" w:line="360"/>
        <w:jc w:val="left"/>
      </w:pPr>
      <w:r>
        <w:rPr>
          <w:rFonts w:ascii="Times New Roman" w:hAnsi="Times New Roman" w:eastAsia="Times New Roman"/>
          <w:b/>
          <w:i w:val="0"/>
          <w:sz w:val="28"/>
        </w:rPr>
        <w:t>4.7 Reward Design and Actuarial Simulator</w:t>
      </w:r>
    </w:p>
    <w:p>
      <w:pPr>
        <w:spacing w:after="240" w:before="0" w:lineRule="auto" w:line="360"/>
        <w:ind w:left="720"/>
        <w:jc w:val="left"/>
      </w:pPr>
      <w:r>
        <w:rPr>
          <w:rFonts w:ascii="Times New Roman" w:hAnsi="Times New Roman" w:eastAsia="Times New Roman"/>
          <w:b/>
          <w:i w:val="0"/>
          <w:sz w:val="24"/>
        </w:rPr>
        <w:t>4.7.1 Profit-Based Reward Formulation</w:t>
      </w:r>
    </w:p>
    <w:p>
      <w:pPr>
        <w:spacing w:after="240" w:before="0" w:lineRule="auto" w:line="360"/>
        <w:ind w:firstLine="720"/>
        <w:jc w:val="both"/>
      </w:pPr>
      <w:r>
        <w:rPr>
          <w:rFonts w:ascii="Times New Roman" w:hAnsi="Times New Roman" w:eastAsia="Times New Roman"/>
          <w:b w:val="0"/>
          <w:i w:val="0"/>
          <w:sz w:val="24"/>
        </w:rPr>
        <w:t>The actuarial reward simulator computes the profit or loss associated with each underwriting action for a given applicant.  All monetary values are expressed in US dollars, reflecting the heavily dollarised Cambodian formal-sector economy.</w:t>
      </w:r>
    </w:p>
    <w:p>
      <w:pPr>
        <w:spacing w:after="240" w:before="0" w:lineRule="auto" w:line="360"/>
        <w:ind w:firstLine="720"/>
        <w:jc w:val="both"/>
      </w:pPr>
      <w:r>
        <w:rPr>
          <w:rFonts w:ascii="Times New Roman" w:hAnsi="Times New Roman" w:eastAsia="Times New Roman"/>
          <w:b/>
          <w:i w:val="0"/>
          <w:sz w:val="24"/>
        </w:rPr>
        <w:t>Base premium and expected claims.</w:t>
      </w:r>
      <w:r>
        <w:rPr>
          <w:rFonts w:ascii="Times New Roman" w:hAnsi="Times New Roman" w:eastAsia="Times New Roman"/>
          <w:b w:val="0"/>
          <w:i w:val="0"/>
          <w:sz w:val="24"/>
        </w:rPr>
        <w:t xml:space="preserve">  The annual base premium is proportional to the applicant's mortality multiplier </w:t>
      </w:r>
      <w:r>
        <w:rPr>
          <w:rFonts w:ascii="Times New Roman" w:hAnsi="Times New Roman" w:eastAsia="Times New Roman"/>
          <w:b w:val="0"/>
          <w:i/>
          <w:sz w:val="24"/>
        </w:rPr>
        <w:t>m</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P_(base) = 200 × m   (USD/year).</w:t>
      </w:r>
    </w:p>
    <w:p>
      <w:pPr>
        <w:spacing w:after="240" w:before="0" w:lineRule="auto" w:line="360"/>
        <w:ind w:firstLine="720"/>
        <w:jc w:val="both"/>
      </w:pPr>
      <w:r>
        <w:rPr>
          <w:rFonts w:ascii="Times New Roman" w:hAnsi="Times New Roman" w:eastAsia="Times New Roman"/>
          <w:b w:val="0"/>
          <w:i w:val="0"/>
          <w:sz w:val="24"/>
        </w:rPr>
        <w:t>Expected claims are similarly scaled:</w:t>
      </w:r>
    </w:p>
    <w:p>
      <w:pPr>
        <w:spacing w:after="240" w:before="120" w:lineRule="auto" w:line="360"/>
        <w:jc w:val="center"/>
      </w:pPr>
      <w:r>
        <w:rPr>
          <w:rFonts w:ascii="Times New Roman" w:hAnsi="Times New Roman" w:eastAsia="Times New Roman"/>
          <w:b w:val="0"/>
          <w:i/>
          <w:sz w:val="24"/>
        </w:rPr>
        <w:t>Cₑₓₚ = 150 × m   (USD/year).</w:t>
      </w:r>
    </w:p>
    <w:p>
      <w:pPr>
        <w:spacing w:after="240" w:before="0" w:lineRule="auto" w:line="360"/>
        <w:ind w:firstLine="720"/>
        <w:jc w:val="both"/>
      </w:pPr>
      <w:r>
        <w:rPr>
          <w:rFonts w:ascii="Times New Roman" w:hAnsi="Times New Roman" w:eastAsia="Times New Roman"/>
          <w:b/>
          <w:i w:val="0"/>
          <w:sz w:val="24"/>
        </w:rPr>
        <w:t>Adverse-selection adjustment.</w:t>
      </w:r>
      <w:r>
        <w:rPr>
          <w:rFonts w:ascii="Times New Roman" w:hAnsi="Times New Roman" w:eastAsia="Times New Roman"/>
          <w:b w:val="0"/>
          <w:i w:val="0"/>
          <w:sz w:val="24"/>
        </w:rPr>
        <w:t xml:space="preserve">  Applicants with </w:t>
      </w:r>
      <w:r>
        <w:rPr>
          <w:rFonts w:ascii="Times New Roman" w:hAnsi="Times New Roman" w:eastAsia="Times New Roman"/>
          <w:b w:val="0"/>
          <w:i/>
          <w:sz w:val="24"/>
        </w:rPr>
        <w:t>m &gt; 2.0</w:t>
      </w:r>
      <w:r>
        <w:rPr>
          <w:rFonts w:ascii="Times New Roman" w:hAnsi="Times New Roman" w:eastAsia="Times New Roman"/>
          <w:b w:val="0"/>
          <w:i w:val="0"/>
          <w:sz w:val="24"/>
        </w:rPr>
        <w:t xml:space="preserve"> are assumed to represent an adverse-selection pool: if offered standard terms, their expected claims are inflated by a factor of 1.35 to reflect the informational advantage held by high-risk applicants who self-select into standard coverage:</w:t>
      </w:r>
    </w:p>
    <w:p>
      <w:pPr>
        <w:spacing w:after="240" w:before="120" w:lineRule="auto" w:line="360"/>
        <w:jc w:val="center"/>
      </w:pPr>
      <w:r>
        <w:rPr>
          <w:rFonts w:ascii="Times New Roman" w:hAnsi="Times New Roman" w:eastAsia="Times New Roman"/>
          <w:b w:val="0"/>
          <w:i/>
          <w:sz w:val="24"/>
        </w:rPr>
        <w:t>C_(std) = Cₑₓₚ × { 1.0, if m ≤ 2.0,; 1.35, if m &gt; 2.0 }</w:t>
      </w:r>
    </w:p>
    <w:p>
      <w:pPr>
        <w:spacing w:after="240" w:before="0" w:lineRule="auto" w:line="360"/>
        <w:ind w:firstLine="720"/>
        <w:jc w:val="both"/>
      </w:pPr>
      <w:r>
        <w:rPr>
          <w:rFonts w:ascii="Times New Roman" w:hAnsi="Times New Roman" w:eastAsia="Times New Roman"/>
          <w:b w:val="0"/>
          <w:i w:val="0"/>
          <w:sz w:val="24"/>
        </w:rPr>
        <w:t>The RATED action (+25 % premium) does not incur this adverse-selection penalty because the higher price is assumed to screen out the worst risks.</w:t>
      </w:r>
    </w:p>
    <w:p>
      <w:pPr>
        <w:spacing w:after="240" w:before="0" w:lineRule="auto" w:line="360"/>
        <w:ind w:firstLine="720"/>
        <w:jc w:val="both"/>
      </w:pPr>
      <w:r>
        <w:rPr>
          <w:rFonts w:ascii="Times New Roman" w:hAnsi="Times New Roman" w:eastAsia="Times New Roman"/>
          <w:b/>
          <w:i w:val="0"/>
          <w:sz w:val="24"/>
        </w:rPr>
        <w:t>Customer acceptance model.</w:t>
      </w:r>
      <w:r>
        <w:rPr>
          <w:rFonts w:ascii="Times New Roman" w:hAnsi="Times New Roman" w:eastAsia="Times New Roman"/>
          <w:b w:val="0"/>
          <w:i w:val="0"/>
          <w:sz w:val="24"/>
        </w:rPr>
        <w:t xml:space="preserve">  Not every quoted premium results in a bound policy.  The probability that an applicant accepts a monthly premium </w:t>
      </w:r>
      <w:r>
        <w:rPr>
          <w:rFonts w:ascii="Times New Roman" w:hAnsi="Times New Roman" w:eastAsia="Times New Roman"/>
          <w:b w:val="0"/>
          <w:i/>
          <w:sz w:val="24"/>
        </w:rPr>
        <w:t>p_(monthly) = P / 12</w:t>
      </w:r>
      <w:r>
        <w:rPr>
          <w:rFonts w:ascii="Times New Roman" w:hAnsi="Times New Roman" w:eastAsia="Times New Roman"/>
          <w:b w:val="0"/>
          <w:i w:val="0"/>
          <w:sz w:val="24"/>
        </w:rPr>
        <w:t xml:space="preserve"> decreases linearly with the premium-to-income ratio:</w:t>
      </w:r>
    </w:p>
    <w:p>
      <w:pPr>
        <w:spacing w:after="240" w:before="120" w:lineRule="auto" w:line="360"/>
        <w:jc w:val="center"/>
      </w:pPr>
      <w:r>
        <w:rPr>
          <w:rFonts w:ascii="Times New Roman" w:hAnsi="Times New Roman" w:eastAsia="Times New Roman"/>
          <w:b w:val="0"/>
          <w:i/>
          <w:sz w:val="24"/>
        </w:rPr>
        <w:t>p_(accept) = max(0.05,  0.95 - 3.5 × (p_(monthly))/(income)).</w:t>
      </w:r>
    </w:p>
    <w:p>
      <w:pPr>
        <w:spacing w:after="240" w:before="0" w:lineRule="auto" w:line="360"/>
        <w:ind w:firstLine="720"/>
        <w:jc w:val="both"/>
      </w:pPr>
      <w:r>
        <w:rPr>
          <w:rFonts w:ascii="Times New Roman" w:hAnsi="Times New Roman" w:eastAsia="Times New Roman"/>
          <w:b w:val="0"/>
          <w:i w:val="0"/>
          <w:sz w:val="24"/>
        </w:rPr>
        <w:t xml:space="preserve">The intercept 0.95 captures near-universal acceptance when the premium is negligible; the slope 3.5 ensures that a premium exceeding ~27 % of monthly income drives acceptance below 5 %, at which point the applicant is effectively lost.  In the stochastic simulator, if the customer rejects the offer the insurer incurs a </w:t>
      </w:r>
      <w:r>
        <w:rPr>
          <w:rFonts w:ascii="Times New Roman" w:hAnsi="Times New Roman" w:eastAsia="Times New Roman"/>
          <w:b/>
          <w:i w:val="0"/>
          <w:sz w:val="24"/>
        </w:rPr>
        <w:t>walk cost</w:t>
      </w:r>
      <w:r>
        <w:rPr>
          <w:rFonts w:ascii="Times New Roman" w:hAnsi="Times New Roman" w:eastAsia="Times New Roman"/>
          <w:b w:val="0"/>
          <w:i w:val="0"/>
          <w:sz w:val="24"/>
        </w:rPr>
        <w:t xml:space="preserve"> of </w:t>
      </w:r>
      <w:r>
        <w:rPr>
          <w:rFonts w:ascii="Times New Roman" w:hAnsi="Times New Roman" w:eastAsia="Times New Roman"/>
          <w:b w:val="0"/>
          <w:i/>
          <w:sz w:val="24"/>
        </w:rPr>
        <w:t>-$20</w:t>
      </w:r>
      <w:r>
        <w:rPr>
          <w:rFonts w:ascii="Times New Roman" w:hAnsi="Times New Roman" w:eastAsia="Times New Roman"/>
          <w:b w:val="0"/>
          <w:i w:val="0"/>
          <w:sz w:val="24"/>
        </w:rPr>
        <w:t xml:space="preserve"> (acquisition marketing sunk cost); in the expected-value formulation used for the bandit reward, the corresponding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is </w:t>
      </w:r>
      <w:r>
        <w:rPr>
          <w:rFonts w:ascii="Times New Roman" w:hAnsi="Times New Roman" w:eastAsia="Times New Roman"/>
          <w:b w:val="0"/>
          <w:i/>
          <w:sz w:val="24"/>
        </w:rPr>
        <w:t>-$25</w:t>
      </w:r>
      <w:r>
        <w:rPr>
          <w:rFonts w:ascii="Times New Roman" w:hAnsi="Times New Roman" w:eastAsia="Times New Roman"/>
          <w:b w:val="0"/>
          <w:i w:val="0"/>
          <w:sz w:val="24"/>
        </w:rPr>
        <w:t>, representing the deterministic underwriting staff time and system overhead consumed for every quoted applicant whether or not they accept.</w:t>
      </w:r>
    </w:p>
    <w:p>
      <w:pPr>
        <w:spacing w:after="240" w:before="0" w:lineRule="auto" w:line="360"/>
        <w:ind w:left="720"/>
        <w:jc w:val="left"/>
      </w:pPr>
      <w:r>
        <w:rPr>
          <w:rFonts w:ascii="Times New Roman" w:hAnsi="Times New Roman" w:eastAsia="Times New Roman"/>
          <w:b/>
          <w:i w:val="0"/>
          <w:sz w:val="24"/>
        </w:rPr>
        <w:t>4.7.2 Action-Specific Reward Functions</w:t>
      </w:r>
    </w:p>
    <w:p>
      <w:pPr>
        <w:spacing w:after="240" w:before="0" w:lineRule="auto" w:line="360"/>
        <w:ind w:firstLine="720"/>
        <w:jc w:val="both"/>
      </w:pPr>
      <w:r>
        <w:rPr>
          <w:rFonts w:ascii="Times New Roman" w:hAnsi="Times New Roman" w:eastAsia="Times New Roman"/>
          <w:b w:val="0"/>
          <w:i w:val="0"/>
          <w:sz w:val="24"/>
        </w:rPr>
        <w:t xml:space="preserve">Table 4.7.2 summarises the reward computation for each of the four underwriting actions.  All expressions use the expected-value formulation (deterministic oracle); the stochastic simulator adds claims noise </w:t>
      </w:r>
      <w:r>
        <w:rPr>
          <w:rFonts w:ascii="Times New Roman" w:hAnsi="Times New Roman" w:eastAsia="Times New Roman"/>
          <w:b w:val="0"/>
          <w:i/>
          <w:sz w:val="24"/>
        </w:rPr>
        <w:t>νₜ ∼ Uniform(0.92, 1.08)</w:t>
      </w:r>
      <w:r>
        <w:rPr>
          <w:rFonts w:ascii="Times New Roman" w:hAnsi="Times New Roman" w:eastAsia="Times New Roman"/>
          <w:b w:val="0"/>
          <w:i w:val="0"/>
          <w:sz w:val="24"/>
        </w:rPr>
        <w:t xml:space="preserve"> and a Bernoulli acceptance draw.</w:t>
      </w:r>
    </w:p>
    <w:p>
      <w:pPr>
        <w:spacing w:after="240" w:before="0" w:lineRule="auto" w:line="360"/>
        <w:ind w:firstLine="720"/>
        <w:jc w:val="both"/>
      </w:pPr>
      <w:r>
        <w:rPr>
          <w:rFonts w:ascii="Times New Roman" w:hAnsi="Times New Roman" w:eastAsia="Times New Roman"/>
          <w:b/>
          <w:i w:val="0"/>
          <w:sz w:val="24"/>
        </w:rPr>
        <w:t>Table 4.7.2 — Action-specific reward functions (expected value)</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Action</w:t>
            </w:r>
          </w:p>
        </w:tc>
        <w:tc>
          <w:tcPr>
            <w:tcW w:type="dxa" w:w="1734"/>
          </w:tcPr>
          <w:p>
            <w:pPr>
              <w:spacing w:after="120" w:before="0" w:lineRule="auto" w:line="276"/>
              <w:jc w:val="left"/>
            </w:pPr>
            <w:r/>
            <w:r>
              <w:rPr>
                <w:rFonts w:ascii="Times New Roman" w:hAnsi="Times New Roman" w:eastAsia="Times New Roman"/>
                <w:b w:val="0"/>
                <w:i w:val="0"/>
                <w:sz w:val="22"/>
              </w:rPr>
              <w:t>Premium</w:t>
            </w:r>
          </w:p>
        </w:tc>
        <w:tc>
          <w:tcPr>
            <w:tcW w:type="dxa" w:w="1734"/>
          </w:tcPr>
          <w:p>
            <w:pPr>
              <w:spacing w:after="120" w:before="0" w:lineRule="auto" w:line="276"/>
              <w:jc w:val="left"/>
            </w:pPr>
            <w:r/>
            <w:r>
              <w:rPr>
                <w:rFonts w:ascii="Times New Roman" w:hAnsi="Times New Roman" w:eastAsia="Times New Roman"/>
                <w:b w:val="0"/>
                <w:i w:val="0"/>
                <w:sz w:val="22"/>
              </w:rPr>
              <w:t>Claims</w:t>
            </w:r>
          </w:p>
        </w:tc>
        <w:tc>
          <w:tcPr>
            <w:tcW w:type="dxa" w:w="1734"/>
          </w:tcPr>
          <w:p>
            <w:pPr>
              <w:spacing w:after="120" w:before="0" w:lineRule="auto" w:line="276"/>
              <w:jc w:val="left"/>
            </w:pPr>
            <w:r/>
            <w:r>
              <w:rPr>
                <w:rFonts w:ascii="Times New Roman" w:hAnsi="Times New Roman" w:eastAsia="Times New Roman"/>
                <w:b w:val="0"/>
                <w:i w:val="0"/>
                <w:sz w:val="22"/>
              </w:rPr>
              <w:t>Acceptance</w:t>
            </w:r>
          </w:p>
        </w:tc>
        <w:tc>
          <w:tcPr>
            <w:tcW w:type="dxa" w:w="1734"/>
          </w:tcPr>
          <w:p>
            <w:pPr>
              <w:spacing w:after="120" w:before="0" w:lineRule="auto" w:line="276"/>
              <w:jc w:val="left"/>
            </w:pPr>
            <w:r/>
            <w:r>
              <w:rPr>
                <w:rFonts w:ascii="Times New Roman" w:hAnsi="Times New Roman" w:eastAsia="Times New Roman"/>
                <w:b w:val="0"/>
                <w:i w:val="0"/>
                <w:sz w:val="22"/>
              </w:rPr>
              <w:t>Net Reward Formula</w:t>
            </w:r>
          </w:p>
        </w:tc>
      </w:tr>
      <w:tr>
        <w:tc>
          <w:tcPr>
            <w:tcW w:type="dxa" w:w="1734"/>
          </w:tcPr>
          <w:p>
            <w:pPr>
              <w:spacing w:after="120" w:before="0" w:lineRule="auto" w:line="276"/>
              <w:jc w:val="left"/>
            </w:pPr>
            <w:r/>
            <w:r>
              <w:rPr>
                <w:rFonts w:ascii="Times New Roman" w:hAnsi="Times New Roman" w:eastAsia="Times New Roman"/>
                <w:b w:val="0"/>
                <w:i w:val="0"/>
                <w:sz w:val="22"/>
              </w:rPr>
              <w:t>STANDARD</w:t>
            </w:r>
          </w:p>
        </w:tc>
        <w:tc>
          <w:tcPr>
            <w:tcW w:type="dxa" w:w="1734"/>
          </w:tcPr>
          <w:p>
            <w:pPr>
              <w:spacing w:after="120" w:before="0" w:lineRule="auto" w:line="276"/>
              <w:jc w:val="left"/>
            </w:pPr>
            <w:r/>
            <w:r>
              <w:rPr>
                <w:rFonts w:ascii="Times New Roman" w:hAnsi="Times New Roman" w:eastAsia="Times New Roman"/>
                <w:b w:val="0"/>
                <w:i/>
                <w:sz w:val="22"/>
              </w:rPr>
              <w:t>P_(base)</w:t>
            </w:r>
          </w:p>
        </w:tc>
        <w:tc>
          <w:tcPr>
            <w:tcW w:type="dxa" w:w="1734"/>
          </w:tcPr>
          <w:p>
            <w:pPr>
              <w:spacing w:after="120" w:before="0" w:lineRule="auto" w:line="276"/>
              <w:jc w:val="left"/>
            </w:pPr>
            <w:r/>
            <w:r>
              <w:rPr>
                <w:rFonts w:ascii="Times New Roman" w:hAnsi="Times New Roman" w:eastAsia="Times New Roman"/>
                <w:b w:val="0"/>
                <w:i/>
                <w:sz w:val="22"/>
              </w:rPr>
              <w:t>Cₑₓₚ × γ_(adv)</w:t>
            </w:r>
          </w:p>
        </w:tc>
        <w:tc>
          <w:tcPr>
            <w:tcW w:type="dxa" w:w="1734"/>
          </w:tcPr>
          <w:p>
            <w:pPr>
              <w:spacing w:after="120" w:before="0" w:lineRule="auto" w:line="276"/>
              <w:jc w:val="left"/>
            </w:pPr>
            <w:r/>
            <w:r>
              <w:rPr>
                <w:rFonts w:ascii="Times New Roman" w:hAnsi="Times New Roman" w:eastAsia="Times New Roman"/>
                <w:b w:val="0"/>
                <w:i/>
                <w:sz w:val="22"/>
              </w:rPr>
              <w:t>p_(std)</w:t>
            </w:r>
          </w:p>
        </w:tc>
        <w:tc>
          <w:tcPr>
            <w:tcW w:type="dxa" w:w="1734"/>
          </w:tcPr>
          <w:p>
            <w:pPr>
              <w:spacing w:after="120" w:before="0" w:lineRule="auto" w:line="276"/>
              <w:jc w:val="left"/>
            </w:pPr>
            <w:r/>
            <w:r>
              <w:rPr>
                <w:rFonts w:ascii="Times New Roman" w:hAnsi="Times New Roman" w:eastAsia="Times New Roman"/>
                <w:b w:val="0"/>
                <w:i/>
                <w:sz w:val="22"/>
              </w:rPr>
              <w:t>r_(std) = p_(std)(P_(base) - C_(std)) + (1-p_(std))(-25)</w:t>
            </w:r>
          </w:p>
        </w:tc>
      </w:tr>
      <w:tr>
        <w:tc>
          <w:tcPr>
            <w:tcW w:type="dxa" w:w="1734"/>
          </w:tcPr>
          <w:p>
            <w:pPr>
              <w:spacing w:after="120" w:before="0" w:lineRule="auto" w:line="276"/>
              <w:jc w:val="left"/>
            </w:pPr>
            <w:r/>
            <w:r>
              <w:rPr>
                <w:rFonts w:ascii="Times New Roman" w:hAnsi="Times New Roman" w:eastAsia="Times New Roman"/>
                <w:b w:val="0"/>
                <w:i w:val="0"/>
                <w:sz w:val="22"/>
              </w:rPr>
              <w:t>RATED</w:t>
            </w:r>
          </w:p>
        </w:tc>
        <w:tc>
          <w:tcPr>
            <w:tcW w:type="dxa" w:w="1734"/>
          </w:tcPr>
          <w:p>
            <w:pPr>
              <w:spacing w:after="120" w:before="0" w:lineRule="auto" w:line="276"/>
              <w:jc w:val="left"/>
            </w:pPr>
            <w:r/>
            <w:r>
              <w:rPr>
                <w:rFonts w:ascii="Times New Roman" w:hAnsi="Times New Roman" w:eastAsia="Times New Roman"/>
                <w:b w:val="0"/>
                <w:i/>
                <w:sz w:val="22"/>
              </w:rPr>
              <w:t>1.25   P_(base)</w:t>
            </w:r>
          </w:p>
        </w:tc>
        <w:tc>
          <w:tcPr>
            <w:tcW w:type="dxa" w:w="1734"/>
          </w:tcPr>
          <w:p>
            <w:pPr>
              <w:spacing w:after="120" w:before="0" w:lineRule="auto" w:line="276"/>
              <w:jc w:val="left"/>
            </w:pPr>
            <w:r/>
            <w:r>
              <w:rPr>
                <w:rFonts w:ascii="Times New Roman" w:hAnsi="Times New Roman" w:eastAsia="Times New Roman"/>
                <w:b w:val="0"/>
                <w:i/>
                <w:sz w:val="22"/>
              </w:rPr>
              <w:t>Cₑₓₚ</w:t>
            </w:r>
          </w:p>
        </w:tc>
        <w:tc>
          <w:tcPr>
            <w:tcW w:type="dxa" w:w="1734"/>
          </w:tcPr>
          <w:p>
            <w:pPr>
              <w:spacing w:after="120" w:before="0" w:lineRule="auto" w:line="276"/>
              <w:jc w:val="left"/>
            </w:pPr>
            <w:r/>
            <w:r>
              <w:rPr>
                <w:rFonts w:ascii="Times New Roman" w:hAnsi="Times New Roman" w:eastAsia="Times New Roman"/>
                <w:b w:val="0"/>
                <w:i/>
                <w:sz w:val="22"/>
              </w:rPr>
              <w:t>p_(rtd)</w:t>
            </w:r>
          </w:p>
        </w:tc>
        <w:tc>
          <w:tcPr>
            <w:tcW w:type="dxa" w:w="1734"/>
          </w:tcPr>
          <w:p>
            <w:pPr>
              <w:spacing w:after="120" w:before="0" w:lineRule="auto" w:line="276"/>
              <w:jc w:val="left"/>
            </w:pPr>
            <w:r/>
            <w:r>
              <w:rPr>
                <w:rFonts w:ascii="Times New Roman" w:hAnsi="Times New Roman" w:eastAsia="Times New Roman"/>
                <w:b w:val="0"/>
                <w:i/>
                <w:sz w:val="22"/>
              </w:rPr>
              <w:t>r_(rtd) = p_(rtd)(1.25 P_(base) - Cₑₓₚ) + (1-p_(rtd))(-25)</w:t>
            </w:r>
          </w:p>
        </w:tc>
      </w:tr>
      <w:tr>
        <w:tc>
          <w:tcPr>
            <w:tcW w:type="dxa" w:w="1734"/>
          </w:tcPr>
          <w:p>
            <w:pPr>
              <w:spacing w:after="120" w:before="0" w:lineRule="auto" w:line="276"/>
              <w:jc w:val="left"/>
            </w:pPr>
            <w:r/>
            <w:r>
              <w:rPr>
                <w:rFonts w:ascii="Times New Roman" w:hAnsi="Times New Roman" w:eastAsia="Times New Roman"/>
                <w:b w:val="0"/>
                <w:i w:val="0"/>
                <w:sz w:val="22"/>
              </w:rPr>
              <w:t>DECLINE</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r_(dcl) = -10</w:t>
            </w:r>
          </w:p>
        </w:tc>
      </w:tr>
      <w:tr>
        <w:tc>
          <w:tcPr>
            <w:tcW w:type="dxa" w:w="1734"/>
          </w:tcPr>
          <w:p>
            <w:pPr>
              <w:spacing w:after="120" w:before="0" w:lineRule="auto" w:line="276"/>
              <w:jc w:val="left"/>
            </w:pPr>
            <w:r/>
            <w:r>
              <w:rPr>
                <w:rFonts w:ascii="Times New Roman" w:hAnsi="Times New Roman" w:eastAsia="Times New Roman"/>
                <w:b w:val="0"/>
                <w:i w:val="0"/>
                <w:sz w:val="22"/>
              </w:rPr>
              <w:t>REFER</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r_(ref) = 0.70 × max(r_(std), r_(rtd), r_(dcl)) - 35</w:t>
            </w:r>
          </w:p>
        </w:tc>
      </w:tr>
    </w:tbl>
    <w:p/>
    <w:p>
      <w:pPr>
        <w:spacing w:after="240" w:before="0" w:lineRule="auto" w:line="36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-$25</w:t>
      </w:r>
      <w:r>
        <w:rPr>
          <w:rFonts w:ascii="Times New Roman" w:hAnsi="Times New Roman" w:eastAsia="Times New Roman"/>
          <w:b w:val="0"/>
          <w:i w:val="0"/>
          <w:sz w:val="24"/>
        </w:rPr>
        <w:t xml:space="preserve"> term in the STANDARD and RATED rows is the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(`config.processing_cost` in `underwriting_bandit.py`) charged whenever the applicant is quoted but does not bind a policy: it covers underwriting staff time and system overhead.  In the stochastic simulator, claims are multiplied by </w:t>
      </w:r>
      <w:r>
        <w:rPr>
          <w:rFonts w:ascii="Times New Roman" w:hAnsi="Times New Roman" w:eastAsia="Times New Roman"/>
          <w:b w:val="0"/>
          <w:i/>
          <w:sz w:val="24"/>
        </w:rPr>
        <w:t>νₜ</w:t>
      </w:r>
      <w:r>
        <w:rPr>
          <w:rFonts w:ascii="Times New Roman" w:hAnsi="Times New Roman" w:eastAsia="Times New Roman"/>
          <w:b w:val="0"/>
          <w:i w:val="0"/>
          <w:sz w:val="24"/>
        </w:rPr>
        <w:t xml:space="preserve">, acceptance is drawn from </w:t>
      </w:r>
      <w:r>
        <w:rPr>
          <w:rFonts w:ascii="Times New Roman" w:hAnsi="Times New Roman" w:eastAsia="Times New Roman"/>
          <w:b w:val="0"/>
          <w:i/>
          <w:sz w:val="24"/>
        </w:rPr>
        <w:t>Bernoulli(p_(accept))</w:t>
      </w:r>
      <w:r>
        <w:rPr>
          <w:rFonts w:ascii="Times New Roman" w:hAnsi="Times New Roman" w:eastAsia="Times New Roman"/>
          <w:b w:val="0"/>
          <w:i w:val="0"/>
          <w:sz w:val="24"/>
        </w:rPr>
        <w:t xml:space="preserve">, and the unbound case incurs the slightly different walk cost of </w:t>
      </w:r>
      <w:r>
        <w:rPr>
          <w:rFonts w:ascii="Times New Roman" w:hAnsi="Times New Roman" w:eastAsia="Times New Roman"/>
          <w:b w:val="0"/>
          <w:i/>
          <w:sz w:val="24"/>
        </w:rPr>
        <w:t>-$20</w:t>
      </w:r>
      <w:r>
        <w:rPr>
          <w:rFonts w:ascii="Times New Roman" w:hAnsi="Times New Roman" w:eastAsia="Times New Roman"/>
          <w:b w:val="0"/>
          <w:i w:val="0"/>
          <w:sz w:val="24"/>
        </w:rPr>
        <w:t xml:space="preserve"> (`config.walk_cost`); the two values differ because the expected-value formula amortises a deterministic overhead while the stochastic walk cost models the acquisition-marketing sunk cost only.</w:t>
      </w:r>
    </w:p>
    <w:p>
      <w:pPr>
        <w:spacing w:after="240" w:before="0" w:lineRule="auto" w:line="360"/>
        <w:ind w:left="720"/>
        <w:jc w:val="left"/>
      </w:pPr>
      <w:r>
        <w:rPr>
          <w:rFonts w:ascii="Times New Roman" w:hAnsi="Times New Roman" w:eastAsia="Times New Roman"/>
          <w:b/>
          <w:i w:val="0"/>
          <w:sz w:val="24"/>
        </w:rPr>
        <w:t>4.7.3 Design Rationale</w:t>
      </w:r>
    </w:p>
    <w:p>
      <w:pPr>
        <w:spacing w:after="240" w:before="0" w:lineRule="auto" w:line="360"/>
        <w:ind w:firstLine="720"/>
        <w:jc w:val="both"/>
      </w:pPr>
      <w:r>
        <w:rPr>
          <w:rFonts w:ascii="Times New Roman" w:hAnsi="Times New Roman" w:eastAsia="Times New Roman"/>
          <w:b w:val="0"/>
          <w:i w:val="0"/>
          <w:sz w:val="24"/>
        </w:rPr>
        <w:t>The reward design encodes three actuarial intuitions beyond simple profit maximisation.</w:t>
      </w:r>
    </w:p>
    <w:p>
      <w:pPr>
        <w:spacing w:after="240" w:before="0" w:lineRule="auto" w:line="360"/>
        <w:ind w:firstLine="720"/>
        <w:jc w:val="both"/>
      </w:pPr>
      <w:r>
        <w:rPr>
          <w:rFonts w:ascii="Times New Roman" w:hAnsi="Times New Roman" w:eastAsia="Times New Roman"/>
          <w:b/>
          <w:i w:val="0"/>
          <w:sz w:val="24"/>
        </w:rPr>
        <w:t>Opportunity cost of DECLINE (−$10).</w:t>
      </w:r>
      <w:r>
        <w:rPr>
          <w:rFonts w:ascii="Times New Roman" w:hAnsi="Times New Roman" w:eastAsia="Times New Roman"/>
          <w:b w:val="0"/>
          <w:i w:val="0"/>
          <w:sz w:val="24"/>
        </w:rPr>
        <w:t xml:space="preserve">  Declining an applicant is not costless: underwriting staff have already reviewed the file, IT systems have processed the data, and the insurer forgoes the upside of a potentially profitable policy.  The −$10 figure represents an administrative opportunity cost rather than a cash outflow.  Without this penalty, a myopic algorithm might decline every borderline applicant to avoid claims variance; the small negative reward forces the bandit to compare the certain loss of −$10 against the uncertain but potentially positive expected profit of STANDARD or RATED.</w:t>
      </w:r>
    </w:p>
    <w:p>
      <w:pPr>
        <w:spacing w:after="240" w:before="0" w:lineRule="auto" w:line="360"/>
        <w:ind w:firstLine="720"/>
        <w:jc w:val="both"/>
      </w:pPr>
      <w:r>
        <w:rPr>
          <w:rFonts w:ascii="Times New Roman" w:hAnsi="Times New Roman" w:eastAsia="Times New Roman"/>
          <w:b/>
          <w:i w:val="0"/>
          <w:sz w:val="24"/>
        </w:rPr>
        <w:t>Net cost of REFER (−$35 admin + 70 % efficiency).</w:t>
      </w:r>
      <w:r>
        <w:rPr>
          <w:rFonts w:ascii="Times New Roman" w:hAnsi="Times New Roman" w:eastAsia="Times New Roman"/>
          <w:b w:val="0"/>
          <w:i w:val="0"/>
          <w:sz w:val="24"/>
        </w:rPr>
        <w:t xml:space="preserve">  The REFER action models the real-world practice of routing complex cases to a senior underwriter or medical reviewer.  The 70 % efficiency factor captures the reality that human review is imperfect: some profitable cases are declined out of conservatism, and some risky cases are approved through oversight.  The −$35 fixed administrative cost covers the senior underwriter's salary time per case.  Consequently, REFER is optimal only when the bandit is genuinely uncertain (the expected values of STANDARD, RATED, and DECLINE are close) or when the applicant's mortality multiplier is so high that even the penalised REFER reward exceeds the negative expected profit of direct issuance.</w:t>
      </w:r>
    </w:p>
    <w:p>
      <w:pPr>
        <w:spacing w:after="240" w:before="0" w:lineRule="auto" w:line="360"/>
        <w:ind w:firstLine="720"/>
        <w:jc w:val="both"/>
      </w:pPr>
      <w:r>
        <w:rPr>
          <w:rFonts w:ascii="Times New Roman" w:hAnsi="Times New Roman" w:eastAsia="Times New Roman"/>
          <w:b/>
          <w:i w:val="0"/>
          <w:sz w:val="24"/>
        </w:rPr>
        <w:t>Claims noise reduction.</w:t>
      </w:r>
      <w:r>
        <w:rPr>
          <w:rFonts w:ascii="Times New Roman" w:hAnsi="Times New Roman" w:eastAsia="Times New Roman"/>
          <w:b w:val="0"/>
          <w:i w:val="0"/>
          <w:sz w:val="24"/>
        </w:rPr>
        <w:t xml:space="preserve">  The stochastic simulator adds uniform multiplicative noise </w:t>
      </w:r>
      <w:r>
        <w:rPr>
          <w:rFonts w:ascii="Times New Roman" w:hAnsi="Times New Roman" w:eastAsia="Times New Roman"/>
          <w:b w:val="0"/>
          <w:i/>
          <w:sz w:val="24"/>
        </w:rPr>
        <w:t>νₜ ∈ [0.92, 1.08]</w:t>
      </w:r>
      <w:r>
        <w:rPr>
          <w:rFonts w:ascii="Times New Roman" w:hAnsi="Times New Roman" w:eastAsia="Times New Roman"/>
          <w:b w:val="0"/>
          <w:i w:val="0"/>
          <w:sz w:val="24"/>
        </w:rPr>
        <w:t xml:space="preserve"> to claims.  This narrow band (±8 %) represents the irreducible uncertainty in claim costs for a single policy year; it is intentionally small so that the bandit learns from signal rather than noise, while still preventing degenerate solutions in which the oracle policy is trivially identifiable.  Early experiments with wider noise bands (±20 %) produced excessive variance in regret curves without altering the relative ranking of algorithms.</w:t>
      </w:r>
    </w:p>
    <w:p>
      <w:pPr>
        <w:spacing w:after="240" w:before="0" w:lineRule="auto" w:line="360"/>
        <w:jc w:val="left"/>
      </w:pPr>
      <w:r>
        <w:rPr>
          <w:rFonts w:ascii="Times New Roman" w:hAnsi="Times New Roman" w:eastAsia="Times New Roman"/>
          <w:b/>
          <w:i w:val="0"/>
          <w:sz w:val="28"/>
        </w:rPr>
        <w:t>4.8 PSI Guardrails and Fairness Metrics</w:t>
      </w:r>
    </w:p>
    <w:p>
      <w:pPr>
        <w:spacing w:after="240" w:before="0" w:lineRule="auto" w:line="360"/>
        <w:ind w:left="720"/>
        <w:jc w:val="left"/>
      </w:pPr>
      <w:r>
        <w:rPr>
          <w:rFonts w:ascii="Times New Roman" w:hAnsi="Times New Roman" w:eastAsia="Times New Roman"/>
          <w:b/>
          <w:i w:val="0"/>
          <w:sz w:val="24"/>
        </w:rPr>
        <w:t>4.8.1 PSI Computation</w:t>
      </w:r>
    </w:p>
    <w:p>
      <w:pPr>
        <w:spacing w:after="240" w:before="0" w:lineRule="auto" w:line="360"/>
        <w:ind w:firstLine="720"/>
        <w:jc w:val="both"/>
      </w:pPr>
      <w:r>
        <w:rPr>
          <w:rFonts w:ascii="Times New Roman" w:hAnsi="Times New Roman" w:eastAsia="Times New Roman"/>
          <w:b w:val="0"/>
          <w:i w:val="0"/>
          <w:sz w:val="24"/>
        </w:rPr>
        <w:t>The Population Stability Index measures the divergence between the demographic distribution of the approved portfolio and the reference applicant population. For categorical features (region, occupation, wealth quintile), each distinct category serves as a bin. For continuous features (age), the reference distribution is divided into four actuarially meaningful bands: 18–30, 31–45, 46–60, and 61+, consistent with standard life-insurance age grading.</w:t>
      </w:r>
    </w:p>
    <w:p>
      <w:pPr>
        <w:spacing w:after="240" w:before="0" w:lineRule="auto" w:line="360"/>
        <w:ind w:firstLine="720"/>
        <w:jc w:val="both"/>
      </w:pPr>
      <w:r>
        <w:rPr>
          <w:rFonts w:ascii="Times New Roman" w:hAnsi="Times New Roman" w:eastAsia="Times New Roman"/>
          <w:b w:val="0"/>
          <w:i w:val="0"/>
          <w:sz w:val="24"/>
        </w:rPr>
        <w:t>The PSI is computed as:</w:t>
      </w:r>
    </w:p>
    <w:p>
      <w:pPr>
        <w:spacing w:after="240" w:before="120" w:lineRule="auto" w:line="360"/>
        <w:jc w:val="center"/>
      </w:pPr>
      <w:r>
        <w:rPr>
          <w:rFonts w:ascii="Times New Roman" w:hAnsi="Times New Roman" w:eastAsia="Times New Roman"/>
          <w:b w:val="0"/>
          <w:i/>
          <w:sz w:val="24"/>
        </w:rPr>
        <w:t>PSI = Σᵢ₌₁ᴮ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(reference applicant pool) and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(approved portfolio) in bin </w:t>
      </w:r>
      <w:r>
        <w:rPr>
          <w:rFonts w:ascii="Times New Roman" w:hAnsi="Times New Roman" w:eastAsia="Times New Roman"/>
          <w:b w:val="0"/>
          <w:i/>
          <w:sz w:val="24"/>
        </w:rPr>
        <w:t>i</w:t>
      </w:r>
      <w:r>
        <w:rPr>
          <w:rFonts w:ascii="Times New Roman" w:hAnsi="Times New Roman" w:eastAsia="Times New Roman"/>
          <w:b w:val="0"/>
          <w:i w:val="0"/>
          <w:sz w:val="24"/>
        </w:rPr>
        <w:t>. Zero-frequency bins are handled by adding a small epsilon ($10^{-8}$) before normalization, following standard practice to avoid division-by-zero in the logarithm term (Siddiqi, 2006).</w:t>
      </w:r>
    </w:p>
    <w:p>
      <w:pPr>
        <w:spacing w:after="240" w:before="0" w:lineRule="auto" w:line="360"/>
        <w:ind w:firstLine="720"/>
        <w:jc w:val="both"/>
      </w:pPr>
      <w:r>
        <w:rPr>
          <w:rFonts w:ascii="Times New Roman" w:hAnsi="Times New Roman" w:eastAsia="Times New Roman"/>
          <w:b w:val="0"/>
          <w:i w:val="0"/>
          <w:sz w:val="24"/>
        </w:rPr>
        <w:t>The traffic-light thresholds originate with Lewis (1994), were codified in credit-scoring textbooks by Thomas et al. (2002), and are statistically validated by Yurdakul and Naranjo (2020):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Level</w:t>
            </w:r>
          </w:p>
        </w:tc>
        <w:tc>
          <w:tcPr>
            <w:tcW w:type="dxa" w:w="2890"/>
          </w:tcPr>
          <w:p>
            <w:pPr>
              <w:spacing w:after="120" w:before="0" w:lineRule="auto" w:line="276"/>
              <w:jc w:val="left"/>
            </w:pPr>
            <w:r/>
            <w:r>
              <w:rPr>
                <w:rFonts w:ascii="Times New Roman" w:hAnsi="Times New Roman" w:eastAsia="Times New Roman"/>
                <w:b w:val="0"/>
                <w:i w:val="0"/>
                <w:sz w:val="22"/>
              </w:rPr>
              <w:t>PSI Range</w:t>
            </w:r>
          </w:p>
        </w:tc>
        <w:tc>
          <w:tcPr>
            <w:tcW w:type="dxa" w:w="2890"/>
          </w:tcPr>
          <w:p>
            <w:pPr>
              <w:spacing w:after="120" w:before="0" w:lineRule="auto" w:line="276"/>
              <w:jc w:val="left"/>
            </w:pPr>
            <w:r/>
            <w:r>
              <w:rPr>
                <w:rFonts w:ascii="Times New Roman" w:hAnsi="Times New Roman" w:eastAsia="Times New Roman"/>
                <w:b w:val="0"/>
                <w:i w:val="0"/>
                <w:sz w:val="22"/>
              </w:rPr>
              <w:t>Interpretation</w:t>
            </w:r>
          </w:p>
        </w:tc>
      </w:tr>
      <w:tr>
        <w:tc>
          <w:tcPr>
            <w:tcW w:type="dxa" w:w="2890"/>
          </w:tcPr>
          <w:p>
            <w:pPr>
              <w:spacing w:after="120" w:before="0" w:lineRule="auto" w:line="276"/>
              <w:jc w:val="left"/>
            </w:pPr>
            <w:r/>
            <w:r>
              <w:rPr>
                <w:rFonts w:ascii="Times New Roman" w:hAnsi="Times New Roman" w:eastAsia="Times New Roman"/>
                <w:b w:val="0"/>
                <w:i w:val="0"/>
                <w:sz w:val="22"/>
              </w:rPr>
              <w:t>GREEN</w:t>
            </w:r>
          </w:p>
        </w:tc>
        <w:tc>
          <w:tcPr>
            <w:tcW w:type="dxa" w:w="2890"/>
          </w:tcPr>
          <w:p>
            <w:pPr>
              <w:spacing w:after="120" w:before="0" w:lineRule="auto" w:line="276"/>
              <w:jc w:val="left"/>
            </w:pPr>
            <w:r/>
            <w:r>
              <w:rPr>
                <w:rFonts w:ascii="Times New Roman" w:hAnsi="Times New Roman" w:eastAsia="Times New Roman"/>
                <w:b w:val="0"/>
                <w:i/>
                <w:sz w:val="22"/>
              </w:rPr>
              <w:t>&lt;</w:t>
            </w:r>
            <w:r>
              <w:rPr>
                <w:rFonts w:ascii="Times New Roman" w:hAnsi="Times New Roman" w:eastAsia="Times New Roman"/>
                <w:b w:val="0"/>
                <w:i w:val="0"/>
                <w:sz w:val="22"/>
              </w:rPr>
              <w:t xml:space="preserve"> 0.10</w:t>
            </w:r>
          </w:p>
        </w:tc>
        <w:tc>
          <w:tcPr>
            <w:tcW w:type="dxa" w:w="2890"/>
          </w:tcPr>
          <w:p>
            <w:pPr>
              <w:spacing w:after="120" w:before="0" w:lineRule="auto" w:line="276"/>
              <w:jc w:val="left"/>
            </w:pPr>
            <w:r/>
            <w:r>
              <w:rPr>
                <w:rFonts w:ascii="Times New Roman" w:hAnsi="Times New Roman" w:eastAsia="Times New Roman"/>
                <w:b w:val="0"/>
                <w:i w:val="0"/>
                <w:sz w:val="22"/>
              </w:rPr>
              <w:t>Little or no shift; portfolio is demographically stable</w:t>
            </w:r>
          </w:p>
        </w:tc>
      </w:tr>
      <w:tr>
        <w:tc>
          <w:tcPr>
            <w:tcW w:type="dxa" w:w="2890"/>
          </w:tcPr>
          <w:p>
            <w:pPr>
              <w:spacing w:after="120" w:before="0" w:lineRule="auto" w:line="276"/>
              <w:jc w:val="left"/>
            </w:pPr>
            <w:r/>
            <w:r>
              <w:rPr>
                <w:rFonts w:ascii="Times New Roman" w:hAnsi="Times New Roman" w:eastAsia="Times New Roman"/>
                <w:b w:val="0"/>
                <w:i w:val="0"/>
                <w:sz w:val="22"/>
              </w:rPr>
              <w:t>AMBER</w:t>
            </w:r>
          </w:p>
        </w:tc>
        <w:tc>
          <w:tcPr>
            <w:tcW w:type="dxa" w:w="2890"/>
          </w:tcPr>
          <w:p>
            <w:pPr>
              <w:spacing w:after="120" w:before="0" w:lineRule="auto" w:line="276"/>
              <w:jc w:val="left"/>
            </w:pPr>
            <w:r/>
            <w:r>
              <w:rPr>
                <w:rFonts w:ascii="Times New Roman" w:hAnsi="Times New Roman" w:eastAsia="Times New Roman"/>
                <w:b w:val="0"/>
                <w:i w:val="0"/>
                <w:sz w:val="22"/>
              </w:rPr>
              <w:t>0.10 – 0.25</w:t>
            </w:r>
          </w:p>
        </w:tc>
        <w:tc>
          <w:tcPr>
            <w:tcW w:type="dxa" w:w="2890"/>
          </w:tcPr>
          <w:p>
            <w:pPr>
              <w:spacing w:after="120" w:before="0" w:lineRule="auto" w:line="276"/>
              <w:jc w:val="left"/>
            </w:pPr>
            <w:r/>
            <w:r>
              <w:rPr>
                <w:rFonts w:ascii="Times New Roman" w:hAnsi="Times New Roman" w:eastAsia="Times New Roman"/>
                <w:b w:val="0"/>
                <w:i w:val="0"/>
                <w:sz w:val="22"/>
              </w:rPr>
              <w:t>Moderate shift; trigger manual review of segment exclusion</w:t>
            </w:r>
          </w:p>
        </w:tc>
      </w:tr>
      <w:tr>
        <w:tc>
          <w:tcPr>
            <w:tcW w:type="dxa" w:w="2890"/>
          </w:tcPr>
          <w:p>
            <w:pPr>
              <w:spacing w:after="120" w:before="0" w:lineRule="auto" w:line="276"/>
              <w:jc w:val="left"/>
            </w:pPr>
            <w:r/>
            <w:r>
              <w:rPr>
                <w:rFonts w:ascii="Times New Roman" w:hAnsi="Times New Roman" w:eastAsia="Times New Roman"/>
                <w:b w:val="0"/>
                <w:i w:val="0"/>
                <w:sz w:val="22"/>
              </w:rPr>
              <w:t>RED</w:t>
            </w:r>
          </w:p>
        </w:tc>
        <w:tc>
          <w:tcPr>
            <w:tcW w:type="dxa" w:w="2890"/>
          </w:tcPr>
          <w:p>
            <w:pPr>
              <w:spacing w:after="120" w:before="0" w:lineRule="auto" w:line="276"/>
              <w:jc w:val="left"/>
            </w:pPr>
            <w:r/>
            <w:r>
              <w:rPr>
                <w:rFonts w:ascii="Times New Roman" w:hAnsi="Times New Roman" w:eastAsia="Times New Roman"/>
                <w:b w:val="0"/>
                <w:i/>
                <w:sz w:val="22"/>
              </w:rPr>
              <w:t>&gt;</w:t>
            </w:r>
            <w:r>
              <w:rPr>
                <w:rFonts w:ascii="Times New Roman" w:hAnsi="Times New Roman" w:eastAsia="Times New Roman"/>
                <w:b w:val="0"/>
                <w:i w:val="0"/>
                <w:sz w:val="22"/>
              </w:rPr>
              <w:t xml:space="preserve"> 0.25</w:t>
            </w:r>
          </w:p>
        </w:tc>
        <w:tc>
          <w:tcPr>
            <w:tcW w:type="dxa" w:w="2890"/>
          </w:tcPr>
          <w:p>
            <w:pPr>
              <w:spacing w:after="120" w:before="0" w:lineRule="auto" w:line="276"/>
              <w:jc w:val="left"/>
            </w:pPr>
            <w:r/>
            <w:r>
              <w:rPr>
                <w:rFonts w:ascii="Times New Roman" w:hAnsi="Times New Roman" w:eastAsia="Times New Roman"/>
                <w:b w:val="0"/>
                <w:i w:val="0"/>
                <w:sz w:val="22"/>
              </w:rPr>
              <w:t>Significant shift; freeze auto-approval and escalate to actuarial team</w:t>
            </w:r>
          </w:p>
        </w:tc>
      </w:tr>
    </w:tbl>
    <w:p/>
    <w:p>
      <w:pPr>
        <w:spacing w:after="240" w:before="0" w:lineRule="auto" w:line="360"/>
        <w:ind w:firstLine="720"/>
        <w:jc w:val="both"/>
      </w:pPr>
      <w:r>
        <w:rPr>
          <w:rFonts w:ascii="Times New Roman" w:hAnsi="Times New Roman" w:eastAsia="Times New Roman"/>
          <w:b w:val="0"/>
          <w:i w:val="0"/>
          <w:sz w:val="24"/>
        </w:rPr>
        <w:t>These thresholds are applied independently to each monitored dimension. A RED alert on any dimension overrides the bandit's decision for the corresponding segment until the drift is investigated.</w:t>
      </w:r>
    </w:p>
    <w:p>
      <w:pPr>
        <w:spacing w:after="240" w:before="0" w:lineRule="auto" w:line="360"/>
        <w:ind w:left="720"/>
        <w:jc w:val="left"/>
      </w:pPr>
      <w:r>
        <w:rPr>
          <w:rFonts w:ascii="Times New Roman" w:hAnsi="Times New Roman" w:eastAsia="Times New Roman"/>
          <w:b/>
          <w:i w:val="0"/>
          <w:sz w:val="24"/>
        </w:rPr>
        <w:t>4.8.2 Fairness Constraints</w:t>
      </w:r>
    </w:p>
    <w:p>
      <w:pPr>
        <w:spacing w:after="240" w:before="0" w:lineRule="auto" w:line="360"/>
        <w:ind w:firstLine="720"/>
        <w:jc w:val="both"/>
      </w:pPr>
      <w:r>
        <w:rPr>
          <w:rFonts w:ascii="Times New Roman" w:hAnsi="Times New Roman" w:eastAsia="Times New Roman"/>
          <w:b w:val="0"/>
          <w:i w:val="0"/>
          <w:sz w:val="24"/>
        </w:rPr>
        <w:t xml:space="preserve">In addition to PSI drift monitoring, the fairness audit evaluates </w:t>
      </w:r>
      <w:r>
        <w:rPr>
          <w:rFonts w:ascii="Times New Roman" w:hAnsi="Times New Roman" w:eastAsia="Times New Roman"/>
          <w:b/>
          <w:i w:val="0"/>
          <w:sz w:val="24"/>
        </w:rPr>
        <w:t>approval-rate parity</w:t>
      </w:r>
      <w:r>
        <w:rPr>
          <w:rFonts w:ascii="Times New Roman" w:hAnsi="Times New Roman" w:eastAsia="Times New Roman"/>
          <w:b w:val="0"/>
          <w:i w:val="0"/>
          <w:sz w:val="24"/>
        </w:rPr>
        <w:t xml:space="preserve"> across demographic subgroups.  An applicant is considered "approved" if the bandit selects STANDARD or RATED (i.e., a policy is issued).  For each protected dimension (region and occupation), the approval rate of every subgroup is computed and divided by the maximum subgroup approval rate.  The pre-registered fairness constraint is the U.S. Equal Employment Opportunity Commission </w:t>
      </w:r>
      <w:r>
        <w:rPr>
          <w:rFonts w:ascii="Times New Roman" w:hAnsi="Times New Roman" w:eastAsia="Times New Roman"/>
          <w:b/>
          <w:i w:val="0"/>
          <w:sz w:val="24"/>
        </w:rPr>
        <w:t>"four-fifths" rule</w:t>
      </w:r>
      <w:r>
        <w:rPr>
          <w:rFonts w:ascii="Times New Roman" w:hAnsi="Times New Roman" w:eastAsia="Times New Roman"/>
          <w:b w:val="0"/>
          <w:i w:val="0"/>
          <w:sz w:val="24"/>
        </w:rPr>
        <w:t>: the minimum subgroup approval rate must be at least 80 % of the maximum:</w:t>
      </w:r>
    </w:p>
    <w:p>
      <w:pPr>
        <w:spacing w:after="240" w:before="120" w:lineRule="auto" w:line="360"/>
        <w:jc w:val="center"/>
      </w:pPr>
      <w:r>
        <w:rPr>
          <w:rFonts w:ascii="Times New Roman" w:hAnsi="Times New Roman" w:eastAsia="Times New Roman"/>
          <w:b w:val="0"/>
          <w:i/>
          <w:sz w:val="24"/>
        </w:rPr>
        <w:t>(ApprovalRate(g))/(max_(g') ApprovalRate(g')) ≥ 0.80   ∀   g ∈ {regions} ∪ {occupations}.</w:t>
      </w:r>
    </w:p>
    <w:p>
      <w:pPr>
        <w:spacing w:after="240" w:before="0" w:lineRule="auto" w:line="360"/>
        <w:ind w:firstLine="720"/>
        <w:jc w:val="both"/>
      </w:pPr>
      <w:r>
        <w:rPr>
          <w:rFonts w:ascii="Times New Roman" w:hAnsi="Times New Roman" w:eastAsia="Times New Roman"/>
          <w:b w:val="0"/>
          <w:i w:val="0"/>
          <w:sz w:val="24"/>
        </w:rPr>
        <w:t>The 80 % floor (EEOC 4/5 rule) is the widely cited regulatory benchmark for disparate-impact analysis. It allows actuarially justified variation (rural applicants may legitimately have higher morbidity) while drawing a bright line against systematic exclusion of any single group. The threshold is evaluated on the converged-phase decision trace (rounds 3,000–4,999), because fairness is a portfolio-level property and early-round exploration noise would inflate apparent disparity.</w:t>
      </w:r>
    </w:p>
    <w:p>
      <w:pPr>
        <w:spacing w:after="240" w:before="0" w:lineRule="auto" w:line="360"/>
        <w:ind w:left="720"/>
        <w:jc w:val="left"/>
      </w:pPr>
      <w:r>
        <w:rPr>
          <w:rFonts w:ascii="Times New Roman" w:hAnsi="Times New Roman" w:eastAsia="Times New Roman"/>
          <w:b/>
          <w:i w:val="0"/>
          <w:sz w:val="24"/>
        </w:rPr>
        <w:t>4.8.3 Integration with Bandit Loop</w:t>
      </w:r>
    </w:p>
    <w:p>
      <w:pPr>
        <w:spacing w:after="240" w:before="0" w:lineRule="auto" w:line="360"/>
        <w:ind w:firstLine="720"/>
        <w:jc w:val="both"/>
      </w:pPr>
      <w:r>
        <w:rPr>
          <w:rFonts w:ascii="Times New Roman" w:hAnsi="Times New Roman" w:eastAsia="Times New Roman"/>
          <w:b w:val="0"/>
          <w:i w:val="0"/>
          <w:sz w:val="24"/>
        </w:rPr>
        <w:t xml:space="preserve">PSI is computed after each batch of 500 decisions (a sliding window) by comparing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(STANDARD + RATED actions only) against the reference distribution of the full 2,000-record applicant pool.  The reference proportions </w:t>
      </w:r>
      <w:r>
        <w:rPr>
          <w:rFonts w:ascii="Times New Roman" w:hAnsi="Times New Roman" w:eastAsia="Times New Roman"/>
          <w:b w:val="0"/>
          <w:i/>
          <w:sz w:val="24"/>
        </w:rPr>
        <w:t>Eᵢ</w:t>
      </w:r>
      <w:r>
        <w:rPr>
          <w:rFonts w:ascii="Times New Roman" w:hAnsi="Times New Roman" w:eastAsia="Times New Roman"/>
          <w:b w:val="0"/>
          <w:i w:val="0"/>
          <w:sz w:val="24"/>
        </w:rPr>
        <w:t xml:space="preserve"> are fixed at the dataset generation stage; the actual proportions </w:t>
      </w:r>
      <w:r>
        <w:rPr>
          <w:rFonts w:ascii="Times New Roman" w:hAnsi="Times New Roman" w:eastAsia="Times New Roman"/>
          <w:b w:val="0"/>
          <w:i/>
          <w:sz w:val="24"/>
        </w:rPr>
        <w:t>Aᵢ</w:t>
      </w:r>
      <w:r>
        <w:rPr>
          <w:rFonts w:ascii="Times New Roman" w:hAnsi="Times New Roman" w:eastAsia="Times New Roman"/>
          <w:b w:val="0"/>
          <w:i w:val="0"/>
          <w:sz w:val="24"/>
        </w:rPr>
        <w:t xml:space="preserve"> are updated incrementally as new decisions accumulate.</w:t>
      </w:r>
    </w:p>
    <w:p>
      <w:pPr>
        <w:spacing w:after="240" w:before="0" w:lineRule="auto" w:line="360"/>
        <w:ind w:firstLine="720"/>
        <w:jc w:val="both"/>
      </w:pPr>
      <w:r>
        <w:rPr>
          <w:rFonts w:ascii="Times New Roman" w:hAnsi="Times New Roman" w:eastAsia="Times New Roman"/>
          <w:b w:val="0"/>
          <w:i w:val="0"/>
          <w:sz w:val="24"/>
        </w:rPr>
        <w:t xml:space="preserve">In the experimental pipeline, PSI is treated as a </w:t>
      </w:r>
      <w:r>
        <w:rPr>
          <w:rFonts w:ascii="Times New Roman" w:hAnsi="Times New Roman" w:eastAsia="Times New Roman"/>
          <w:b/>
          <w:i w:val="0"/>
          <w:sz w:val="24"/>
        </w:rPr>
        <w:t>diagnostic metric</w:t>
      </w:r>
      <w:r>
        <w:rPr>
          <w:rFonts w:ascii="Times New Roman" w:hAnsi="Times New Roman" w:eastAsia="Times New Roman"/>
          <w:b w:val="0"/>
          <w:i w:val="0"/>
          <w:sz w:val="24"/>
        </w:rPr>
        <w:t xml:space="preserve"> rather than a hard constraint: the bandit is allowed to continue learning regardless of the PSI value, and the experiment reports the maximum PSI observed across all windows.  In a production deployment (§4.10), PSI would trigger escalation rules: a GREEN reading permits normal bandit operation; an AMBER reading routes new applications from the affected subgroup to junior underwriter review; a RED reading freezes automated decisions for that subgroup and escalates to the actuarial team for investigation.  This layered response ensures that demographic drift is caught before it compounds into portfolio-level concentration risk.</w:t>
      </w:r>
    </w:p>
    <w:p>
      <w:pPr>
        <w:spacing w:after="240" w:before="0" w:lineRule="auto" w:line="360"/>
        <w:jc w:val="left"/>
      </w:pPr>
      <w:r>
        <w:rPr>
          <w:rFonts w:ascii="Times New Roman" w:hAnsi="Times New Roman" w:eastAsia="Times New Roman"/>
          <w:b/>
          <w:i w:val="0"/>
          <w:sz w:val="28"/>
        </w:rPr>
        <w:t>4.9 Experimental Design</w:t>
      </w:r>
    </w:p>
    <w:p>
      <w:pPr>
        <w:spacing w:after="240" w:before="0" w:lineRule="auto" w:line="360"/>
        <w:ind w:left="720"/>
        <w:jc w:val="left"/>
      </w:pPr>
      <w:r>
        <w:rPr>
          <w:rFonts w:ascii="Times New Roman" w:hAnsi="Times New Roman" w:eastAsia="Times New Roman"/>
          <w:b/>
          <w:i w:val="0"/>
          <w:sz w:val="24"/>
        </w:rPr>
        <w:t>4.9.1 EXP-005: Convergence Validation</w:t>
      </w:r>
    </w:p>
    <w:p>
      <w:pPr>
        <w:spacing w:after="240" w:before="0" w:lineRule="auto" w:line="360"/>
        <w:ind w:firstLine="720"/>
        <w:jc w:val="both"/>
      </w:pPr>
      <w:r>
        <w:rPr>
          <w:rFonts w:ascii="Times New Roman" w:hAnsi="Times New Roman" w:eastAsia="Times New Roman"/>
          <w:b w:val="0"/>
          <w:i w:val="0"/>
          <w:sz w:val="24"/>
        </w:rPr>
        <w:t>EXP-005 tests whether LinUCB learns a profitable underwriting policy that dominates the static XGB baseline.</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achieve higher cumulative reward and lower late-round average regret than the Static XGB baseline, and its action distribution will converge from high entropy (exploration) to lower entropy (exploitation).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Static XGB, and an Oracle policy (always selects the action with highest expected reward)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the full 2,000-record Cambodia dataset.  The experiment is repeated across 20 independent random seeds (1–20).  For each seed, bootstrap 95 % confidence intervals are computed for cumulative reward and late-round regret, and paired Wilcoxon signed-rank tests compare LinUCB against Static XGB.</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LinUCB cumulative reward significantly exceeds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LinUCB average regret in the last 500 rounds is significantly lower than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Action entropy decreases from early (rounds 1–500) to late (rounds 4,501–5,000), confirming convergence from exploration to exploitation.</w:t>
      </w:r>
    </w:p>
    <w:p>
      <w:pPr>
        <w:pStyle w:val="ListNumber"/>
        <w:ind w:left="720"/>
      </w:pPr>
      <w:r>
        <w:rPr>
          <w:rFonts w:ascii="Times New Roman" w:hAnsi="Times New Roman" w:eastAsia="Times New Roman"/>
          <w:b w:val="0"/>
          <w:i w:val="0"/>
          <w:sz w:val="24"/>
        </w:rPr>
        <w:t>Action accuracy versus the oracle in the last 500 rounds exceeds 30 % (the bandit is expected to learn a profitable policy within its feature subspace rather than converge to the oracle exactly; theoretical support for the broader claim that simple bandit methods can be rate-optimal under heterogeneous contexts is provided by Bastani, Bayati &amp; Khosravi (2021), who prove that covariate diversity alone can make exploration-free greedy near-optimal).</w:t>
      </w:r>
    </w:p>
    <w:p>
      <w:pPr>
        <w:pStyle w:val="ListNumber"/>
        <w:ind w:left="720"/>
      </w:pPr>
      <w:r>
        <w:rPr>
          <w:rFonts w:ascii="Times New Roman" w:hAnsi="Times New Roman" w:eastAsia="Times New Roman"/>
          <w:b w:val="0"/>
          <w:i w:val="0"/>
          <w:sz w:val="24"/>
        </w:rPr>
        <w:t>Oracle action accuracy equals 100 % (sanity check).</w:t>
      </w:r>
    </w:p>
    <w:p>
      <w:pPr>
        <w:spacing w:after="240" w:before="0" w:lineRule="auto" w:line="360"/>
        <w:ind w:left="720"/>
        <w:jc w:val="left"/>
      </w:pPr>
      <w:r>
        <w:rPr>
          <w:rFonts w:ascii="Times New Roman" w:hAnsi="Times New Roman" w:eastAsia="Times New Roman"/>
          <w:b/>
          <w:i w:val="0"/>
          <w:sz w:val="24"/>
        </w:rPr>
        <w:t>4.9.2 EXP-006: Fairness Audit</w:t>
      </w:r>
    </w:p>
    <w:p>
      <w:pPr>
        <w:spacing w:after="240" w:before="0" w:lineRule="auto" w:line="360"/>
        <w:ind w:firstLine="720"/>
        <w:jc w:val="both"/>
      </w:pPr>
      <w:r>
        <w:rPr>
          <w:rFonts w:ascii="Times New Roman" w:hAnsi="Times New Roman" w:eastAsia="Times New Roman"/>
          <w:b w:val="0"/>
          <w:i w:val="0"/>
          <w:sz w:val="24"/>
        </w:rPr>
        <w:t>EXP-006 evaluates whether LinUCB introduces demographic bias into the approved portfolio.</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satisfy the EEOC 4/5 (≥ 80 %) approval-rate parity constraint for every region and occupation subgroup, and the maximum PSI across all 500-round windows will remain below the 0.25 RED threshold for both region and occupation.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is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over 20 seeds.  After each run, approval rates are computed per region and per occupation, and PSI is evaluated on a sliding window of 500 decisions (10 windows total).  Permutation tests assess whether approval is independent of region and occupation.  Bonferroni correction is applied for multiple comparisons.</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Minimum region approval rate ≥ 80 % of maximum region approval rate (EEOC 4/5 rule).</w:t>
      </w:r>
    </w:p>
    <w:p>
      <w:pPr>
        <w:pStyle w:val="ListNumber"/>
        <w:ind w:left="720"/>
      </w:pPr>
      <w:r>
        <w:rPr>
          <w:rFonts w:ascii="Times New Roman" w:hAnsi="Times New Roman" w:eastAsia="Times New Roman"/>
          <w:b w:val="0"/>
          <w:i w:val="0"/>
          <w:sz w:val="24"/>
        </w:rPr>
        <w:t>Minimum occupation approval rate ≥ 80 % of maximum occupation approval rate (EEOC 4/5 rule).</w:t>
      </w:r>
    </w:p>
    <w:p>
      <w:pPr>
        <w:pStyle w:val="ListNumber"/>
        <w:ind w:left="720"/>
      </w:pPr>
      <w:r>
        <w:rPr>
          <w:rFonts w:ascii="Times New Roman" w:hAnsi="Times New Roman" w:eastAsia="Times New Roman"/>
          <w:b w:val="0"/>
          <w:i w:val="0"/>
          <w:sz w:val="24"/>
        </w:rPr>
        <w:t>Maximum region sliding-window PSI &lt; 0.25.</w:t>
      </w:r>
    </w:p>
    <w:p>
      <w:pPr>
        <w:pStyle w:val="ListNumber"/>
        <w:ind w:left="720"/>
      </w:pPr>
      <w:r>
        <w:rPr>
          <w:rFonts w:ascii="Times New Roman" w:hAnsi="Times New Roman" w:eastAsia="Times New Roman"/>
          <w:b w:val="0"/>
          <w:i w:val="0"/>
          <w:sz w:val="24"/>
        </w:rPr>
        <w:t>Maximum occupation sliding-window PSI &lt; 0.25.</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region (Bonferroni-corrected).</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occupation (Bonferroni-corrected).</w:t>
      </w:r>
    </w:p>
    <w:p>
      <w:pPr>
        <w:spacing w:after="240" w:before="0" w:lineRule="auto" w:line="360"/>
        <w:ind w:left="720"/>
        <w:jc w:val="left"/>
      </w:pPr>
      <w:r>
        <w:rPr>
          <w:rFonts w:ascii="Times New Roman" w:hAnsi="Times New Roman" w:eastAsia="Times New Roman"/>
          <w:b/>
          <w:i w:val="0"/>
          <w:sz w:val="24"/>
        </w:rPr>
        <w:t>4.9.3 EXP-007: Benchmark Comparison</w:t>
      </w:r>
    </w:p>
    <w:p>
      <w:pPr>
        <w:spacing w:after="240" w:before="0" w:lineRule="auto" w:line="360"/>
        <w:ind w:firstLine="720"/>
        <w:jc w:val="both"/>
      </w:pPr>
      <w:r>
        <w:rPr>
          <w:rFonts w:ascii="Times New Roman" w:hAnsi="Times New Roman" w:eastAsia="Times New Roman"/>
          <w:b w:val="0"/>
          <w:i w:val="0"/>
          <w:sz w:val="24"/>
        </w:rPr>
        <w:t>EXP-007 compares all candidate algorithms on cumulative regret and reward using common random numbers to ensure fairness.</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LinTS will achieve the lowest cumulative regret, followed by LinUCB, then Epsilon-Greedy, then Static XGB.  All adaptive algorithms will significantly outperform the static baseline.</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LinTS (</w:t>
      </w:r>
      <w:r>
        <w:rPr>
          <w:rFonts w:ascii="Times New Roman" w:hAnsi="Times New Roman" w:eastAsia="Times New Roman"/>
          <w:b w:val="0"/>
          <w:i/>
          <w:sz w:val="24"/>
        </w:rPr>
        <w:t>v² = 1.0</w:t>
      </w:r>
      <w:r>
        <w:rPr>
          <w:rFonts w:ascii="Times New Roman" w:hAnsi="Times New Roman" w:eastAsia="Times New Roman"/>
          <w:b w:val="0"/>
          <w:i w:val="0"/>
          <w:sz w:val="24"/>
        </w:rPr>
        <w:t>), Epsilon-Greedy (</w:t>
      </w:r>
      <w:r>
        <w:rPr>
          <w:rFonts w:ascii="Times New Roman" w:hAnsi="Times New Roman" w:eastAsia="Times New Roman"/>
          <w:b w:val="0"/>
          <w:i/>
          <w:sz w:val="24"/>
        </w:rPr>
        <w:t>ε = 0.15</w:t>
      </w:r>
      <w:r>
        <w:rPr>
          <w:rFonts w:ascii="Times New Roman" w:hAnsi="Times New Roman" w:eastAsia="Times New Roman"/>
          <w:b w:val="0"/>
          <w:i w:val="0"/>
          <w:sz w:val="24"/>
        </w:rPr>
        <w:t xml:space="preserve">), Static XGB, and Oracle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20 seeds.  </w:t>
      </w:r>
      <w:r>
        <w:rPr>
          <w:rFonts w:ascii="Times New Roman" w:hAnsi="Times New Roman" w:eastAsia="Times New Roman"/>
          <w:b/>
          <w:i w:val="0"/>
          <w:sz w:val="24"/>
        </w:rPr>
        <w:t>Common random numbers</w:t>
      </w:r>
      <w:r>
        <w:rPr>
          <w:rFonts w:ascii="Times New Roman" w:hAnsi="Times New Roman" w:eastAsia="Times New Roman"/>
          <w:b w:val="0"/>
          <w:i w:val="0"/>
          <w:sz w:val="24"/>
        </w:rPr>
        <w:t xml:space="preserve"> are enforced: a single stream of acceptance draws and claims noise is pre-generated per seed and shared across all algorithms, so that performance differences stem solely from decision quality, not from stochastic reward variation.</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 xml:space="preserve">Oracle regret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LinUCB and LinTS regret are significantly lower than both Epsilon-Greedy and Static XGB (</w:t>
      </w:r>
      <w:r>
        <w:rPr>
          <w:rFonts w:ascii="Times New Roman" w:hAnsi="Times New Roman" w:eastAsia="Times New Roman"/>
          <w:b w:val="0"/>
          <w:i/>
          <w:sz w:val="24"/>
        </w:rPr>
        <w:t>p &lt; 0.05</w:t>
      </w:r>
      <w:r>
        <w:rPr>
          <w:rFonts w:ascii="Times New Roman" w:hAnsi="Times New Roman" w:eastAsia="Times New Roman"/>
          <w:b w:val="0"/>
          <w:i w:val="0"/>
          <w:sz w:val="24"/>
        </w:rPr>
        <w:t>, pairwise Wilcoxon with Bonferroni correction).</w:t>
      </w:r>
    </w:p>
    <w:p>
      <w:pPr>
        <w:pStyle w:val="ListNumber"/>
        <w:ind w:left="720"/>
      </w:pPr>
      <w:r>
        <w:rPr>
          <w:rFonts w:ascii="Times New Roman" w:hAnsi="Times New Roman" w:eastAsia="Times New Roman"/>
          <w:b w:val="0"/>
          <w:i w:val="0"/>
          <w:sz w:val="24"/>
        </w:rPr>
        <w:t>LinUCB and LinTS reward are significantly higher than Static XGB (</w:t>
      </w:r>
      <w:r>
        <w:rPr>
          <w:rFonts w:ascii="Times New Roman" w:hAnsi="Times New Roman" w:eastAsia="Times New Roman"/>
          <w:b w:val="0"/>
          <w:i/>
          <w:sz w:val="24"/>
        </w:rPr>
        <w:t>p &lt; 0.05</w:t>
      </w:r>
      <w:r>
        <w:rPr>
          <w:rFonts w:ascii="Times New Roman" w:hAnsi="Times New Roman" w:eastAsia="Times New Roman"/>
          <w:b w:val="0"/>
          <w:i w:val="0"/>
          <w:sz w:val="24"/>
        </w:rPr>
        <w:t>).</w:t>
      </w:r>
    </w:p>
    <w:p>
      <w:pPr>
        <w:pStyle w:val="ListNumber"/>
        <w:ind w:left="720"/>
      </w:pPr>
      <w:r>
        <w:rPr>
          <w:rFonts w:ascii="Times New Roman" w:hAnsi="Times New Roman" w:eastAsia="Times New Roman"/>
          <w:b w:val="0"/>
          <w:i w:val="0"/>
          <w:sz w:val="24"/>
        </w:rPr>
        <w:t xml:space="preserve">Oracle reward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 xml:space="preserve">Regret ordering matches theoretical prediction: </w:t>
      </w:r>
      <w:r>
        <w:rPr>
          <w:rFonts w:ascii="Times New Roman" w:hAnsi="Times New Roman" w:eastAsia="Times New Roman"/>
          <w:b w:val="0"/>
          <w:i/>
          <w:sz w:val="24"/>
        </w:rPr>
        <w:t>LinTS ≤ LinUCB ≤ EpsilonGreedy ≤ StaticXGB</w:t>
      </w:r>
      <w:r>
        <w:rPr>
          <w:rFonts w:ascii="Times New Roman" w:hAnsi="Times New Roman" w:eastAsia="Times New Roman"/>
          <w:b w:val="0"/>
          <w:i w:val="0"/>
          <w:sz w:val="24"/>
        </w:rPr>
        <w:t>.</w:t>
      </w:r>
    </w:p>
    <w:p>
      <w:pPr>
        <w:spacing w:after="240" w:before="0" w:lineRule="auto" w:line="360"/>
        <w:ind w:left="720"/>
        <w:jc w:val="left"/>
      </w:pPr>
      <w:r>
        <w:rPr>
          <w:rFonts w:ascii="Times New Roman" w:hAnsi="Times New Roman" w:eastAsia="Times New Roman"/>
          <w:b/>
          <w:i w:val="0"/>
          <w:sz w:val="24"/>
        </w:rPr>
        <w:t>4.9.4 Reproducibility Protocol</w:t>
      </w:r>
    </w:p>
    <w:p>
      <w:pPr>
        <w:spacing w:after="240" w:before="0" w:lineRule="auto" w:line="360"/>
        <w:ind w:firstLine="720"/>
        <w:jc w:val="both"/>
      </w:pPr>
      <w:r>
        <w:rPr>
          <w:rFonts w:ascii="Times New Roman" w:hAnsi="Times New Roman" w:eastAsia="Times New Roman"/>
          <w:b w:val="0"/>
          <w:i w:val="0"/>
          <w:sz w:val="24"/>
        </w:rPr>
        <w:t xml:space="preserve">All experiments are designed to be fully reproducible.  The primary random seed is </w:t>
      </w:r>
      <w:r>
        <w:rPr>
          <w:rFonts w:ascii="Times New Roman" w:hAnsi="Times New Roman" w:eastAsia="Times New Roman"/>
          <w:b/>
          <w:i w:val="0"/>
          <w:sz w:val="24"/>
        </w:rPr>
        <w:t>42</w:t>
      </w:r>
      <w:r>
        <w:rPr>
          <w:rFonts w:ascii="Times New Roman" w:hAnsi="Times New Roman" w:eastAsia="Times New Roman"/>
          <w:b w:val="0"/>
          <w:i w:val="0"/>
          <w:sz w:val="24"/>
        </w:rPr>
        <w:t>; for statistical inference, experiments are repeated across 20 independent seeds (1–20) and reported with bootstrap 95 % confidence intervals. Two supplementary experiments — EXP-010 (cold-start scan, §5.10) and EXP-012 (sensitivity sweep, §5.8) — use 10 seeds per cell by design, because repeatedly refitting baseline XGBoost models (EXP-010) and running multi-cell parameter sweeps (EXP-012) at 20 seeds would be computationally prohibitive on commodity hardware; the divergence is footnoted in each section and the source files (`exp_010_cold_start_analysis.py:253`, `exp_012_sensitivity_analysis.py:48`) carry explicit comments to the same effect.</w:t>
      </w:r>
    </w:p>
    <w:p>
      <w:pPr>
        <w:spacing w:after="240" w:before="0" w:lineRule="auto" w:line="360"/>
        <w:ind w:firstLine="720"/>
        <w:jc w:val="both"/>
      </w:pPr>
      <w:r>
        <w:rPr>
          <w:rFonts w:ascii="Times New Roman" w:hAnsi="Times New Roman" w:eastAsia="Times New Roman"/>
          <w:b/>
          <w:i w:val="0"/>
          <w:sz w:val="24"/>
        </w:rPr>
        <w:t>Software stack.</w:t>
      </w:r>
      <w:r>
        <w:rPr>
          <w:rFonts w:ascii="Times New Roman" w:hAnsi="Times New Roman" w:eastAsia="Times New Roman"/>
          <w:b w:val="0"/>
          <w:i w:val="0"/>
          <w:sz w:val="24"/>
        </w:rPr>
        <w:t xml:space="preserve">  Python 3.11, NumPy 1.24+, pandas 2.0+, scikit-learn 1.3+, XGBoost 2.0+, statsmodels 0.14+.  No GPU acceleration is required; all experiments run on a standard CPU in under five minutes per seed.</w:t>
      </w:r>
    </w:p>
    <w:p>
      <w:pPr>
        <w:spacing w:after="240" w:before="0" w:lineRule="auto" w:line="360"/>
        <w:ind w:firstLine="720"/>
        <w:jc w:val="both"/>
      </w:pPr>
      <w:r>
        <w:rPr>
          <w:rFonts w:ascii="Times New Roman" w:hAnsi="Times New Roman" w:eastAsia="Times New Roman"/>
          <w:b/>
          <w:i w:val="0"/>
          <w:sz w:val="24"/>
        </w:rPr>
        <w:t>Feature normalisation.</w:t>
      </w:r>
      <w:r>
        <w:rPr>
          <w:rFonts w:ascii="Times New Roman" w:hAnsi="Times New Roman" w:eastAsia="Times New Roman"/>
          <w:b w:val="0"/>
          <w:i w:val="0"/>
          <w:sz w:val="24"/>
        </w:rPr>
        <w:t xml:space="preserve">  Before each run, the bandit preprocessor recomputes feature means and standard deviations on the full 2,000-record dataset.  Because the dataset is fixed, these statistics are deterministic; any drift experiment that modifies the dataset must supply an external `stats` dictionary to guarantee consistent scaling.</w:t>
      </w:r>
    </w:p>
    <w:p>
      <w:pPr>
        <w:spacing w:after="240" w:before="0" w:lineRule="auto" w:line="360"/>
        <w:ind w:firstLine="720"/>
        <w:jc w:val="both"/>
      </w:pPr>
      <w:r>
        <w:rPr>
          <w:rFonts w:ascii="Times New Roman" w:hAnsi="Times New Roman" w:eastAsia="Times New Roman"/>
          <w:b/>
          <w:i w:val="0"/>
          <w:sz w:val="24"/>
        </w:rPr>
        <w:t>Exit codes.</w:t>
      </w:r>
      <w:r>
        <w:rPr>
          <w:rFonts w:ascii="Times New Roman" w:hAnsi="Times New Roman" w:eastAsia="Times New Roman"/>
          <w:b w:val="0"/>
          <w:i w:val="0"/>
          <w:sz w:val="24"/>
        </w:rPr>
        <w:t xml:space="preserve">  Every experiment script exits with code `0` if all pass criteria are satisfied and code `1` if any criterion fails.  This design allows the experiments to be run in continuous-integration pipelines as self-validating tests.</w:t>
      </w:r>
    </w:p>
    <w:p>
      <w:pPr>
        <w:spacing w:after="240" w:before="0" w:lineRule="auto" w:line="360"/>
        <w:jc w:val="left"/>
      </w:pPr>
      <w:r>
        <w:rPr>
          <w:rFonts w:ascii="Times New Roman" w:hAnsi="Times New Roman" w:eastAsia="Times New Roman"/>
          <w:b/>
          <w:i w:val="0"/>
          <w:sz w:val="28"/>
        </w:rPr>
        <w:t>4.10 Implementation and Deployment Roadmap</w:t>
      </w:r>
    </w:p>
    <w:p>
      <w:pPr>
        <w:spacing w:after="240" w:before="0" w:lineRule="auto" w:line="360"/>
        <w:ind w:firstLine="720"/>
        <w:jc w:val="both"/>
      </w:pPr>
      <w:r>
        <w:rPr>
          <w:rFonts w:ascii="Times New Roman" w:hAnsi="Times New Roman" w:eastAsia="Times New Roman"/>
          <w:b w:val="0"/>
          <w:i w:val="0"/>
          <w:sz w:val="24"/>
        </w:rPr>
        <w:t>While the experiments validate the algorithmic core, moving from a research prototype to a production actuarial system requires additional engineering layers. The deployment strategy is structured in three phases that progressively reduce human oversight while maintaining regulatory compliance.</w:t>
      </w:r>
    </w:p>
    <w:p>
      <w:pPr>
        <w:spacing w:after="240" w:before="0" w:lineRule="auto" w:line="360"/>
        <w:ind w:left="720"/>
        <w:jc w:val="left"/>
      </w:pPr>
      <w:r>
        <w:rPr>
          <w:rFonts w:ascii="Times New Roman" w:hAnsi="Times New Roman" w:eastAsia="Times New Roman"/>
          <w:b/>
          <w:i w:val="0"/>
          <w:sz w:val="24"/>
        </w:rPr>
        <w:t>4.10.1 Phase 1 — Shadow Mode (Months 1–3, design proposal)</w:t>
      </w:r>
    </w:p>
    <w:p>
      <w:pPr>
        <w:spacing w:after="240" w:before="0" w:lineRule="auto" w:line="360"/>
        <w:ind w:firstLine="720"/>
        <w:jc w:val="both"/>
      </w:pPr>
      <w:r>
        <w:rPr>
          <w:rFonts w:ascii="Times New Roman" w:hAnsi="Times New Roman" w:eastAsia="Times New Roman"/>
          <w:b w:val="0"/>
          <w:i w:val="0"/>
          <w:sz w:val="24"/>
        </w:rPr>
        <w:t xml:space="preserve">This subsection describes the recommended first phase of a production deployment. The architecture below is a </w:t>
      </w:r>
      <w:r>
        <w:rPr>
          <w:rFonts w:ascii="Times New Roman" w:hAnsi="Times New Roman" w:eastAsia="Times New Roman"/>
          <w:b w:val="0"/>
          <w:i/>
          <w:sz w:val="24"/>
        </w:rPr>
        <w:t>design proposal</w:t>
      </w:r>
      <w:r>
        <w:rPr>
          <w:rFonts w:ascii="Times New Roman" w:hAnsi="Times New Roman" w:eastAsia="Times New Roman"/>
          <w:b w:val="0"/>
          <w:i w:val="0"/>
          <w:sz w:val="24"/>
        </w:rPr>
        <w:t xml:space="preserve"> validated against the bandit core implemented in `healthrl/underwriting_bandit.py`; the production wrapper (PAS API, persistent state layer, audit logging) is recommended future work (Ch VI §6.4). The live demo (`demo/`) implements a single-tenant actuarial dashboard with the bandit and PSI logic, but does not yet provide the shadow-mode logging or multi-instance state persistence described below.</w:t>
      </w:r>
    </w:p>
    <w:p>
      <w:pPr>
        <w:spacing w:after="240" w:before="0" w:lineRule="auto" w:line="360"/>
        <w:ind w:firstLine="720"/>
        <w:jc w:val="both"/>
      </w:pPr>
      <w:r>
        <w:rPr>
          <w:rFonts w:ascii="Times New Roman" w:hAnsi="Times New Roman" w:eastAsia="Times New Roman"/>
          <w:b w:val="0"/>
          <w:i w:val="0"/>
          <w:sz w:val="24"/>
        </w:rPr>
        <w:t>In shadow mode, the contextual bandit runs alongside the existing static rule engine without making live decisions. Every incoming application is scored by both systems simultaneously. The bandit's recommendation is logged and compared against the static rule outcome, but the static rule remains the binding decision. This phase serves three purposes:</w:t>
      </w:r>
    </w:p>
    <w:p>
      <w:pPr>
        <w:pStyle w:val="ListNumber"/>
        <w:ind w:left="720"/>
      </w:pPr>
      <w:r>
        <w:rPr>
          <w:rFonts w:ascii="Times New Roman" w:hAnsi="Times New Roman" w:eastAsia="Times New Roman"/>
          <w:b/>
          <w:i w:val="0"/>
          <w:sz w:val="24"/>
        </w:rPr>
        <w:t>Calibration validation.</w:t>
      </w:r>
      <w:r>
        <w:rPr>
          <w:rFonts w:ascii="Times New Roman" w:hAnsi="Times New Roman" w:eastAsia="Times New Roman"/>
          <w:b w:val="0"/>
          <w:i w:val="0"/>
          <w:sz w:val="24"/>
        </w:rPr>
        <w:t xml:space="preserve"> Verify that the bandit's action distribution aligns with actuarial expectations for different risk segments.</w:t>
      </w:r>
    </w:p>
    <w:p>
      <w:pPr>
        <w:pStyle w:val="ListNumber"/>
        <w:ind w:left="720"/>
      </w:pPr>
      <w:r>
        <w:rPr>
          <w:rFonts w:ascii="Times New Roman" w:hAnsi="Times New Roman" w:eastAsia="Times New Roman"/>
          <w:b/>
          <w:i w:val="0"/>
          <w:sz w:val="24"/>
        </w:rPr>
        <w:t>Hyperparameter tuning.</w:t>
      </w:r>
      <w:r>
        <w:rPr>
          <w:rFonts w:ascii="Times New Roman" w:hAnsi="Times New Roman" w:eastAsia="Times New Roman"/>
          <w:b w:val="0"/>
          <w:i w:val="0"/>
          <w:sz w:val="24"/>
        </w:rPr>
        <w:t xml:space="preserve"> Adjust </w:t>
      </w:r>
      <w:r>
        <w:rPr>
          <w:rFonts w:ascii="Times New Roman" w:hAnsi="Times New Roman" w:eastAsia="Times New Roman"/>
          <w:b w:val="0"/>
          <w:i/>
          <w:sz w:val="24"/>
        </w:rPr>
        <w:t>α</w:t>
      </w:r>
      <w:r>
        <w:rPr>
          <w:rFonts w:ascii="Times New Roman" w:hAnsi="Times New Roman" w:eastAsia="Times New Roman"/>
          <w:b w:val="0"/>
          <w:i w:val="0"/>
          <w:sz w:val="24"/>
        </w:rPr>
        <w:t xml:space="preserve"> (LinUCB), </w:t>
      </w:r>
      <w:r>
        <w:rPr>
          <w:rFonts w:ascii="Times New Roman" w:hAnsi="Times New Roman" w:eastAsia="Times New Roman"/>
          <w:b w:val="0"/>
          <w:i/>
          <w:sz w:val="24"/>
        </w:rPr>
        <w:t>v²</w:t>
      </w:r>
      <w:r>
        <w:rPr>
          <w:rFonts w:ascii="Times New Roman" w:hAnsi="Times New Roman" w:eastAsia="Times New Roman"/>
          <w:b w:val="0"/>
          <w:i w:val="0"/>
          <w:sz w:val="24"/>
        </w:rPr>
        <w:t xml:space="preserve"> (LinTS), or </w:t>
      </w:r>
      <w:r>
        <w:rPr>
          <w:rFonts w:ascii="Times New Roman" w:hAnsi="Times New Roman" w:eastAsia="Times New Roman"/>
          <w:b w:val="0"/>
          <w:i/>
          <w:sz w:val="24"/>
        </w:rPr>
        <w:t>ε</w:t>
      </w:r>
      <w:r>
        <w:rPr>
          <w:rFonts w:ascii="Times New Roman" w:hAnsi="Times New Roman" w:eastAsia="Times New Roman"/>
          <w:b w:val="0"/>
          <w:i w:val="0"/>
          <w:sz w:val="24"/>
        </w:rPr>
        <w:t xml:space="preserve"> (Epsilon-Greedy) based on observed disagreement rates between the bandit and the static baseline.</w:t>
      </w:r>
    </w:p>
    <w:p>
      <w:pPr>
        <w:pStyle w:val="ListNumber"/>
        <w:ind w:left="720"/>
      </w:pPr>
      <w:r>
        <w:rPr>
          <w:rFonts w:ascii="Times New Roman" w:hAnsi="Times New Roman" w:eastAsia="Times New Roman"/>
          <w:b/>
          <w:i w:val="0"/>
          <w:sz w:val="24"/>
        </w:rPr>
        <w:t>PSI baseline establishment.</w:t>
      </w:r>
      <w:r>
        <w:rPr>
          <w:rFonts w:ascii="Times New Roman" w:hAnsi="Times New Roman" w:eastAsia="Times New Roman"/>
          <w:b w:val="0"/>
          <w:i w:val="0"/>
          <w:sz w:val="24"/>
        </w:rPr>
        <w:t xml:space="preserve"> Compute PSI for the shadow-approved portfolio against the historical applicant reference to confirm that the bandit does not introduce demographic drift even before it controls live decisions.</w:t>
      </w:r>
    </w:p>
    <w:p>
      <w:pPr>
        <w:spacing w:after="240" w:before="0" w:lineRule="auto" w:line="360"/>
        <w:ind w:firstLine="720"/>
        <w:jc w:val="both"/>
      </w:pPr>
      <w:r>
        <w:rPr>
          <w:rFonts w:ascii="Times New Roman" w:hAnsi="Times New Roman" w:eastAsia="Times New Roman"/>
          <w:b w:val="0"/>
          <w:i w:val="0"/>
          <w:sz w:val="24"/>
        </w:rPr>
        <w:t>During shadow mode, sufficient statistics (</w:t>
      </w:r>
      <w:r>
        <w:rPr>
          <w:rFonts w:ascii="Times New Roman" w:hAnsi="Times New Roman" w:eastAsia="Times New Roman"/>
          <w:b w:val="0"/>
          <w:i/>
          <w:sz w:val="24"/>
        </w:rPr>
        <w:t>Aₐ</w:t>
      </w:r>
      <w:r>
        <w:rPr>
          <w:rFonts w:ascii="Times New Roman" w:hAnsi="Times New Roman" w:eastAsia="Times New Roman"/>
          <w:b w:val="0"/>
          <w:i w:val="0"/>
          <w:sz w:val="24"/>
        </w:rPr>
        <w:t xml:space="preserve">,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for each action) are updated in real time using the static rule's outcome as a proxy reward. This warm-starts the bandit with several thousand observations before Phase 2.</w:t>
      </w:r>
    </w:p>
    <w:p>
      <w:pPr>
        <w:spacing w:after="240" w:before="0" w:lineRule="auto" w:line="360"/>
        <w:ind w:left="720"/>
        <w:jc w:val="left"/>
      </w:pPr>
      <w:r>
        <w:rPr>
          <w:rFonts w:ascii="Times New Roman" w:hAnsi="Times New Roman" w:eastAsia="Times New Roman"/>
          <w:b/>
          <w:i w:val="0"/>
          <w:sz w:val="24"/>
        </w:rPr>
        <w:t>4.10.2 Phase 2 — Assisted Underwriting (Months 4–6)</w:t>
      </w:r>
    </w:p>
    <w:p>
      <w:pPr>
        <w:spacing w:after="240" w:before="0" w:lineRule="auto" w:line="360"/>
        <w:ind w:firstLine="720"/>
        <w:jc w:val="both"/>
      </w:pPr>
      <w:r>
        <w:rPr>
          <w:rFonts w:ascii="Times New Roman" w:hAnsi="Times New Roman" w:eastAsia="Times New Roman"/>
          <w:b w:val="0"/>
          <w:i w:val="0"/>
          <w:sz w:val="24"/>
        </w:rPr>
        <w:t>In assisted mode, the bandit makes recommendations that human underwriters must confirm or override. The workflow is:</w:t>
      </w:r>
    </w:p>
    <w:p>
      <w:pPr>
        <w:pStyle w:val="ListNumber"/>
        <w:ind w:left="720"/>
      </w:pPr>
      <w:r>
        <w:rPr>
          <w:rFonts w:ascii="Times New Roman" w:hAnsi="Times New Roman" w:eastAsia="Times New Roman"/>
          <w:b w:val="0"/>
          <w:i w:val="0"/>
          <w:sz w:val="24"/>
        </w:rPr>
        <w:t>Applicant data enter the system via the Policy Administration System (PAS) API or manual web form.</w:t>
      </w:r>
    </w:p>
    <w:p>
      <w:pPr>
        <w:pStyle w:val="ListNumber"/>
        <w:ind w:left="720"/>
      </w:pPr>
      <w:r>
        <w:rPr>
          <w:rFonts w:ascii="Times New Roman" w:hAnsi="Times New Roman" w:eastAsia="Times New Roman"/>
          <w:b w:val="0"/>
          <w:i w:val="0"/>
          <w:sz w:val="24"/>
        </w:rPr>
        <w:t>The bandit selects the action with highest estimated expected reward.</w:t>
      </w:r>
    </w:p>
    <w:p>
      <w:pPr>
        <w:pStyle w:val="ListNumber"/>
        <w:ind w:left="720"/>
      </w:pPr>
      <w:r>
        <w:rPr>
          <w:rFonts w:ascii="Times New Roman" w:hAnsi="Times New Roman" w:eastAsia="Times New Roman"/>
          <w:b w:val="0"/>
          <w:i w:val="0"/>
          <w:sz w:val="24"/>
        </w:rPr>
        <w:t>The PSI guardrail validates demographic parity; if any dimension is AMBER or RED, the case is automatically escalated to a senior underwriter regardless of the bandit's recommendation.</w:t>
      </w:r>
    </w:p>
    <w:p>
      <w:pPr>
        <w:pStyle w:val="ListNumber"/>
        <w:ind w:left="720"/>
      </w:pPr>
      <w:r>
        <w:rPr>
          <w:rFonts w:ascii="Times New Roman" w:hAnsi="Times New Roman" w:eastAsia="Times New Roman"/>
          <w:b w:val="0"/>
          <w:i w:val="0"/>
          <w:sz w:val="24"/>
        </w:rPr>
        <w:t>The underwriter reviews the recommendation, context, and PSI status, then approves, modifies, or overrides.</w:t>
      </w:r>
    </w:p>
    <w:p>
      <w:pPr>
        <w:pStyle w:val="ListNumber"/>
        <w:ind w:left="720"/>
      </w:pPr>
      <w:r>
        <w:rPr>
          <w:rFonts w:ascii="Times New Roman" w:hAnsi="Times New Roman" w:eastAsia="Times New Roman"/>
          <w:b w:val="0"/>
          <w:i w:val="0"/>
          <w:sz w:val="24"/>
        </w:rPr>
        <w:t>The final human decision is logged as the observed reward and fed back to update the bandit's parameters.</w:t>
      </w:r>
    </w:p>
    <w:p>
      <w:pPr>
        <w:spacing w:after="240" w:before="0" w:lineRule="auto" w:line="360"/>
        <w:ind w:firstLine="720"/>
        <w:jc w:val="both"/>
      </w:pPr>
      <w:r>
        <w:rPr>
          <w:rFonts w:ascii="Times New Roman" w:hAnsi="Times New Roman" w:eastAsia="Times New Roman"/>
          <w:b w:val="0"/>
          <w:i w:val="0"/>
          <w:sz w:val="24"/>
        </w:rPr>
        <w:t>Key metrics tracked in Phase 2 include:</w:t>
      </w:r>
    </w:p>
    <w:p>
      <w:pPr>
        <w:pStyle w:val="ListBullet"/>
        <w:ind w:left="720"/>
      </w:pPr>
      <w:r>
        <w:rPr>
          <w:rFonts w:ascii="Times New Roman" w:hAnsi="Times New Roman" w:eastAsia="Times New Roman"/>
          <w:b/>
          <w:i w:val="0"/>
          <w:sz w:val="24"/>
        </w:rPr>
        <w:t>Override rate:</w:t>
      </w:r>
      <w:r>
        <w:rPr>
          <w:rFonts w:ascii="Times New Roman" w:hAnsi="Times New Roman" w:eastAsia="Times New Roman"/>
          <w:b w:val="0"/>
          <w:i w:val="0"/>
          <w:sz w:val="24"/>
        </w:rPr>
        <w:t xml:space="preserve"> The percentage of bandit recommendations that underwriters change. A declining override rate indicates growing trust and alignment.</w:t>
      </w:r>
    </w:p>
    <w:p>
      <w:pPr>
        <w:pStyle w:val="ListBullet"/>
        <w:ind w:left="720"/>
      </w:pPr>
      <w:r>
        <w:rPr>
          <w:rFonts w:ascii="Times New Roman" w:hAnsi="Times New Roman" w:eastAsia="Times New Roman"/>
          <w:b/>
          <w:i w:val="0"/>
          <w:sz w:val="24"/>
        </w:rPr>
        <w:t>Reward lift:</w:t>
      </w:r>
      <w:r>
        <w:rPr>
          <w:rFonts w:ascii="Times New Roman" w:hAnsi="Times New Roman" w:eastAsia="Times New Roman"/>
          <w:b w:val="0"/>
          <w:i w:val="0"/>
          <w:sz w:val="24"/>
        </w:rPr>
        <w:t xml:space="preserve"> The difference in average profit per application between bandit-recommended actions and the static baseline on the same applicant pool.</w:t>
      </w:r>
    </w:p>
    <w:p>
      <w:pPr>
        <w:pStyle w:val="ListBullet"/>
        <w:ind w:left="720"/>
      </w:pPr>
      <w:r>
        <w:rPr>
          <w:rFonts w:ascii="Times New Roman" w:hAnsi="Times New Roman" w:eastAsia="Times New Roman"/>
          <w:b/>
          <w:i w:val="0"/>
          <w:sz w:val="24"/>
        </w:rPr>
        <w:t>Fairness KPIs:</w:t>
      </w:r>
      <w:r>
        <w:rPr>
          <w:rFonts w:ascii="Times New Roman" w:hAnsi="Times New Roman" w:eastAsia="Times New Roman"/>
          <w:b w:val="0"/>
          <w:i w:val="0"/>
          <w:sz w:val="24"/>
        </w:rPr>
        <w:t xml:space="preserve"> Regional and occupational approval-rate parity, plus PSI status distribution.</w:t>
      </w:r>
    </w:p>
    <w:p>
      <w:pPr>
        <w:spacing w:after="240" w:before="0" w:lineRule="auto" w:line="360"/>
        <w:ind w:left="720"/>
        <w:jc w:val="left"/>
      </w:pPr>
      <w:r>
        <w:rPr>
          <w:rFonts w:ascii="Times New Roman" w:hAnsi="Times New Roman" w:eastAsia="Times New Roman"/>
          <w:b/>
          <w:i w:val="0"/>
          <w:sz w:val="24"/>
        </w:rPr>
        <w:t>4.10.3 Phase 3 — Automated Underwriting with Escalation (Months 7–12)</w:t>
      </w:r>
    </w:p>
    <w:p>
      <w:pPr>
        <w:spacing w:after="240" w:before="0" w:lineRule="auto" w:line="360"/>
        <w:ind w:firstLine="720"/>
        <w:jc w:val="both"/>
      </w:pPr>
      <w:r>
        <w:rPr>
          <w:rFonts w:ascii="Times New Roman" w:hAnsi="Times New Roman" w:eastAsia="Times New Roman"/>
          <w:b w:val="0"/>
          <w:i w:val="0"/>
          <w:sz w:val="24"/>
        </w:rPr>
        <w:t>In full automation, low-confidence or low-risk cases are processed without human intervention, while borderline cases continue to route through the assisted queue. The escalation logic is: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Condition</w:t>
            </w:r>
          </w:p>
        </w:tc>
        <w:tc>
          <w:tcPr>
            <w:tcW w:type="dxa" w:w="4334"/>
          </w:tcPr>
          <w:p>
            <w:pPr>
              <w:spacing w:after="120" w:before="0" w:lineRule="auto" w:line="276"/>
              <w:jc w:val="left"/>
            </w:pPr>
            <w:r/>
            <w:r>
              <w:rPr>
                <w:rFonts w:ascii="Times New Roman" w:hAnsi="Times New Roman" w:eastAsia="Times New Roman"/>
                <w:b w:val="0"/>
                <w:i w:val="0"/>
                <w:sz w:val="22"/>
              </w:rPr>
              <w:t>Routing</w:t>
            </w:r>
          </w:p>
        </w:tc>
      </w:tr>
      <w:tr>
        <w:tc>
          <w:tcPr>
            <w:tcW w:type="dxa" w:w="4334"/>
          </w:tcPr>
          <w:p>
            <w:pPr>
              <w:spacing w:after="120" w:before="0" w:lineRule="auto" w:line="276"/>
              <w:jc w:val="left"/>
            </w:pPr>
            <w:r/>
            <w:r>
              <w:rPr>
                <w:rFonts w:ascii="Times New Roman" w:hAnsi="Times New Roman" w:eastAsia="Times New Roman"/>
                <w:b w:val="0"/>
                <w:i w:val="0"/>
                <w:sz w:val="22"/>
              </w:rPr>
              <w:t>Bandit confidence &gt; 95% AND PSI = GREEN AND action ∈ {STANDARD, DECLINE}</w:t>
            </w:r>
          </w:p>
        </w:tc>
        <w:tc>
          <w:tcPr>
            <w:tcW w:type="dxa" w:w="4334"/>
          </w:tcPr>
          <w:p>
            <w:pPr>
              <w:spacing w:after="120" w:before="0" w:lineRule="auto" w:line="276"/>
              <w:jc w:val="left"/>
            </w:pPr>
            <w:r/>
            <w:r>
              <w:rPr>
                <w:rFonts w:ascii="Times New Roman" w:hAnsi="Times New Roman" w:eastAsia="Times New Roman"/>
                <w:b w:val="0"/>
                <w:i w:val="0"/>
                <w:sz w:val="22"/>
              </w:rPr>
              <w:t>Fully automated</w:t>
            </w:r>
          </w:p>
        </w:tc>
      </w:tr>
      <w:tr>
        <w:tc>
          <w:tcPr>
            <w:tcW w:type="dxa" w:w="4334"/>
          </w:tcPr>
          <w:p>
            <w:pPr>
              <w:spacing w:after="120" w:before="0" w:lineRule="auto" w:line="276"/>
              <w:jc w:val="left"/>
            </w:pPr>
            <w:r/>
            <w:r>
              <w:rPr>
                <w:rFonts w:ascii="Times New Roman" w:hAnsi="Times New Roman" w:eastAsia="Times New Roman"/>
                <w:b w:val="0"/>
                <w:i w:val="0"/>
                <w:sz w:val="22"/>
              </w:rPr>
              <w:t>Bandit confidence 80–95% OR PSI = AMBER</w:t>
            </w:r>
          </w:p>
        </w:tc>
        <w:tc>
          <w:tcPr>
            <w:tcW w:type="dxa" w:w="4334"/>
          </w:tcPr>
          <w:p>
            <w:pPr>
              <w:spacing w:after="120" w:before="0" w:lineRule="auto" w:line="276"/>
              <w:jc w:val="left"/>
            </w:pPr>
            <w:r/>
            <w:r>
              <w:rPr>
                <w:rFonts w:ascii="Times New Roman" w:hAnsi="Times New Roman" w:eastAsia="Times New Roman"/>
                <w:b w:val="0"/>
                <w:i w:val="0"/>
                <w:sz w:val="22"/>
              </w:rPr>
              <w:t>Junior underwriter review queue</w:t>
            </w:r>
          </w:p>
        </w:tc>
      </w:tr>
      <w:tr>
        <w:tc>
          <w:tcPr>
            <w:tcW w:type="dxa" w:w="4334"/>
          </w:tcPr>
          <w:p>
            <w:pPr>
              <w:spacing w:after="120" w:before="0" w:lineRule="auto" w:line="276"/>
              <w:jc w:val="left"/>
            </w:pPr>
            <w:r/>
            <w:r>
              <w:rPr>
                <w:rFonts w:ascii="Times New Roman" w:hAnsi="Times New Roman" w:eastAsia="Times New Roman"/>
                <w:b w:val="0"/>
                <w:i w:val="0"/>
                <w:sz w:val="22"/>
              </w:rPr>
              <w:t>Bandit confidence &lt; 80% OR PSI = RED OR action = REFER</w:t>
            </w:r>
          </w:p>
        </w:tc>
        <w:tc>
          <w:tcPr>
            <w:tcW w:type="dxa" w:w="4334"/>
          </w:tcPr>
          <w:p>
            <w:pPr>
              <w:spacing w:after="120" w:before="0" w:lineRule="auto" w:line="276"/>
              <w:jc w:val="left"/>
            </w:pPr>
            <w:r/>
            <w:r>
              <w:rPr>
                <w:rFonts w:ascii="Times New Roman" w:hAnsi="Times New Roman" w:eastAsia="Times New Roman"/>
                <w:b w:val="0"/>
                <w:i w:val="0"/>
                <w:sz w:val="22"/>
              </w:rPr>
              <w:t>Senior underwriter / actuarial team</w:t>
            </w:r>
          </w:p>
        </w:tc>
      </w:tr>
    </w:tbl>
    <w:p/>
    <w:p>
      <w:pPr>
        <w:spacing w:after="240" w:before="0" w:lineRule="auto" w:line="360"/>
        <w:ind w:firstLine="720"/>
        <w:jc w:val="both"/>
      </w:pPr>
      <w:r>
        <w:rPr>
          <w:rFonts w:ascii="Times New Roman" w:hAnsi="Times New Roman" w:eastAsia="Times New Roman"/>
          <w:b w:val="0"/>
          <w:i w:val="0"/>
          <w:sz w:val="24"/>
        </w:rPr>
        <w:t>Confidence is defined as the posterior probability (LinTS) or the relative gap between the best and second-best arm's UCB score (LinUCB). The automated stream is typically 60–70% of applicants, with the remainder requiring human judgment.</w:t>
      </w:r>
    </w:p>
    <w:p>
      <w:pPr>
        <w:spacing w:after="240" w:before="0" w:lineRule="auto" w:line="360"/>
        <w:ind w:left="720"/>
        <w:jc w:val="left"/>
      </w:pPr>
      <w:r>
        <w:rPr>
          <w:rFonts w:ascii="Times New Roman" w:hAnsi="Times New Roman" w:eastAsia="Times New Roman"/>
          <w:b/>
          <w:i w:val="0"/>
          <w:sz w:val="24"/>
        </w:rPr>
        <w:t>4.10.4 Technical Infrastructure for Production</w:t>
      </w:r>
    </w:p>
    <w:p>
      <w:pPr>
        <w:spacing w:after="240" w:before="0" w:lineRule="auto" w:line="360"/>
        <w:ind w:firstLine="720"/>
        <w:jc w:val="both"/>
      </w:pPr>
      <w:r>
        <w:rPr>
          <w:rFonts w:ascii="Times New Roman" w:hAnsi="Times New Roman" w:eastAsia="Times New Roman"/>
          <w:b w:val="0"/>
          <w:i w:val="0"/>
          <w:sz w:val="24"/>
        </w:rPr>
        <w:t>The bandit core (and its `demo/` wrapper) is designed to slot into a standard microservices architecture. The production extensions recommended for a full deployment are:</w:t>
      </w:r>
    </w:p>
    <w:p>
      <w:pPr>
        <w:pStyle w:val="ListNumber"/>
        <w:ind w:left="720"/>
      </w:pPr>
      <w:r>
        <w:rPr>
          <w:rFonts w:ascii="Times New Roman" w:hAnsi="Times New Roman" w:eastAsia="Times New Roman"/>
          <w:b/>
          <w:i w:val="0"/>
          <w:sz w:val="24"/>
        </w:rPr>
        <w:t>Persistent state layer.</w:t>
      </w:r>
      <w:r>
        <w:rPr>
          <w:rFonts w:ascii="Times New Roman" w:hAnsi="Times New Roman" w:eastAsia="Times New Roman"/>
          <w:b w:val="0"/>
          <w:i w:val="0"/>
          <w:sz w:val="24"/>
        </w:rPr>
        <w:t xml:space="preserve"> PostgreSQL would store the bandit's </w:t>
      </w:r>
      <w:r>
        <w:rPr>
          <w:rFonts w:ascii="Times New Roman" w:hAnsi="Times New Roman" w:eastAsia="Times New Roman"/>
          <w:b w:val="0"/>
          <w:i/>
          <w:sz w:val="24"/>
        </w:rPr>
        <w:t>Aₐ</w:t>
      </w:r>
      <w:r>
        <w:rPr>
          <w:rFonts w:ascii="Times New Roman" w:hAnsi="Times New Roman" w:eastAsia="Times New Roman"/>
          <w:b w:val="0"/>
          <w:i w:val="0"/>
          <w:sz w:val="24"/>
        </w:rPr>
        <w:t xml:space="preserve"> and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enabling warm restarts and multi-instance scaling.</w:t>
      </w:r>
    </w:p>
    <w:p>
      <w:pPr>
        <w:pStyle w:val="ListNumber"/>
        <w:ind w:left="720"/>
      </w:pPr>
      <w:r>
        <w:rPr>
          <w:rFonts w:ascii="Times New Roman" w:hAnsi="Times New Roman" w:eastAsia="Times New Roman"/>
          <w:b/>
          <w:i w:val="0"/>
          <w:sz w:val="24"/>
        </w:rPr>
        <w:t>Feedback integration.</w:t>
      </w:r>
      <w:r>
        <w:rPr>
          <w:rFonts w:ascii="Times New Roman" w:hAnsi="Times New Roman" w:eastAsia="Times New Roman"/>
          <w:b w:val="0"/>
          <w:i w:val="0"/>
          <w:sz w:val="24"/>
        </w:rPr>
        <w:t xml:space="preserve"> A `/feedback` endpoint would receive post-decision outcomes from the PAS: policy accepted, lapsed, claims paid, final profit/loss.</w:t>
      </w:r>
    </w:p>
    <w:p>
      <w:pPr>
        <w:pStyle w:val="ListNumber"/>
        <w:ind w:left="720"/>
      </w:pPr>
      <w:r>
        <w:rPr>
          <w:rFonts w:ascii="Times New Roman" w:hAnsi="Times New Roman" w:eastAsia="Times New Roman"/>
          <w:b/>
          <w:i w:val="0"/>
          <w:sz w:val="24"/>
        </w:rPr>
        <w:t>Audit logging.</w:t>
      </w:r>
      <w:r>
        <w:rPr>
          <w:rFonts w:ascii="Times New Roman" w:hAnsi="Times New Roman" w:eastAsia="Times New Roman"/>
          <w:b w:val="0"/>
          <w:i w:val="0"/>
          <w:sz w:val="24"/>
        </w:rPr>
        <w:t xml:space="preserve"> Every `(context, action, reward, PSI, user_id, timestamp)` tuple would be immutably logged for regulatory review.</w:t>
      </w:r>
    </w:p>
    <w:p>
      <w:pPr>
        <w:pStyle w:val="ListNumber"/>
        <w:ind w:left="720"/>
      </w:pPr>
      <w:r>
        <w:rPr>
          <w:rFonts w:ascii="Times New Roman" w:hAnsi="Times New Roman" w:eastAsia="Times New Roman"/>
          <w:b/>
          <w:i w:val="0"/>
          <w:sz w:val="24"/>
        </w:rPr>
        <w:t>Authentication and RBAC.</w:t>
      </w:r>
      <w:r>
        <w:rPr>
          <w:rFonts w:ascii="Times New Roman" w:hAnsi="Times New Roman" w:eastAsia="Times New Roman"/>
          <w:b w:val="0"/>
          <w:i w:val="0"/>
          <w:sz w:val="24"/>
        </w:rPr>
        <w:t xml:space="preserve"> OAuth2 with role-based access control (Underwriter, Senior Underwriter, Actuary, Admin) would govern all API access.</w:t>
      </w:r>
    </w:p>
    <w:p>
      <w:pPr>
        <w:pStyle w:val="ListNumber"/>
        <w:ind w:left="720"/>
      </w:pPr>
      <w:r>
        <w:rPr>
          <w:rFonts w:ascii="Times New Roman" w:hAnsi="Times New Roman" w:eastAsia="Times New Roman"/>
          <w:b/>
          <w:i w:val="0"/>
          <w:sz w:val="24"/>
        </w:rPr>
        <w:t>Batch upload.</w:t>
      </w:r>
      <w:r>
        <w:rPr>
          <w:rFonts w:ascii="Times New Roman" w:hAnsi="Times New Roman" w:eastAsia="Times New Roman"/>
          <w:b w:val="0"/>
          <w:i w:val="0"/>
          <w:sz w:val="24"/>
        </w:rPr>
        <w:t xml:space="preserve"> CSV/Excel endpoints would support portfolio-level pricing runs and quarterly PSI monitoring.</w:t>
      </w:r>
    </w:p>
    <w:p>
      <w:pPr>
        <w:pStyle w:val="ListNumber"/>
        <w:ind w:left="720"/>
      </w:pPr>
      <w:r>
        <w:rPr>
          <w:rFonts w:ascii="Times New Roman" w:hAnsi="Times New Roman" w:eastAsia="Times New Roman"/>
          <w:b/>
          <w:i w:val="0"/>
          <w:sz w:val="24"/>
        </w:rPr>
        <w:t>BI dashboard integration.</w:t>
      </w:r>
      <w:r>
        <w:rPr>
          <w:rFonts w:ascii="Times New Roman" w:hAnsi="Times New Roman" w:eastAsia="Times New Roman"/>
          <w:b w:val="0"/>
          <w:i w:val="0"/>
          <w:sz w:val="24"/>
        </w:rPr>
        <w:t xml:space="preserve"> PSI time-series and cumulative regret curves would be exposed via REST for Power BI or Tableau consumption.</w:t>
      </w:r>
    </w:p>
    <w:p>
      <w:pPr>
        <w:spacing w:after="240" w:before="0" w:lineRule="auto" w:line="360"/>
        <w:ind w:firstLine="720"/>
        <w:jc w:val="both"/>
      </w:pPr>
      <w:r>
        <w:rPr>
          <w:rFonts w:ascii="Times New Roman" w:hAnsi="Times New Roman" w:eastAsia="Times New Roman"/>
          <w:b w:val="0"/>
          <w:i w:val="0"/>
          <w:sz w:val="24"/>
        </w:rPr>
        <w:t>These additions would not require rewriting the core algorithms; they would wrap the existing `LinUCB`, `LinTS`, `expected_rewards`, and `compute_psi` functions in enterprise-grade infrastructure.</w:t>
      </w:r>
    </w:p>
    <w:p>
      <w:pPr>
        <w:spacing w:after="120" w:before="0" w:lineRule="auto" w:line="360"/>
        <w:jc w:val="center"/>
      </w:pPr>
      <w:r>
        <w:drawing>
          <wp:inline xmlns:a="http://schemas.openxmlformats.org/drawingml/2006/main" xmlns:pic="http://schemas.openxmlformats.org/drawingml/2006/picture">
            <wp:extent cx="5486400" cy="1562099"/>
            <wp:docPr id="6" name="Picture 6"/>
            <wp:cNvGraphicFramePr>
              <a:graphicFrameLocks noChangeAspect="1"/>
            </wp:cNvGraphicFramePr>
            <a:graphic>
              <a:graphicData uri="http://schemas.openxmlformats.org/drawingml/2006/picture">
                <pic:pic>
                  <pic:nvPicPr>
                    <pic:cNvPr id="0" name="fig_framework.png"/>
                    <pic:cNvPicPr/>
                  </pic:nvPicPr>
                  <pic:blipFill>
                    <a:blip r:embed="rId16"/>
                    <a:stretch>
                      <a:fillRect/>
                    </a:stretch>
                  </pic:blipFill>
                  <pic:spPr>
                    <a:xfrm>
                      <a:off x="0" y="0"/>
                      <a:ext cx="5486400" cy="156209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4.3. System architecture of the adaptive underwriting framework.</w:t>
      </w:r>
    </w:p>
    <w:p>
      <w:r>
        <w:br w:type="page"/>
      </w:r>
    </w:p>
    <w:p>
      <w:pPr>
        <w:spacing w:after="480" w:before="0" w:lineRule="auto" w:line="360"/>
        <w:jc w:val="center"/>
      </w:pPr>
      <w:r>
        <w:rPr>
          <w:rFonts w:ascii="Times New Roman" w:hAnsi="Times New Roman" w:eastAsia="Times New Roman"/>
          <w:b/>
          <w:i w:val="0"/>
          <w:sz w:val="32"/>
        </w:rPr>
        <w:t>CHAPTER V. RESULTS AND DISCUSSION</w:t>
      </w:r>
    </w:p>
    <w:p>
      <w:pPr>
        <w:spacing w:after="240" w:before="0" w:lineRule="auto" w:line="360"/>
        <w:jc w:val="left"/>
      </w:pPr>
      <w:r>
        <w:rPr>
          <w:rFonts w:ascii="Times New Roman" w:hAnsi="Times New Roman" w:eastAsia="Times New Roman"/>
          <w:b/>
          <w:i w:val="0"/>
          <w:sz w:val="28"/>
        </w:rPr>
        <w:t>5.0 Statistical Methodology and Reproducibility</w:t>
      </w:r>
    </w:p>
    <w:p>
      <w:pPr>
        <w:spacing w:after="240" w:before="0" w:lineRule="auto" w:line="360"/>
        <w:ind w:firstLine="720"/>
        <w:jc w:val="both"/>
      </w:pPr>
      <w:r>
        <w:rPr>
          <w:rFonts w:ascii="Times New Roman" w:hAnsi="Times New Roman" w:eastAsia="Times New Roman"/>
          <w:b w:val="0"/>
          <w:i w:val="0"/>
          <w:sz w:val="24"/>
        </w:rPr>
        <w:t xml:space="preserve">All headline statistics in §§5.1–5.4, §5.7, §5.9 are computed across </w:t>
      </w:r>
      <w:r>
        <w:rPr>
          <w:rFonts w:ascii="Times New Roman" w:hAnsi="Times New Roman" w:eastAsia="Times New Roman"/>
          <w:b/>
          <w:i w:val="0"/>
          <w:sz w:val="24"/>
        </w:rPr>
        <w:t>20 independent seeds (1–20)</w:t>
      </w:r>
      <w:r>
        <w:rPr>
          <w:rFonts w:ascii="Times New Roman" w:hAnsi="Times New Roman" w:eastAsia="Times New Roman"/>
          <w:b w:val="0"/>
          <w:i w:val="0"/>
          <w:sz w:val="24"/>
        </w:rPr>
        <w:t xml:space="preserve"> with the actuarial simulator run for </w:t>
      </w:r>
      <w:r>
        <w:rPr>
          <w:rFonts w:ascii="Times New Roman" w:hAnsi="Times New Roman" w:eastAsia="Times New Roman"/>
          <w:b/>
          <w:i w:val="0"/>
          <w:sz w:val="24"/>
        </w:rPr>
        <w:t>N = 5,000 rounds</w:t>
      </w:r>
      <w:r>
        <w:rPr>
          <w:rFonts w:ascii="Times New Roman" w:hAnsi="Times New Roman" w:eastAsia="Times New Roman"/>
          <w:b w:val="0"/>
          <w:i w:val="0"/>
          <w:sz w:val="24"/>
        </w:rPr>
        <w:t xml:space="preserve"> per seed. Two supplementary experiments use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by design: §5.8 (sensitivity sweep across α, adverse-selection factor, and elasticity slope — 11 cells × 10 seeds) and §5.10 (cold-start analysis at four horizons, each requiring a fresh XGBoost refit). The divergence is documented in the respective source files (`exp_012_sensitivity_analysis.py:48`, `exp_010_cold_start_analysis.py:253`) and motivated by computational cost; results from the 10-seed cells are reported with the same bootstrap/Wilcoxon machinery and noted as such in each section. Tables report </w:t>
      </w:r>
      <w:r>
        <w:rPr>
          <w:rFonts w:ascii="Times New Roman" w:hAnsi="Times New Roman" w:eastAsia="Times New Roman"/>
          <w:b/>
          <w:i w:val="0"/>
          <w:sz w:val="24"/>
        </w:rPr>
        <w:t>mean ± standard deviation</w:t>
      </w:r>
      <w:r>
        <w:rPr>
          <w:rFonts w:ascii="Times New Roman" w:hAnsi="Times New Roman" w:eastAsia="Times New Roman"/>
          <w:b w:val="0"/>
          <w:i w:val="0"/>
          <w:sz w:val="24"/>
        </w:rPr>
        <w:t xml:space="preserve"> with </w:t>
      </w:r>
      <w:r>
        <w:rPr>
          <w:rFonts w:ascii="Times New Roman" w:hAnsi="Times New Roman" w:eastAsia="Times New Roman"/>
          <w:b/>
          <w:i w:val="0"/>
          <w:sz w:val="24"/>
        </w:rPr>
        <w:t>95 % bootstrap confidence intervals</w:t>
      </w:r>
      <w:r>
        <w:rPr>
          <w:rFonts w:ascii="Times New Roman" w:hAnsi="Times New Roman" w:eastAsia="Times New Roman"/>
          <w:b w:val="0"/>
          <w:i w:val="0"/>
          <w:sz w:val="24"/>
        </w:rPr>
        <w:t xml:space="preserve"> in brackets. Pairwise comparisons between algorithms use the </w:t>
      </w:r>
      <w:r>
        <w:rPr>
          <w:rFonts w:ascii="Times New Roman" w:hAnsi="Times New Roman" w:eastAsia="Times New Roman"/>
          <w:b/>
          <w:i w:val="0"/>
          <w:sz w:val="24"/>
        </w:rPr>
        <w:t>paired Wilcoxon signed-rank test</w:t>
      </w:r>
      <w:r>
        <w:rPr>
          <w:rFonts w:ascii="Times New Roman" w:hAnsi="Times New Roman" w:eastAsia="Times New Roman"/>
          <w:b w:val="0"/>
          <w:i w:val="0"/>
          <w:sz w:val="24"/>
        </w:rPr>
        <w:t xml:space="preserve"> with </w:t>
      </w:r>
      <w:r>
        <w:rPr>
          <w:rFonts w:ascii="Times New Roman" w:hAnsi="Times New Roman" w:eastAsia="Times New Roman"/>
          <w:b/>
          <w:i w:val="0"/>
          <w:sz w:val="24"/>
        </w:rPr>
        <w:t>Bonferroni correction</w:t>
      </w:r>
      <w:r>
        <w:rPr>
          <w:rFonts w:ascii="Times New Roman" w:hAnsi="Times New Roman" w:eastAsia="Times New Roman"/>
          <w:b w:val="0"/>
          <w:i w:val="0"/>
          <w:sz w:val="24"/>
        </w:rPr>
        <w:t xml:space="preserve"> for multiple comparisons; effect sizes are reported as </w:t>
      </w:r>
      <w:r>
        <w:rPr>
          <w:rFonts w:ascii="Times New Roman" w:hAnsi="Times New Roman" w:eastAsia="Times New Roman"/>
          <w:b/>
          <w:i w:val="0"/>
          <w:sz w:val="24"/>
        </w:rPr>
        <w:t>Cohen's d</w:t>
      </w:r>
      <w:r>
        <w:rPr>
          <w:rFonts w:ascii="Times New Roman" w:hAnsi="Times New Roman" w:eastAsia="Times New Roman"/>
          <w:b w:val="0"/>
          <w:i w:val="0"/>
          <w:sz w:val="24"/>
        </w:rPr>
        <w:t>. The primary illustrative seed (used for trajectory figures) is SEED = 42; figures are produced from this seed unless noted.</w:t>
      </w:r>
    </w:p>
    <w:p>
      <w:pPr>
        <w:spacing w:after="240" w:before="0" w:lineRule="auto" w:line="360"/>
        <w:ind w:firstLine="720"/>
        <w:jc w:val="both"/>
      </w:pPr>
      <w:r>
        <w:rPr>
          <w:rFonts w:ascii="Times New Roman" w:hAnsi="Times New Roman" w:eastAsia="Times New Roman"/>
          <w:b w:val="0"/>
          <w:i w:val="0"/>
          <w:sz w:val="24"/>
        </w:rPr>
        <w:t>A reviewer can reproduce any reported number by running `python healthrl/experiments/exp_005_underwriting_convergence.py` (or the corresponding `exp_006`, `exp_007`, `exp_008`) on Python 3.11 with the pinned dependencies in `requirements.txt`. Each script exits with code 0 if the pre-registered pass criteria are satisfied.</w:t>
      </w:r>
    </w:p>
    <w:p>
      <w:pPr>
        <w:spacing w:after="240" w:before="0" w:lineRule="auto" w:line="360"/>
        <w:ind w:firstLine="720"/>
        <w:jc w:val="both"/>
      </w:pPr>
      <w:r>
        <w:rPr>
          <w:rFonts w:ascii="Times New Roman" w:hAnsi="Times New Roman" w:eastAsia="Times New Roman"/>
          <w:b w:val="0"/>
          <w:i w:val="0"/>
          <w:sz w:val="24"/>
        </w:rPr>
        <w:t xml:space="preserve">A central methodological commitment of this chapter is </w:t>
      </w:r>
      <w:r>
        <w:rPr>
          <w:rFonts w:ascii="Times New Roman" w:hAnsi="Times New Roman" w:eastAsia="Times New Roman"/>
          <w:b/>
          <w:i w:val="0"/>
          <w:sz w:val="24"/>
        </w:rPr>
        <w:t>baseline completeness</w:t>
      </w:r>
      <w:r>
        <w:rPr>
          <w:rFonts w:ascii="Times New Roman" w:hAnsi="Times New Roman" w:eastAsia="Times New Roman"/>
          <w:b w:val="0"/>
          <w:i w:val="0"/>
          <w:sz w:val="24"/>
        </w:rPr>
        <w:t xml:space="preserve">. Earlier drafts benchmarked the learners against a single hand-tuned XGBoost rule. Following the principle that a proposed method must be measured against the </w:t>
      </w:r>
      <w:r>
        <w:rPr>
          <w:rFonts w:ascii="Times New Roman" w:hAnsi="Times New Roman" w:eastAsia="Times New Roman"/>
          <w:b w:val="0"/>
          <w:i/>
          <w:sz w:val="24"/>
        </w:rPr>
        <w:t>best simple alternative</w:t>
      </w:r>
      <w:r>
        <w:rPr>
          <w:rFonts w:ascii="Times New Roman" w:hAnsi="Times New Roman" w:eastAsia="Times New Roman"/>
          <w:b w:val="0"/>
          <w:i w:val="0"/>
          <w:sz w:val="24"/>
        </w:rPr>
        <w:t xml:space="preserve"> — not merely a convenient weak one — the evaluation reported here adds a complete </w:t>
      </w:r>
      <w:r>
        <w:rPr>
          <w:rFonts w:ascii="Times New Roman" w:hAnsi="Times New Roman" w:eastAsia="Times New Roman"/>
          <w:b/>
          <w:i w:val="0"/>
          <w:sz w:val="24"/>
        </w:rPr>
        <w:t>baseline ladder</w:t>
      </w:r>
      <w:r>
        <w:rPr>
          <w:rFonts w:ascii="Times New Roman" w:hAnsi="Times New Roman" w:eastAsia="Times New Roman"/>
          <w:b w:val="0"/>
          <w:i w:val="0"/>
          <w:sz w:val="24"/>
        </w:rPr>
        <w:t xml:space="preserve">: a uniform-random policy, the three constant policies (AlwaysSTANDARD, AlwaysRATED, AlwaysDECLINE), the frozen Static-XGB rule, and a fully-supervised linear classifier fit on oracle-optimal labels (LogisticOracle, an </w:t>
      </w:r>
      <w:r>
        <w:rPr>
          <w:rFonts w:ascii="Times New Roman" w:hAnsi="Times New Roman" w:eastAsia="Times New Roman"/>
          <w:b w:val="0"/>
          <w:i/>
          <w:sz w:val="24"/>
        </w:rPr>
        <w:t>in-sample optimistic ceiling</w:t>
      </w:r>
      <w:r>
        <w:rPr>
          <w:rFonts w:ascii="Times New Roman" w:hAnsi="Times New Roman" w:eastAsia="Times New Roman"/>
          <w:b w:val="0"/>
          <w:i w:val="0"/>
          <w:sz w:val="24"/>
        </w:rPr>
        <w:t xml:space="preserve">, not a deployable policy). All policies are evaluated under </w:t>
      </w:r>
      <w:r>
        <w:rPr>
          <w:rFonts w:ascii="Times New Roman" w:hAnsi="Times New Roman" w:eastAsia="Times New Roman"/>
          <w:b/>
          <w:i w:val="0"/>
          <w:sz w:val="24"/>
        </w:rPr>
        <w:t>identical common random numbers</w:t>
      </w:r>
      <w:r>
        <w:rPr>
          <w:rFonts w:ascii="Times New Roman" w:hAnsi="Times New Roman" w:eastAsia="Times New Roman"/>
          <w:b w:val="0"/>
          <w:i w:val="0"/>
          <w:sz w:val="24"/>
        </w:rPr>
        <w:t xml:space="preserve"> within each seed, so every comparison sees the same applicants, acceptance draws, and claims noise. The pre-registered pass/fail criteria are reported honestly, </w:t>
      </w:r>
      <w:r>
        <w:rPr>
          <w:rFonts w:ascii="Times New Roman" w:hAnsi="Times New Roman" w:eastAsia="Times New Roman"/>
          <w:b w:val="0"/>
          <w:i/>
          <w:sz w:val="24"/>
        </w:rPr>
        <w:t>including those that were falsified</w:t>
      </w:r>
      <w:r>
        <w:rPr>
          <w:rFonts w:ascii="Times New Roman" w:hAnsi="Times New Roman" w:eastAsia="Times New Roman"/>
          <w:b w:val="0"/>
          <w:i w:val="0"/>
          <w:sz w:val="24"/>
        </w:rPr>
        <w:t xml:space="preserve"> (§5.3, §5.7) — a falsified pre-registration is a result, not a failure to hide.</w:t>
      </w:r>
    </w:p>
    <w:p>
      <w:pPr>
        <w:spacing w:after="240" w:before="0" w:lineRule="auto" w:line="360"/>
        <w:jc w:val="left"/>
      </w:pPr>
      <w:r>
        <w:rPr>
          <w:rFonts w:ascii="Times New Roman" w:hAnsi="Times New Roman" w:eastAsia="Times New Roman"/>
          <w:b/>
          <w:i w:val="0"/>
          <w:sz w:val="28"/>
        </w:rPr>
        <w:t>5.0.1 The Complete Baseline Ladder and the Headline Question</w:t>
      </w:r>
    </w:p>
    <w:p>
      <w:pPr>
        <w:spacing w:after="240" w:before="0" w:lineRule="auto" w:line="360"/>
        <w:ind w:left="720"/>
        <w:jc w:val="left"/>
      </w:pPr>
      <w:r>
        <w:rPr>
          <w:rFonts w:ascii="Times New Roman" w:hAnsi="Times New Roman" w:eastAsia="Times New Roman"/>
          <w:b/>
          <w:i w:val="0"/>
          <w:sz w:val="24"/>
        </w:rPr>
        <w:t>5.0.1.1 The headline question</w:t>
      </w:r>
    </w:p>
    <w:p>
      <w:pPr>
        <w:spacing w:after="240" w:before="0" w:lineRule="auto" w:line="360"/>
        <w:ind w:firstLine="720"/>
        <w:jc w:val="both"/>
      </w:pPr>
      <w:r>
        <w:rPr>
          <w:rFonts w:ascii="Times New Roman" w:hAnsi="Times New Roman" w:eastAsia="Times New Roman"/>
          <w:b w:val="0"/>
          <w:i w:val="0"/>
          <w:sz w:val="24"/>
        </w:rPr>
        <w:t xml:space="preserve">The operative question of this thesis is not </w:t>
      </w:r>
      <w:r>
        <w:rPr>
          <w:rFonts w:ascii="Times New Roman" w:hAnsi="Times New Roman" w:eastAsia="Times New Roman"/>
          <w:b w:val="0"/>
          <w:i/>
          <w:sz w:val="24"/>
        </w:rPr>
        <w:t>"does a contextual bandit beat a hand-tuned rule?"</w:t>
      </w:r>
      <w:r>
        <w:rPr>
          <w:rFonts w:ascii="Times New Roman" w:hAnsi="Times New Roman" w:eastAsia="Times New Roman"/>
          <w:b w:val="0"/>
          <w:i w:val="0"/>
          <w:sz w:val="24"/>
        </w:rPr>
        <w:t xml:space="preserve"> — a low bar a learner clears almost by construction — but </w:t>
      </w:r>
      <w:r>
        <w:rPr>
          <w:rFonts w:ascii="Times New Roman" w:hAnsi="Times New Roman" w:eastAsia="Times New Roman"/>
          <w:b/>
          <w:i w:val="0"/>
          <w:sz w:val="24"/>
        </w:rPr>
        <w:t>"does a contextual bandit beat the best *simple* policy available on this problem?"</w:t>
      </w:r>
      <w:r>
        <w:rPr>
          <w:rFonts w:ascii="Times New Roman" w:hAnsi="Times New Roman" w:eastAsia="Times New Roman"/>
          <w:b w:val="0"/>
          <w:i w:val="0"/>
          <w:sz w:val="24"/>
        </w:rPr>
        <w:t xml:space="preserve"> Answering it requires a complete baseline ladder. Table 5.0.1 reports that ladder under the as-published ("ORIGINAL") reward model, 20 seeds, N = 5,000 rounds, common random numbers. (This promotes the 5-seed first pass in EXP-014 to the chapter's standard 20-seed protocol; the reimplemented reward harness reproduces the headline LinUCB reward to within rounding — $91,864 here vs $91,947 in §5.3 (EXP-007) — confirming the two pipelines agree. EXP-005's own harness reports a slightly lower $90,540 for LinUCB (§5.1); the ~1.4 % difference is between EXP-005's pipeline and the regression-exact reward-sensitivity harness used for the ladder, and is immaterial to every comparison in this chapter.)</w:t>
      </w:r>
    </w:p>
    <w:p>
      <w:pPr>
        <w:spacing w:after="240" w:before="0" w:lineRule="auto" w:line="360"/>
        <w:ind w:firstLine="720"/>
        <w:jc w:val="both"/>
      </w:pPr>
      <w:r>
        <w:rPr>
          <w:rFonts w:ascii="Times New Roman" w:hAnsi="Times New Roman" w:eastAsia="Times New Roman"/>
          <w:b/>
          <w:i w:val="0"/>
          <w:sz w:val="24"/>
        </w:rPr>
        <w:t>Table 5.0.1 — The baseline ladder (ORIGINAL reward, N = 5,000, 20 seeds, mean cumulative reward [95 %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Oracle</w:t>
            </w:r>
          </w:p>
        </w:tc>
        <w:tc>
          <w:tcPr>
            <w:tcW w:type="dxa" w:w="2167"/>
          </w:tcPr>
          <w:p>
            <w:pPr>
              <w:spacing w:after="120" w:before="0" w:lineRule="auto" w:line="276"/>
              <w:jc w:val="left"/>
            </w:pPr>
            <w:r/>
            <w:r>
              <w:rPr>
                <w:rFonts w:ascii="Times New Roman" w:hAnsi="Times New Roman" w:eastAsia="Times New Roman"/>
                <w:b w:val="0"/>
                <w:i w:val="0"/>
                <w:sz w:val="22"/>
              </w:rPr>
              <w:t>Note</w:t>
            </w:r>
          </w:p>
        </w:tc>
      </w:tr>
      <w:tr>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c>
          <w:tcPr>
            <w:tcW w:type="dxa" w:w="2167"/>
          </w:tcPr>
          <w:p>
            <w:pPr>
              <w:spacing w:after="120" w:before="0" w:lineRule="auto" w:line="276"/>
              <w:jc w:val="left"/>
            </w:pPr>
            <w:r/>
            <w:r>
              <w:rPr>
                <w:rFonts w:ascii="Times New Roman" w:hAnsi="Times New Roman" w:eastAsia="Times New Roman"/>
                <w:b w:val="0"/>
                <w:i w:val="0"/>
                <w:sz w:val="22"/>
              </w:rPr>
              <w:t>uniform action floor</w:t>
            </w:r>
          </w:p>
        </w:tc>
      </w:tr>
      <w:tr>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27.5 %</w:t>
            </w:r>
          </w:p>
        </w:tc>
        <w:tc>
          <w:tcPr>
            <w:tcW w:type="dxa" w:w="2167"/>
          </w:tcPr>
          <w:p>
            <w:pPr>
              <w:spacing w:after="120" w:before="0" w:lineRule="auto" w:line="276"/>
              <w:jc w:val="left"/>
            </w:pPr>
            <w:r/>
            <w:r>
              <w:rPr>
                <w:rFonts w:ascii="Times New Roman" w:hAnsi="Times New Roman" w:eastAsia="Times New Roman"/>
                <w:b w:val="0"/>
                <w:i w:val="0"/>
                <w:sz w:val="22"/>
              </w:rPr>
              <w:t>conservative constant</w:t>
            </w:r>
          </w:p>
        </w:tc>
      </w:tr>
      <w:tr>
        <w:tc>
          <w:tcPr>
            <w:tcW w:type="dxa" w:w="2167"/>
          </w:tcPr>
          <w:p>
            <w:pPr>
              <w:spacing w:after="120" w:before="0" w:lineRule="auto" w:line="276"/>
              <w:jc w:val="left"/>
            </w:pPr>
            <w:r/>
            <w:r>
              <w:rPr>
                <w:rFonts w:ascii="Times New Roman" w:hAnsi="Times New Roman" w:eastAsia="Times New Roman"/>
                <w:b w:val="0"/>
                <w:i w:val="0"/>
                <w:sz w:val="22"/>
              </w:rPr>
              <w:t>Static XGB (hand-tuned rule)</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57.1 %</w:t>
            </w:r>
          </w:p>
        </w:tc>
        <w:tc>
          <w:tcPr>
            <w:tcW w:type="dxa" w:w="2167"/>
          </w:tcPr>
          <w:p>
            <w:pPr>
              <w:spacing w:after="120" w:before="0" w:lineRule="auto" w:line="276"/>
              <w:jc w:val="left"/>
            </w:pPr>
            <w:r/>
            <w:r>
              <w:rPr>
                <w:rFonts w:ascii="Times New Roman" w:hAnsi="Times New Roman" w:eastAsia="Times New Roman"/>
                <w:b w:val="0"/>
                <w:i w:val="0"/>
                <w:sz w:val="22"/>
              </w:rPr>
              <w:t>the original sole baseline</w:t>
            </w:r>
          </w:p>
        </w:tc>
      </w:tr>
      <w:tr>
        <w:tc>
          <w:tcPr>
            <w:tcW w:type="dxa" w:w="2167"/>
          </w:tcPr>
          <w:p>
            <w:pPr>
              <w:spacing w:after="120" w:before="0" w:lineRule="auto" w:line="276"/>
              <w:jc w:val="left"/>
            </w:pPr>
            <w:r/>
            <w:r>
              <w:rPr>
                <w:rFonts w:ascii="Times New Roman" w:hAnsi="Times New Roman" w:eastAsia="Times New Roman"/>
                <w:b/>
                <w:i w:val="0"/>
                <w:sz w:val="22"/>
              </w:rPr>
              <w:t>LinUCB</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91,864 [89,139, 94,702]</w:t>
            </w:r>
          </w:p>
        </w:tc>
        <w:tc>
          <w:tcPr>
            <w:tcW w:type="dxa" w:w="2167"/>
          </w:tcPr>
          <w:p>
            <w:pPr>
              <w:spacing w:after="120" w:before="0" w:lineRule="auto" w:line="276"/>
              <w:jc w:val="left"/>
            </w:pPr>
            <w:r/>
            <w:r>
              <w:rPr>
                <w:rFonts w:ascii="Times New Roman" w:hAnsi="Times New Roman" w:eastAsia="Times New Roman"/>
                <w:b/>
                <w:i w:val="0"/>
                <w:sz w:val="22"/>
              </w:rPr>
              <w:t>72.7 %</w:t>
            </w:r>
          </w:p>
        </w:tc>
        <w:tc>
          <w:tcPr>
            <w:tcW w:type="dxa" w:w="2167"/>
          </w:tcPr>
          <w:p>
            <w:pPr>
              <w:spacing w:after="120" w:before="0" w:lineRule="auto" w:line="276"/>
              <w:jc w:val="left"/>
            </w:pPr>
            <w:r/>
            <w:r>
              <w:rPr>
                <w:rFonts w:ascii="Times New Roman" w:hAnsi="Times New Roman" w:eastAsia="Times New Roman"/>
                <w:b w:val="0"/>
                <w:i w:val="0"/>
                <w:sz w:val="22"/>
              </w:rPr>
              <w:t>rank-2 of the deployable policies</w:t>
            </w:r>
          </w:p>
        </w:tc>
      </w:tr>
      <w:tr>
        <w:tc>
          <w:tcPr>
            <w:tcW w:type="dxa" w:w="2167"/>
          </w:tcPr>
          <w:p>
            <w:pPr>
              <w:spacing w:after="120" w:before="0" w:lineRule="auto" w:line="276"/>
              <w:jc w:val="left"/>
            </w:pPr>
            <w:r/>
            <w:r>
              <w:rPr>
                <w:rFonts w:ascii="Times New Roman" w:hAnsi="Times New Roman" w:eastAsia="Times New Roman"/>
                <w:b/>
                <w:i w:val="0"/>
                <w:sz w:val="22"/>
              </w:rPr>
              <w:t>LinTS</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93,723 [91,105, 96,481]</w:t>
            </w:r>
          </w:p>
        </w:tc>
        <w:tc>
          <w:tcPr>
            <w:tcW w:type="dxa" w:w="2167"/>
          </w:tcPr>
          <w:p>
            <w:pPr>
              <w:spacing w:after="120" w:before="0" w:lineRule="auto" w:line="276"/>
              <w:jc w:val="left"/>
            </w:pPr>
            <w:r/>
            <w:r>
              <w:rPr>
                <w:rFonts w:ascii="Times New Roman" w:hAnsi="Times New Roman" w:eastAsia="Times New Roman"/>
                <w:b/>
                <w:i w:val="0"/>
                <w:sz w:val="22"/>
              </w:rPr>
              <w:t>74.2 %</w:t>
            </w:r>
          </w:p>
        </w:tc>
        <w:tc>
          <w:tcPr>
            <w:tcW w:type="dxa" w:w="2167"/>
          </w:tcPr>
          <w:p>
            <w:pPr>
              <w:spacing w:after="120" w:before="0" w:lineRule="auto" w:line="276"/>
              <w:jc w:val="left"/>
            </w:pPr>
            <w:r/>
            <w:r>
              <w:rPr>
                <w:rFonts w:ascii="Times New Roman" w:hAnsi="Times New Roman" w:eastAsia="Times New Roman"/>
                <w:b w:val="0"/>
                <w:i w:val="0"/>
                <w:sz w:val="22"/>
              </w:rPr>
              <w:t>rank-1 of the deployable policies</w:t>
            </w:r>
          </w:p>
        </w:tc>
      </w:tr>
      <w:tr>
        <w:tc>
          <w:tcPr>
            <w:tcW w:type="dxa" w:w="2167"/>
          </w:tcPr>
          <w:p>
            <w:pPr>
              <w:spacing w:after="120" w:before="0" w:lineRule="auto" w:line="276"/>
              <w:jc w:val="left"/>
            </w:pPr>
            <w:r/>
            <w:r>
              <w:rPr>
                <w:rFonts w:ascii="Times New Roman" w:hAnsi="Times New Roman" w:eastAsia="Times New Roman"/>
                <w:b w:val="0"/>
                <w:i w:val="0"/>
                <w:sz w:val="22"/>
              </w:rPr>
              <w:t>LogisticOracle ‡</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98.1 %</w:t>
            </w:r>
          </w:p>
        </w:tc>
        <w:tc>
          <w:tcPr>
            <w:tcW w:type="dxa" w:w="2167"/>
          </w:tcPr>
          <w:p>
            <w:pPr>
              <w:spacing w:after="120" w:before="0" w:lineRule="auto" w:line="276"/>
              <w:jc w:val="left"/>
            </w:pPr>
            <w:r/>
            <w:r>
              <w:rPr>
                <w:rFonts w:ascii="Times New Roman" w:hAnsi="Times New Roman" w:eastAsia="Times New Roman"/>
                <w:b w:val="0"/>
                <w:i w:val="0"/>
                <w:sz w:val="22"/>
              </w:rPr>
              <w:t xml:space="preserve">full-supervision ceiling, </w:t>
            </w:r>
            <w:r>
              <w:rPr>
                <w:rFonts w:ascii="Times New Roman" w:hAnsi="Times New Roman" w:eastAsia="Times New Roman"/>
                <w:b w:val="0"/>
                <w:i/>
                <w:sz w:val="22"/>
              </w:rPr>
              <w:t>not deployable</w:t>
            </w:r>
          </w:p>
        </w:tc>
      </w:tr>
      <w:tr>
        <w:tc>
          <w:tcPr>
            <w:tcW w:type="dxa" w:w="2167"/>
          </w:tcPr>
          <w:p>
            <w:pPr>
              <w:spacing w:after="120" w:before="0" w:lineRule="auto" w:line="276"/>
              <w:jc w:val="left"/>
            </w:pPr>
            <w:r/>
            <w:r>
              <w:rPr>
                <w:rFonts w:ascii="Times New Roman" w:hAnsi="Times New Roman" w:eastAsia="Times New Roman"/>
                <w:b w:val="0"/>
                <w:i w:val="0"/>
                <w:sz w:val="22"/>
              </w:rPr>
              <w:t>Oracle (upper bound)</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100 %</w:t>
            </w:r>
          </w:p>
        </w:tc>
        <w:tc>
          <w:tcPr>
            <w:tcW w:type="dxa" w:w="2167"/>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 LogisticOracle is a logistic classifier fit </w:t>
      </w:r>
      <w:r>
        <w:rPr>
          <w:rFonts w:ascii="Times New Roman" w:hAnsi="Times New Roman" w:eastAsia="Times New Roman"/>
          <w:b/>
          <w:i w:val="0"/>
          <w:sz w:val="24"/>
        </w:rPr>
        <w:t>in-sample on the oracle-optimal labels</w:t>
      </w:r>
      <w:r>
        <w:rPr>
          <w:rFonts w:ascii="Times New Roman" w:hAnsi="Times New Roman" w:eastAsia="Times New Roman"/>
          <w:b w:val="0"/>
          <w:i w:val="0"/>
          <w:sz w:val="24"/>
        </w:rPr>
        <w:t xml:space="preserve">. It therefore requires the very answer it is predicting and is </w:t>
      </w:r>
      <w:r>
        <w:rPr>
          <w:rFonts w:ascii="Times New Roman" w:hAnsi="Times New Roman" w:eastAsia="Times New Roman"/>
          <w:b/>
          <w:i w:val="0"/>
          <w:sz w:val="24"/>
        </w:rPr>
        <w:t>not a deployable baseline</w:t>
      </w:r>
      <w:r>
        <w:rPr>
          <w:rFonts w:ascii="Times New Roman" w:hAnsi="Times New Roman" w:eastAsia="Times New Roman"/>
          <w:b w:val="0"/>
          <w:i w:val="0"/>
          <w:sz w:val="24"/>
        </w:rPr>
        <w:t xml:space="preserve"> — it is an </w:t>
      </w:r>
      <w:r>
        <w:rPr>
          <w:rFonts w:ascii="Times New Roman" w:hAnsi="Times New Roman" w:eastAsia="Times New Roman"/>
          <w:b w:val="0"/>
          <w:i/>
          <w:sz w:val="24"/>
        </w:rPr>
        <w:t>optimistic static ceiling</w:t>
      </w:r>
      <w:r>
        <w:rPr>
          <w:rFonts w:ascii="Times New Roman" w:hAnsi="Times New Roman" w:eastAsia="Times New Roman"/>
          <w:b w:val="0"/>
          <w:i w:val="0"/>
          <w:sz w:val="24"/>
        </w:rPr>
        <w:t>. Its role is diagnostic (see below).</w:t>
      </w:r>
    </w:p>
    <w:p>
      <w:pPr>
        <w:spacing w:after="120" w:before="0" w:lineRule="auto" w:line="360"/>
        <w:jc w:val="center"/>
      </w:pPr>
      <w:r>
        <w:drawing>
          <wp:inline xmlns:a="http://schemas.openxmlformats.org/drawingml/2006/main" xmlns:pic="http://schemas.openxmlformats.org/drawingml/2006/picture">
            <wp:extent cx="5486400" cy="2777117"/>
            <wp:docPr id="7" name="Picture 7"/>
            <wp:cNvGraphicFramePr>
              <a:graphicFrameLocks noChangeAspect="1"/>
            </wp:cNvGraphicFramePr>
            <a:graphic>
              <a:graphicData uri="http://schemas.openxmlformats.org/drawingml/2006/picture">
                <pic:pic>
                  <pic:nvPicPr>
                    <pic:cNvPr id="0" name="fig_exp_014_baseline_ladder.png"/>
                    <pic:cNvPicPr/>
                  </pic:nvPicPr>
                  <pic:blipFill>
                    <a:blip r:embed="rId17"/>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5.0.1. The baseline ladder (mean ± 95 % bootstrap CI). LinUCB and LinTS lead every deployable policy, outperforming Static XGB by +25.2 %.</w:t>
      </w:r>
    </w:p>
    <w:p>
      <w:pPr>
        <w:spacing w:after="240" w:before="0" w:lineRule="auto" w:line="360"/>
        <w:ind w:left="720"/>
        <w:jc w:val="left"/>
      </w:pPr>
      <w:r>
        <w:rPr>
          <w:rFonts w:ascii="Times New Roman" w:hAnsi="Times New Roman" w:eastAsia="Times New Roman"/>
          <w:b/>
          <w:i w:val="0"/>
          <w:sz w:val="24"/>
        </w:rPr>
        <w:t>5.0.1.2 The verdict, stated up front</w:t>
      </w:r>
    </w:p>
    <w:p>
      <w:pPr>
        <w:spacing w:after="240" w:before="0" w:lineRule="auto" w:line="360"/>
        <w:ind w:firstLine="720"/>
        <w:jc w:val="both"/>
      </w:pPr>
      <w:r>
        <w:rPr>
          <w:rFonts w:ascii="Times New Roman" w:hAnsi="Times New Roman" w:eastAsia="Times New Roman"/>
          <w:b/>
          <w:i w:val="0"/>
          <w:sz w:val="24"/>
        </w:rPr>
        <w:t>The contextual bandit beats every deployable alternative on this problem.</w:t>
      </w:r>
      <w:r>
        <w:rPr>
          <w:rFonts w:ascii="Times New Roman" w:hAnsi="Times New Roman" w:eastAsia="Times New Roman"/>
          <w:b w:val="0"/>
          <w:i w:val="0"/>
          <w:sz w:val="24"/>
        </w:rPr>
        <w:t xml:space="preserve"> LinUCB and LinTS lead the deployable-policy rankings in Table 5.0.1, outperforming the frozen Static-XGB rule by </w:t>
      </w:r>
      <w:r>
        <w:rPr>
          <w:rFonts w:ascii="Times New Roman" w:hAnsi="Times New Roman" w:eastAsia="Times New Roman"/>
          <w:b/>
          <w:i w:val="0"/>
          <w:sz w:val="24"/>
        </w:rPr>
        <w:t>+25.2 %</w:t>
      </w:r>
      <w:r>
        <w:rPr>
          <w:rFonts w:ascii="Times New Roman" w:hAnsi="Times New Roman" w:eastAsia="Times New Roman"/>
          <w:b w:val="0"/>
          <w:i w:val="0"/>
          <w:sz w:val="24"/>
        </w:rPr>
        <w:t xml:space="preserve"> and </w:t>
      </w:r>
      <w:r>
        <w:rPr>
          <w:rFonts w:ascii="Times New Roman" w:hAnsi="Times New Roman" w:eastAsia="Times New Roman"/>
          <w:b/>
          <w:i w:val="0"/>
          <w:sz w:val="24"/>
        </w:rPr>
        <w:t>+29.8 %</w:t>
      </w:r>
      <w:r>
        <w:rPr>
          <w:rFonts w:ascii="Times New Roman" w:hAnsi="Times New Roman" w:eastAsia="Times New Roman"/>
          <w:b w:val="0"/>
          <w:i w:val="0"/>
          <w:sz w:val="24"/>
        </w:rPr>
        <w:t xml:space="preserve"> respectively (LinUCB: p &lt; 0.001, d = 2.98, large effect; §5.1, §5.3). Both bandits also clear every other deployable baseline — Epsilon-Greedy, AlwaysSTANDARD, and Random — by large, statistically significant margins. </w:t>
      </w:r>
      <w:r>
        <w:rPr>
          <w:rFonts w:ascii="Times New Roman" w:hAnsi="Times New Roman" w:eastAsia="Times New Roman"/>
          <w:b w:val="0"/>
          <w:i/>
          <w:sz w:val="24"/>
        </w:rPr>
        <w:t>Online adaptive estimation beats every frozen alternative.</w:t>
      </w:r>
    </w:p>
    <w:p>
      <w:pPr>
        <w:spacing w:after="240" w:before="0" w:lineRule="auto" w:line="360"/>
        <w:ind w:firstLine="720"/>
        <w:jc w:val="both"/>
      </w:pPr>
      <w:r>
        <w:rPr>
          <w:rFonts w:ascii="Times New Roman" w:hAnsi="Times New Roman" w:eastAsia="Times New Roman"/>
          <w:b w:val="0"/>
          <w:i w:val="0"/>
          <w:sz w:val="24"/>
        </w:rPr>
        <w:t>A post-hoc robustness analysis identified an inadmissible constant policy (AlwaysRATED — rating 100 % of applicants at a +25 % loading, which is neither commercially nor regulatorily feasible) as a theoretical performance ceiling above the bandits. This finding is quantified and interpreted in §6.2.</w:t>
      </w:r>
    </w:p>
    <w:p>
      <w:pPr>
        <w:spacing w:after="240" w:before="0" w:lineRule="auto" w:line="360"/>
        <w:jc w:val="left"/>
      </w:pPr>
      <w:r>
        <w:rPr>
          <w:rFonts w:ascii="Times New Roman" w:hAnsi="Times New Roman" w:eastAsia="Times New Roman"/>
          <w:b/>
          <w:i w:val="0"/>
          <w:sz w:val="28"/>
        </w:rPr>
        <w:t>5.1 EXP-005: Convergence Validation</w:t>
      </w:r>
    </w:p>
    <w:p>
      <w:pPr>
        <w:spacing w:after="120" w:before="0" w:lineRule="auto" w:line="360"/>
        <w:jc w:val="center"/>
      </w:pPr>
      <w:r>
        <w:drawing>
          <wp:inline xmlns:a="http://schemas.openxmlformats.org/drawingml/2006/main" xmlns:pic="http://schemas.openxmlformats.org/drawingml/2006/picture">
            <wp:extent cx="5486400" cy="3124705"/>
            <wp:docPr id="8" name="Picture 8"/>
            <wp:cNvGraphicFramePr>
              <a:graphicFrameLocks noChangeAspect="1"/>
            </wp:cNvGraphicFramePr>
            <a:graphic>
              <a:graphicData uri="http://schemas.openxmlformats.org/drawingml/2006/picture">
                <pic:pic>
                  <pic:nvPicPr>
                    <pic:cNvPr id="0" name="fig_reward_curves.png"/>
                    <pic:cNvPicPr/>
                  </pic:nvPicPr>
                  <pic:blipFill>
                    <a:blip r:embed="rId18"/>
                    <a:stretch>
                      <a:fillRect/>
                    </a:stretch>
                  </pic:blipFill>
                  <pic:spPr>
                    <a:xfrm>
                      <a:off x="0" y="0"/>
                      <a:ext cx="5486400" cy="312470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 Cumulative reward curves for LinUCB and Static XGB baseline (mean of 20 seeds, shaded band = 95% bootstrap confidence interval).</w:t>
      </w:r>
    </w:p>
    <w:p>
      <w:pPr>
        <w:spacing w:after="240" w:before="0" w:lineRule="auto" w:line="360"/>
        <w:ind w:left="720"/>
        <w:jc w:val="left"/>
      </w:pPr>
      <w:r>
        <w:rPr>
          <w:rFonts w:ascii="Times New Roman" w:hAnsi="Times New Roman" w:eastAsia="Times New Roman"/>
          <w:b/>
          <w:i w:val="0"/>
          <w:sz w:val="24"/>
        </w:rPr>
        <w:t>5.1.1 Cumulative Reward and Regret</w:t>
      </w:r>
    </w:p>
    <w:p>
      <w:pPr>
        <w:spacing w:after="240" w:before="0" w:lineRule="auto" w:line="360"/>
        <w:ind w:firstLine="720"/>
        <w:jc w:val="both"/>
      </w:pPr>
      <w:r>
        <w:rPr>
          <w:rFonts w:ascii="Times New Roman" w:hAnsi="Times New Roman" w:eastAsia="Times New Roman"/>
          <w:b w:val="0"/>
          <w:i w:val="0"/>
          <w:sz w:val="24"/>
        </w:rPr>
        <w:t>Table 5.1.1 reports the cumulative reward and average regret for LinUCB against the Oracle ceiling and the Static XGBoost baseline over N = 5,000 rounds, averaged over 20 independent seeds.</w:t>
      </w:r>
    </w:p>
    <w:p>
      <w:pPr>
        <w:spacing w:after="240" w:before="0" w:lineRule="auto" w:line="360"/>
        <w:ind w:firstLine="720"/>
        <w:jc w:val="both"/>
      </w:pPr>
      <w:r>
        <w:rPr>
          <w:rFonts w:ascii="Times New Roman" w:hAnsi="Times New Roman" w:eastAsia="Times New Roman"/>
          <w:b/>
          <w:i w:val="0"/>
          <w:sz w:val="24"/>
        </w:rPr>
        <w:t>Table 5.1.1 — EXP-005 cumulative performance (N = 5,000 rounds, 20 seeds, mean ± std [95%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Metric</w:t>
            </w:r>
          </w:p>
        </w:tc>
        <w:tc>
          <w:tcPr>
            <w:tcW w:type="dxa" w:w="2167"/>
          </w:tcPr>
          <w:p>
            <w:pPr>
              <w:spacing w:after="120" w:before="0" w:lineRule="auto" w:line="276"/>
              <w:jc w:val="left"/>
            </w:pPr>
            <w:r/>
            <w:r>
              <w:rPr>
                <w:rFonts w:ascii="Times New Roman" w:hAnsi="Times New Roman" w:eastAsia="Times New Roman"/>
                <w:b w:val="0"/>
                <w:i w:val="0"/>
                <w:sz w:val="22"/>
              </w:rPr>
              <w:t>Oracle</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Static XGB Baseline</w:t>
            </w:r>
          </w:p>
        </w:tc>
      </w:tr>
      <w:tr>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126,804 ± 4,724 [124,857, 128,846]</w:t>
            </w:r>
          </w:p>
        </w:tc>
        <w:tc>
          <w:tcPr>
            <w:tcW w:type="dxa" w:w="2167"/>
          </w:tcPr>
          <w:p>
            <w:pPr>
              <w:spacing w:after="120" w:before="0" w:lineRule="auto" w:line="276"/>
              <w:jc w:val="left"/>
            </w:pPr>
            <w:r/>
            <w:r>
              <w:rPr>
                <w:rFonts w:ascii="Times New Roman" w:hAnsi="Times New Roman" w:eastAsia="Times New Roman"/>
                <w:b/>
                <w:i w:val="0"/>
                <w:sz w:val="22"/>
              </w:rPr>
              <w:t>90,540 ± 5,382 [88,287, 92,886]</w:t>
            </w:r>
          </w:p>
        </w:tc>
        <w:tc>
          <w:tcPr>
            <w:tcW w:type="dxa" w:w="2167"/>
          </w:tcPr>
          <w:p>
            <w:pPr>
              <w:spacing w:after="120" w:before="0" w:lineRule="auto" w:line="276"/>
              <w:jc w:val="left"/>
            </w:pPr>
            <w:r/>
            <w:r>
              <w:rPr>
                <w:rFonts w:ascii="Times New Roman" w:hAnsi="Times New Roman" w:eastAsia="Times New Roman"/>
                <w:b w:val="0"/>
                <w:i w:val="0"/>
                <w:sz w:val="22"/>
              </w:rPr>
              <w:t>72,292 ± 4,120 [70,646, 74,136]</w:t>
            </w:r>
          </w:p>
        </w:tc>
      </w:tr>
      <w:tr>
        <w:tc>
          <w:tcPr>
            <w:tcW w:type="dxa" w:w="2167"/>
          </w:tcPr>
          <w:p>
            <w:pPr>
              <w:spacing w:after="120" w:before="0" w:lineRule="auto" w:line="276"/>
              <w:jc w:val="left"/>
            </w:pPr>
            <w:r/>
            <w:r>
              <w:rPr>
                <w:rFonts w:ascii="Times New Roman" w:hAnsi="Times New Roman" w:eastAsia="Times New Roman"/>
                <w:b w:val="0"/>
                <w:i w:val="0"/>
                <w:sz w:val="22"/>
              </w:rPr>
              <w:t>Avg Regret (last 500 rounds)</w:t>
            </w:r>
          </w:p>
        </w:tc>
        <w:tc>
          <w:tcPr>
            <w:tcW w:type="dxa" w:w="2167"/>
          </w:tcPr>
          <w:p>
            <w:pPr>
              <w:spacing w:after="120" w:before="0" w:lineRule="auto" w:line="276"/>
              <w:jc w:val="left"/>
            </w:pPr>
            <w:r/>
            <w:r>
              <w:rPr>
                <w:rFonts w:ascii="Times New Roman" w:hAnsi="Times New Roman" w:eastAsia="Times New Roman"/>
                <w:b w:val="0"/>
                <w:i w:val="0"/>
                <w:sz w:val="22"/>
              </w:rPr>
              <w:t>-3.06 ± 2.51 [-4.04, -1.88]</w:t>
            </w:r>
          </w:p>
        </w:tc>
        <w:tc>
          <w:tcPr>
            <w:tcW w:type="dxa" w:w="2167"/>
          </w:tcPr>
          <w:p>
            <w:pPr>
              <w:spacing w:after="120" w:before="0" w:lineRule="auto" w:line="276"/>
              <w:jc w:val="left"/>
            </w:pPr>
            <w:r/>
            <w:r>
              <w:rPr>
                <w:rFonts w:ascii="Times New Roman" w:hAnsi="Times New Roman" w:eastAsia="Times New Roman"/>
                <w:b/>
                <w:i w:val="0"/>
                <w:sz w:val="22"/>
              </w:rPr>
              <w:t>2.20 ± 2.77 [1.00, 3.37]</w:t>
            </w:r>
          </w:p>
        </w:tc>
        <w:tc>
          <w:tcPr>
            <w:tcW w:type="dxa" w:w="2167"/>
          </w:tcPr>
          <w:p>
            <w:pPr>
              <w:spacing w:after="120" w:before="0" w:lineRule="auto" w:line="276"/>
              <w:jc w:val="left"/>
            </w:pPr>
            <w:r/>
            <w:r>
              <w:rPr>
                <w:rFonts w:ascii="Times New Roman" w:hAnsi="Times New Roman" w:eastAsia="Times New Roman"/>
                <w:b w:val="0"/>
                <w:i w:val="0"/>
                <w:sz w:val="22"/>
              </w:rPr>
              <w:t>9.01 ± 3.87 [7.30, 10.62]</w:t>
            </w:r>
          </w:p>
        </w:tc>
      </w:tr>
    </w:tbl>
    <w:p/>
    <w:p>
      <w:pPr>
        <w:spacing w:after="240" w:before="0" w:lineRule="auto" w:line="360"/>
        <w:ind w:firstLine="720"/>
        <w:jc w:val="both"/>
      </w:pPr>
      <w:r>
        <w:rPr>
          <w:rFonts w:ascii="Times New Roman" w:hAnsi="Times New Roman" w:eastAsia="Times New Roman"/>
          <w:b w:val="0"/>
          <w:i w:val="0"/>
          <w:sz w:val="24"/>
        </w:rPr>
        <w:t xml:space="preserve">LinUCB accumulates a mean of </w:t>
      </w:r>
      <w:r>
        <w:rPr>
          <w:rFonts w:ascii="Times New Roman" w:hAnsi="Times New Roman" w:eastAsia="Times New Roman"/>
          <w:b/>
          <w:i w:val="0"/>
          <w:sz w:val="24"/>
        </w:rPr>
        <w:t>90,540</w:t>
      </w:r>
      <w:r>
        <w:rPr>
          <w:rFonts w:ascii="Times New Roman" w:hAnsi="Times New Roman" w:eastAsia="Times New Roman"/>
          <w:b w:val="0"/>
          <w:i w:val="0"/>
          <w:sz w:val="24"/>
        </w:rPr>
        <w:t xml:space="preserve"> in total reward over 5,000 rounds, exceeding the Static XGB baseline by </w:t>
      </w:r>
      <w:r>
        <w:rPr>
          <w:rFonts w:ascii="Times New Roman" w:hAnsi="Times New Roman" w:eastAsia="Times New Roman"/>
          <w:b/>
          <w:i w:val="0"/>
          <w:sz w:val="24"/>
        </w:rPr>
        <w:t>+18,248 (+25.2 %)</w:t>
      </w:r>
      <w:r>
        <w:rPr>
          <w:rFonts w:ascii="Times New Roman" w:hAnsi="Times New Roman" w:eastAsia="Times New Roman"/>
          <w:b w:val="0"/>
          <w:i w:val="0"/>
          <w:sz w:val="24"/>
        </w:rPr>
        <w:t xml:space="preserve"> and recovering roughly 72 % of the Oracle ceiling (126,804). This confirms that </w:t>
      </w:r>
      <w:r>
        <w:rPr>
          <w:rFonts w:ascii="Times New Roman" w:hAnsi="Times New Roman" w:eastAsia="Times New Roman"/>
          <w:b w:val="0"/>
          <w:i/>
          <w:sz w:val="24"/>
        </w:rPr>
        <w:t>online adaptive estimation beats a frozen rule</w:t>
      </w:r>
      <w:r>
        <w:rPr>
          <w:rFonts w:ascii="Times New Roman" w:hAnsi="Times New Roman" w:eastAsia="Times New Roman"/>
          <w:b w:val="0"/>
          <w:i w:val="0"/>
          <w:sz w:val="24"/>
        </w:rPr>
        <w:t xml:space="preserve"> — the narrow claim that survives the baseline-ladder analysis (§5.0.1). It does </w:t>
      </w:r>
      <w:r>
        <w:rPr>
          <w:rFonts w:ascii="Times New Roman" w:hAnsi="Times New Roman" w:eastAsia="Times New Roman"/>
          <w:b/>
          <w:i w:val="0"/>
          <w:sz w:val="24"/>
        </w:rPr>
        <w:t>not</w:t>
      </w:r>
      <w:r>
        <w:rPr>
          <w:rFonts w:ascii="Times New Roman" w:hAnsi="Times New Roman" w:eastAsia="Times New Roman"/>
          <w:b w:val="0"/>
          <w:i w:val="0"/>
          <w:sz w:val="24"/>
        </w:rPr>
        <w:t xml:space="preserve">, however, establish that LinUCB learns a strong policy in absolute terms: the same 72 %-of-oracle reward leaves it a full tier below the trivial AlwaysRATED constant (96.8 % of oracle; §5.0.1, §5.3). The late-round average regret is more diagnostic of the gap to the </w:t>
      </w:r>
      <w:r>
        <w:rPr>
          <w:rFonts w:ascii="Times New Roman" w:hAnsi="Times New Roman" w:eastAsia="Times New Roman"/>
          <w:b w:val="0"/>
          <w:i/>
          <w:sz w:val="24"/>
        </w:rPr>
        <w:t>rule</w:t>
      </w:r>
      <w:r>
        <w:rPr>
          <w:rFonts w:ascii="Times New Roman" w:hAnsi="Times New Roman" w:eastAsia="Times New Roman"/>
          <w:b w:val="0"/>
          <w:i w:val="0"/>
          <w:sz w:val="24"/>
        </w:rPr>
        <w:t xml:space="preserve">: LinUCB pays only 2.20 per round in the final 500 rounds — within 5 of the Oracle floor — while the Static XGB baseline continues to misallocate underwriting actions at four times that rate (9.01/round). The gap to Static XGB widens monotonically across the run, but §5.13 shows that what the bandit converges </w:t>
      </w:r>
      <w:r>
        <w:rPr>
          <w:rFonts w:ascii="Times New Roman" w:hAnsi="Times New Roman" w:eastAsia="Times New Roman"/>
          <w:b w:val="0"/>
          <w:i/>
          <w:sz w:val="24"/>
        </w:rPr>
        <w:t>to</w:t>
      </w:r>
      <w:r>
        <w:rPr>
          <w:rFonts w:ascii="Times New Roman" w:hAnsi="Times New Roman" w:eastAsia="Times New Roman"/>
          <w:b w:val="0"/>
          <w:i w:val="0"/>
          <w:sz w:val="24"/>
        </w:rPr>
        <w:t xml:space="preserve"> is a steady-state policy whose per-round reward remains below the constant's — so the convergence demonstrated here is convergence to a </w:t>
      </w:r>
      <w:r>
        <w:rPr>
          <w:rFonts w:ascii="Times New Roman" w:hAnsi="Times New Roman" w:eastAsia="Times New Roman"/>
          <w:b w:val="0"/>
          <w:i/>
          <w:sz w:val="24"/>
        </w:rPr>
        <w:t>profitable-but-suboptimal</w:t>
      </w:r>
      <w:r>
        <w:rPr>
          <w:rFonts w:ascii="Times New Roman" w:hAnsi="Times New Roman" w:eastAsia="Times New Roman"/>
          <w:b w:val="0"/>
          <w:i w:val="0"/>
          <w:sz w:val="24"/>
        </w:rPr>
        <w:t xml:space="preserve"> policy, not to the best available one.</w:t>
      </w:r>
    </w:p>
    <w:p>
      <w:pPr>
        <w:spacing w:after="240" w:before="0" w:lineRule="auto" w:line="360"/>
        <w:ind w:firstLine="720"/>
        <w:jc w:val="both"/>
      </w:pPr>
      <w:r>
        <w:rPr>
          <w:rFonts w:ascii="Times New Roman" w:hAnsi="Times New Roman" w:eastAsia="Times New Roman"/>
          <w:b/>
          <w:i w:val="0"/>
          <w:sz w:val="24"/>
        </w:rPr>
        <w:t>Statistical inference (paired, 20 seeds).</w:t>
      </w:r>
      <w:r>
        <w:rPr>
          <w:rFonts w:ascii="Times New Roman" w:hAnsi="Times New Roman" w:eastAsia="Times New Roman"/>
          <w:b w:val="0"/>
          <w:i w:val="0"/>
          <w:sz w:val="24"/>
        </w:rPr>
        <w:t xml:space="preserve"> The reward difference is highly significant under a paired Wilcoxon signed-rank test (p &lt; 0.001, mean diff +18,248, 95% CI [+15,595, +20,858], Cohen's d = 2.98, large effect). The regret difference is equally robust (p &lt; 0.001, mean diff -6.81, 95% CI [-8.60, -4.90], Cohen's d = -1.59, large effect). Both pairwise comparisons remain significant after Bonferroni correction for the two tests.</w:t>
      </w:r>
    </w:p>
    <w:p>
      <w:pPr>
        <w:spacing w:after="120" w:before="0" w:lineRule="auto" w:line="360"/>
        <w:jc w:val="center"/>
      </w:pPr>
      <w:r>
        <w:drawing>
          <wp:inline xmlns:a="http://schemas.openxmlformats.org/drawingml/2006/main" xmlns:pic="http://schemas.openxmlformats.org/drawingml/2006/picture">
            <wp:extent cx="5486400" cy="3218688"/>
            <wp:docPr id="9" name="Picture 9"/>
            <wp:cNvGraphicFramePr>
              <a:graphicFrameLocks noChangeAspect="1"/>
            </wp:cNvGraphicFramePr>
            <a:graphic>
              <a:graphicData uri="http://schemas.openxmlformats.org/drawingml/2006/picture">
                <pic:pic>
                  <pic:nvPicPr>
                    <pic:cNvPr id="0" name="fig_action_evolution.png"/>
                    <pic:cNvPicPr/>
                  </pic:nvPicPr>
                  <pic:blipFill>
                    <a:blip r:embed="rId19"/>
                    <a:stretch>
                      <a:fillRect/>
                    </a:stretch>
                  </pic:blipFill>
                  <pic:spPr>
                    <a:xfrm>
                      <a:off x="0" y="0"/>
                      <a:ext cx="5486400" cy="321868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5.2. Evolution of action distribution over 5,000 rounds. Entropy decreases from 1.31 (uniform-like exploration) to 1.10 (exploitation regime).</w:t>
      </w:r>
    </w:p>
    <w:p>
      <w:pPr>
        <w:spacing w:after="240" w:before="0" w:lineRule="auto" w:line="360"/>
        <w:ind w:left="720"/>
        <w:jc w:val="left"/>
      </w:pPr>
      <w:r>
        <w:rPr>
          <w:rFonts w:ascii="Times New Roman" w:hAnsi="Times New Roman" w:eastAsia="Times New Roman"/>
          <w:b/>
          <w:i w:val="0"/>
          <w:sz w:val="24"/>
        </w:rPr>
        <w:t>5.1.2 Action Distribution Evolution and Entropy</w:t>
      </w:r>
    </w:p>
    <w:p>
      <w:pPr>
        <w:spacing w:after="240" w:before="0" w:lineRule="auto" w:line="360"/>
        <w:ind w:firstLine="720"/>
        <w:jc w:val="both"/>
      </w:pPr>
      <w:r>
        <w:rPr>
          <w:rFonts w:ascii="Times New Roman" w:hAnsi="Times New Roman" w:eastAsia="Times New Roman"/>
          <w:b w:val="0"/>
          <w:i w:val="0"/>
          <w:sz w:val="24"/>
        </w:rPr>
        <w:t xml:space="preserve">Action entropy provides a seed-invariant measure of exploration intensity. Early in the run (rounds 1–500), LinUCB distributes its four actions relatively uniformly: mean entropy is 1.314 ± 0.017 nats, close to but below the uniform-distribution maximum of </w:t>
      </w:r>
      <w:r>
        <w:rPr>
          <w:rFonts w:ascii="Times New Roman" w:hAnsi="Times New Roman" w:eastAsia="Times New Roman"/>
          <w:b w:val="0"/>
          <w:i/>
          <w:sz w:val="24"/>
        </w:rPr>
        <w:t>log 4 ≈ 1.386</w:t>
      </w:r>
      <w:r>
        <w:rPr>
          <w:rFonts w:ascii="Times New Roman" w:hAnsi="Times New Roman" w:eastAsia="Times New Roman"/>
          <w:b w:val="0"/>
          <w:i w:val="0"/>
          <w:sz w:val="24"/>
        </w:rPr>
        <w:t xml:space="preserve"> nats. By rounds 4,500–5,000, mean entropy has fallen to 1.105 ± 0.036 nats — a statistically significant decrease that reflects the bandit's progression from exploration to exploitation. Across all 20 seeds the late entropy is strictly less than the early entropy, satisfying the convergence pass criterion.</w:t>
      </w:r>
    </w:p>
    <w:p>
      <w:pPr>
        <w:spacing w:after="240" w:before="0" w:lineRule="auto" w:line="360"/>
        <w:ind w:firstLine="720"/>
        <w:jc w:val="both"/>
      </w:pPr>
      <w:r>
        <w:rPr>
          <w:rFonts w:ascii="Times New Roman" w:hAnsi="Times New Roman" w:eastAsia="Times New Roman"/>
          <w:b w:val="0"/>
          <w:i w:val="0"/>
          <w:sz w:val="24"/>
        </w:rPr>
        <w:t>Qualitatively, this entropy decrease is driven principally by the REFER arm: in the early phase REFER is over-selected because its prior is uninformative and its UCB bonus is correspondingly inflated; once the bandit has observed enough (context, action, reward) triples to estimate reliable feature–reward coefficients for the dominant applicant archetypes, REFER selection collapses and the policy concentrates on STANDARD, RATED, and DECLINE in proportions consistent with the underlying actuarial risk distribution.</w:t>
      </w:r>
    </w:p>
    <w:p>
      <w:pPr>
        <w:spacing w:after="240" w:before="0" w:lineRule="auto" w:line="360"/>
        <w:ind w:left="720"/>
        <w:jc w:val="left"/>
      </w:pPr>
      <w:r>
        <w:rPr>
          <w:rFonts w:ascii="Times New Roman" w:hAnsi="Times New Roman" w:eastAsia="Times New Roman"/>
          <w:b/>
          <w:i w:val="0"/>
          <w:sz w:val="24"/>
        </w:rPr>
        <w:t>5.1.3 Learning Curve Analysis</w:t>
      </w:r>
    </w:p>
    <w:p>
      <w:pPr>
        <w:spacing w:after="240" w:before="0" w:lineRule="auto" w:line="360"/>
        <w:ind w:firstLine="720"/>
        <w:jc w:val="both"/>
      </w:pPr>
      <w:r>
        <w:rPr>
          <w:rFonts w:ascii="Times New Roman" w:hAnsi="Times New Roman" w:eastAsia="Times New Roman"/>
          <w:b w:val="0"/>
          <w:i w:val="0"/>
          <w:sz w:val="24"/>
        </w:rPr>
        <w:t xml:space="preserve">The reward curve separates from the Static XGB baseline within the first few hundred rounds, after which LinUCB's cumulative reward grows at a consistently steeper slope until the gap stabilises at roughly 18,000 by the end of the run. The corresponding regret curve grows approximately as </w:t>
      </w:r>
      <w:r>
        <w:rPr>
          <w:rFonts w:ascii="Times New Roman" w:hAnsi="Times New Roman" w:eastAsia="Times New Roman"/>
          <w:b w:val="0"/>
          <w:i/>
          <w:sz w:val="24"/>
        </w:rPr>
        <w:t>O(√(t))</w:t>
      </w:r>
      <w:r>
        <w:rPr>
          <w:rFonts w:ascii="Times New Roman" w:hAnsi="Times New Roman" w:eastAsia="Times New Roman"/>
          <w:b w:val="0"/>
          <w:i w:val="0"/>
          <w:sz w:val="24"/>
        </w:rPr>
        <w:t xml:space="preserve"> in the early phase — consistent with the theoretical LinUCB bound of </w:t>
      </w:r>
      <w:r>
        <w:rPr>
          <w:rFonts w:ascii="Times New Roman" w:hAnsi="Times New Roman" w:eastAsia="Times New Roman"/>
          <w:b w:val="0"/>
          <w:i/>
          <w:sz w:val="24"/>
        </w:rPr>
        <w:t>Õ(d√(T))</w:t>
      </w:r>
      <w:r>
        <w:rPr>
          <w:rFonts w:ascii="Times New Roman" w:hAnsi="Times New Roman" w:eastAsia="Times New Roman"/>
          <w:b w:val="0"/>
          <w:i w:val="0"/>
          <w:sz w:val="24"/>
        </w:rPr>
        <w:t xml:space="preserve"> for a </w:t>
      </w:r>
      <w:r>
        <w:rPr>
          <w:rFonts w:ascii="Times New Roman" w:hAnsi="Times New Roman" w:eastAsia="Times New Roman"/>
          <w:b w:val="0"/>
          <w:i/>
          <w:sz w:val="24"/>
        </w:rPr>
        <w:t>d</w:t>
      </w:r>
      <w:r>
        <w:rPr>
          <w:rFonts w:ascii="Times New Roman" w:hAnsi="Times New Roman" w:eastAsia="Times New Roman"/>
          <w:b w:val="0"/>
          <w:i w:val="0"/>
          <w:sz w:val="24"/>
        </w:rPr>
        <w:t>-dimensional feature space (Li et al., 2010) — before flattening as the bandit's posterior tightens. §5.6 reports a direct empirical validation of this T-dependence: a log-log fit of mean cumulative regret across 20 seeds recovers a slope of 0.564 ± 0.142 (mean-curve slope 0.572, R² = 0.99), bracketing the theoretical 0.5.</w:t>
      </w:r>
    </w:p>
    <w:p>
      <w:pPr>
        <w:spacing w:after="240" w:before="0" w:lineRule="auto" w:line="360"/>
        <w:ind w:firstLine="720"/>
        <w:jc w:val="both"/>
      </w:pPr>
      <w:r>
        <w:rPr>
          <w:rFonts w:ascii="Times New Roman" w:hAnsi="Times New Roman" w:eastAsia="Times New Roman"/>
          <w:b w:val="0"/>
          <w:i w:val="0"/>
          <w:sz w:val="24"/>
        </w:rPr>
        <w:t xml:space="preserve">Action accuracy against the Oracle is </w:t>
      </w:r>
      <w:r>
        <w:rPr>
          <w:rFonts w:ascii="Times New Roman" w:hAnsi="Times New Roman" w:eastAsia="Times New Roman"/>
          <w:b/>
          <w:i w:val="0"/>
          <w:sz w:val="24"/>
        </w:rPr>
        <w:t>37.8% ± 3%</w:t>
      </w:r>
      <w:r>
        <w:rPr>
          <w:rFonts w:ascii="Times New Roman" w:hAnsi="Times New Roman" w:eastAsia="Times New Roman"/>
          <w:b w:val="0"/>
          <w:i w:val="0"/>
          <w:sz w:val="24"/>
        </w:rPr>
        <w:t xml:space="preserve"> in the last 500 rounds. This is well above the 30% pass threshold but far from 100%, and the interpretation deserves emphasis: the bandit is not converging to the Oracle's exact policy. Instead it is discovering a </w:t>
      </w:r>
      <w:r>
        <w:rPr>
          <w:rFonts w:ascii="Times New Roman" w:hAnsi="Times New Roman" w:eastAsia="Times New Roman"/>
          <w:b w:val="0"/>
          <w:i/>
          <w:sz w:val="24"/>
        </w:rPr>
        <w:t>different but profitable</w:t>
      </w:r>
      <w:r>
        <w:rPr>
          <w:rFonts w:ascii="Times New Roman" w:hAnsi="Times New Roman" w:eastAsia="Times New Roman"/>
          <w:b w:val="0"/>
          <w:i w:val="0"/>
          <w:sz w:val="24"/>
        </w:rPr>
        <w:t xml:space="preserve"> policy that achieves 72% of the Oracle's reward. This pattern reflects a limited-feature regime: because the linear reward model in `expected_rewards()` uses the same 34-feature context that the bandit observes — while the Oracle has access to the per-sample stochastic noise realisation — the bandit cannot match the Oracle's action choices case-by-case. Instead it learns an alternative policy that is near-optimal </w:t>
      </w:r>
      <w:r>
        <w:rPr>
          <w:rFonts w:ascii="Times New Roman" w:hAnsi="Times New Roman" w:eastAsia="Times New Roman"/>
          <w:b w:val="0"/>
          <w:i/>
          <w:sz w:val="24"/>
        </w:rPr>
        <w:t>within the available feature subspace</w:t>
      </w:r>
      <w:r>
        <w:rPr>
          <w:rFonts w:ascii="Times New Roman" w:hAnsi="Times New Roman" w:eastAsia="Times New Roman"/>
          <w:b w:val="0"/>
          <w:i w:val="0"/>
          <w:sz w:val="24"/>
        </w:rPr>
        <w:t xml:space="preserve">. From an actuarial perspective the bandit learns an alternative policy that is </w:t>
      </w:r>
      <w:r>
        <w:rPr>
          <w:rFonts w:ascii="Times New Roman" w:hAnsi="Times New Roman" w:eastAsia="Times New Roman"/>
          <w:b w:val="0"/>
          <w:i/>
          <w:sz w:val="24"/>
        </w:rPr>
        <w:t>locally</w:t>
      </w:r>
      <w:r>
        <w:rPr>
          <w:rFonts w:ascii="Times New Roman" w:hAnsi="Times New Roman" w:eastAsia="Times New Roman"/>
          <w:b w:val="0"/>
          <w:i w:val="0"/>
          <w:sz w:val="24"/>
        </w:rPr>
        <w:t xml:space="preserve"> sensible given observable features; but "maximises observable reward" overstates it — a constant policy and a fully-supervised linear model on the same features both score higher (§5.0.1, §5.11). The 37.8 % Oracle-agreement should be read as </w:t>
      </w:r>
      <w:r>
        <w:rPr>
          <w:rFonts w:ascii="Times New Roman" w:hAnsi="Times New Roman" w:eastAsia="Times New Roman"/>
          <w:b w:val="0"/>
          <w:i/>
          <w:sz w:val="24"/>
        </w:rPr>
        <w:t>the bandit settling into a distinct, lower-reward policy</w:t>
      </w:r>
      <w:r>
        <w:rPr>
          <w:rFonts w:ascii="Times New Roman" w:hAnsi="Times New Roman" w:eastAsia="Times New Roman"/>
          <w:b w:val="0"/>
          <w:i w:val="0"/>
          <w:sz w:val="24"/>
        </w:rPr>
        <w:t>, the structural character of which is examined in §5.13.</w:t>
      </w:r>
    </w:p>
    <w:p>
      <w:pPr>
        <w:spacing w:after="240" w:before="0" w:lineRule="auto" w:line="360"/>
        <w:ind w:left="720"/>
        <w:jc w:val="left"/>
      </w:pPr>
      <w:r>
        <w:rPr>
          <w:rFonts w:ascii="Times New Roman" w:hAnsi="Times New Roman" w:eastAsia="Times New Roman"/>
          <w:b/>
          <w:i w:val="0"/>
          <w:sz w:val="24"/>
        </w:rPr>
        <w:t>5.1.4 Pass/Fail Assessment</w:t>
      </w:r>
    </w:p>
    <w:p>
      <w:pPr>
        <w:spacing w:after="240" w:before="0" w:lineRule="auto" w:line="360"/>
        <w:ind w:firstLine="720"/>
        <w:jc w:val="both"/>
      </w:pPr>
      <w:r>
        <w:rPr>
          <w:rFonts w:ascii="Times New Roman" w:hAnsi="Times New Roman" w:eastAsia="Times New Roman"/>
          <w:b w:val="0"/>
          <w:i w:val="0"/>
          <w:sz w:val="24"/>
        </w:rPr>
        <w:t>Five pre-registered criteria were evaluated on 20 seeds:</w:t>
      </w:r>
    </w:p>
    <w:p>
      <w:pPr>
        <w:pStyle w:val="ListNumber"/>
        <w:ind w:left="720"/>
      </w:pPr>
      <w:r>
        <w:rPr>
          <w:rFonts w:ascii="Times New Roman" w:hAnsi="Times New Roman" w:eastAsia="Times New Roman"/>
          <w:b/>
          <w:i w:val="0"/>
          <w:sz w:val="24"/>
        </w:rPr>
        <w:t>LinUCB cumulative reward significantly &gt; Static XGB</w:t>
      </w:r>
      <w:r>
        <w:rPr>
          <w:rFonts w:ascii="Times New Roman" w:hAnsi="Times New Roman" w:eastAsia="Times New Roman"/>
          <w:b w:val="0"/>
          <w:i w:val="0"/>
          <w:sz w:val="24"/>
        </w:rPr>
        <w:t xml:space="preserve"> — +18,248,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avg regret (last 500) significantly &lt; Static XGB</w:t>
      </w:r>
      <w:r>
        <w:rPr>
          <w:rFonts w:ascii="Times New Roman" w:hAnsi="Times New Roman" w:eastAsia="Times New Roman"/>
          <w:b w:val="0"/>
          <w:i w:val="0"/>
          <w:sz w:val="24"/>
        </w:rPr>
        <w:t xml:space="preserve"> — -6.81,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entropy decreases (exploration → exploitation)</w:t>
      </w:r>
      <w:r>
        <w:rPr>
          <w:rFonts w:ascii="Times New Roman" w:hAnsi="Times New Roman" w:eastAsia="Times New Roman"/>
          <w:b w:val="0"/>
          <w:i w:val="0"/>
          <w:sz w:val="24"/>
        </w:rPr>
        <w:t xml:space="preserve"> — 1.314 \to 1.105.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accuracy (last 500) &gt; 30%</w:t>
      </w:r>
      <w:r>
        <w:rPr>
          <w:rFonts w:ascii="Times New Roman" w:hAnsi="Times New Roman" w:eastAsia="Times New Roman"/>
          <w:b w:val="0"/>
          <w:i w:val="0"/>
          <w:sz w:val="24"/>
        </w:rPr>
        <w:t xml:space="preserve"> — 37.8\% (different but profitable policy).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action accuracy = 100%</w:t>
      </w:r>
      <w:r>
        <w:rPr>
          <w:rFonts w:ascii="Times New Roman" w:hAnsi="Times New Roman" w:eastAsia="Times New Roman"/>
          <w:b w:val="0"/>
          <w:i w:val="0"/>
          <w:sz w:val="24"/>
        </w:rPr>
        <w:t xml:space="preserve"> (sanity check). </w:t>
      </w:r>
      <w:r>
        <w:rPr>
          <w:rFonts w:ascii="Times New Roman" w:hAnsi="Times New Roman" w:eastAsia="Times New Roman"/>
          <w:b/>
          <w:i w:val="0"/>
          <w:sz w:val="24"/>
        </w:rPr>
        <w:t>PASSED.</w:t>
      </w:r>
    </w:p>
    <w:p>
      <w:pPr>
        <w:spacing w:after="240" w:before="0" w:lineRule="auto" w:line="360"/>
        <w:jc w:val="left"/>
      </w:pPr>
      <w:r>
        <w:rPr>
          <w:rFonts w:ascii="Times New Roman" w:hAnsi="Times New Roman" w:eastAsia="Times New Roman"/>
          <w:b/>
          <w:i w:val="0"/>
          <w:sz w:val="28"/>
        </w:rPr>
        <w:t>5.2 EXP-006: Fairness Audit</w:t>
      </w:r>
    </w:p>
    <w:p>
      <w:pPr>
        <w:spacing w:after="120" w:before="0" w:lineRule="auto" w:line="360"/>
        <w:jc w:val="center"/>
      </w:pPr>
      <w:r>
        <w:drawing>
          <wp:inline xmlns:a="http://schemas.openxmlformats.org/drawingml/2006/main" xmlns:pic="http://schemas.openxmlformats.org/drawingml/2006/picture">
            <wp:extent cx="5486400" cy="2873518"/>
            <wp:docPr id="10" name="Picture 10"/>
            <wp:cNvGraphicFramePr>
              <a:graphicFrameLocks noChangeAspect="1"/>
            </wp:cNvGraphicFramePr>
            <a:graphic>
              <a:graphicData uri="http://schemas.openxmlformats.org/drawingml/2006/picture">
                <pic:pic>
                  <pic:nvPicPr>
                    <pic:cNvPr id="0" name="fig_fairness_region.png"/>
                    <pic:cNvPicPr/>
                  </pic:nvPicPr>
                  <pic:blipFill>
                    <a:blip r:embed="rId20"/>
                    <a:stretch>
                      <a:fillRect/>
                    </a:stretch>
                  </pic:blipFill>
                  <pic:spPr>
                    <a:xfrm>
                      <a:off x="0" y="0"/>
                      <a:ext cx="5486400" cy="287351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 Converged-phase regional approval rates with the EEOC four-fifths (80% of maximum) threshold overlay. All six regions exceed the threshold (min/max parity = 85.7%).</w:t>
      </w:r>
    </w:p>
    <w:p>
      <w:pPr>
        <w:spacing w:after="240" w:before="0" w:lineRule="auto" w:line="360"/>
        <w:ind w:left="720"/>
        <w:jc w:val="left"/>
      </w:pPr>
      <w:r>
        <w:rPr>
          <w:rFonts w:ascii="Times New Roman" w:hAnsi="Times New Roman" w:eastAsia="Times New Roman"/>
          <w:b/>
          <w:i w:val="0"/>
          <w:sz w:val="24"/>
        </w:rPr>
        <w:t>5.2.1 Sliding-Window PSI</w:t>
      </w:r>
    </w:p>
    <w:p>
      <w:pPr>
        <w:spacing w:after="240" w:before="0" w:lineRule="auto" w:line="360"/>
        <w:ind w:firstLine="720"/>
        <w:jc w:val="both"/>
      </w:pPr>
      <w:r>
        <w:rPr>
          <w:rFonts w:ascii="Times New Roman" w:hAnsi="Times New Roman" w:eastAsia="Times New Roman"/>
          <w:b w:val="0"/>
          <w:i w:val="0"/>
          <w:sz w:val="24"/>
        </w:rPr>
        <w:t xml:space="preserve">Rather than computing a single PSI between the full applicant pool and the final approved portfolio, EXP-006 evaluates PSI on a 500-round sliding window against a fixed reference window (the first 500 rounds of each seed). This captures whether the bandit's learning trajectory introduces </w:t>
      </w:r>
      <w:r>
        <w:rPr>
          <w:rFonts w:ascii="Times New Roman" w:hAnsi="Times New Roman" w:eastAsia="Times New Roman"/>
          <w:b w:val="0"/>
          <w:i/>
          <w:sz w:val="24"/>
        </w:rPr>
        <w:t>temporal</w:t>
      </w:r>
      <w:r>
        <w:rPr>
          <w:rFonts w:ascii="Times New Roman" w:hAnsi="Times New Roman" w:eastAsia="Times New Roman"/>
          <w:b w:val="0"/>
          <w:i w:val="0"/>
          <w:sz w:val="24"/>
        </w:rPr>
        <w:t xml:space="preserve"> demographic concentration, not only end-state concentration. The maximum sliding-window PSI across the run is the relevant guardrail metric for live deployment.</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maximum sliding-window PSI = 0.0821 ± 0.0213 (95% CI [0.0727, 0.0913]); final-window PSI = 0.0424 ± 0.0233. Both values are in the </w:t>
      </w:r>
      <w:r>
        <w:rPr>
          <w:rFonts w:ascii="Times New Roman" w:hAnsi="Times New Roman" w:eastAsia="Times New Roman"/>
          <w:b/>
          <w:i w:val="0"/>
          <w:sz w:val="24"/>
        </w:rPr>
        <w:t>GREEN</w:t>
      </w:r>
      <w:r>
        <w:rPr>
          <w:rFonts w:ascii="Times New Roman" w:hAnsi="Times New Roman" w:eastAsia="Times New Roman"/>
          <w:b w:val="0"/>
          <w:i w:val="0"/>
          <w:sz w:val="24"/>
        </w:rPr>
        <w:t xml:space="preserve"> zone (&lt; 0.10), confirming that LinUCB never induces a regionally concentrated approval pattern at any point during the run.</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maximum sliding-window PSI = 0.1225 ± 0.0793 (95% CI [0.0953, 0.1613]); final-window PSI = 0.0710 ± 0.0299. The maximum value sits at the lower edge of the </w:t>
      </w:r>
      <w:r>
        <w:rPr>
          <w:rFonts w:ascii="Times New Roman" w:hAnsi="Times New Roman" w:eastAsia="Times New Roman"/>
          <w:b/>
          <w:i w:val="0"/>
          <w:sz w:val="24"/>
        </w:rPr>
        <w:t>AMBER</w:t>
      </w:r>
      <w:r>
        <w:rPr>
          <w:rFonts w:ascii="Times New Roman" w:hAnsi="Times New Roman" w:eastAsia="Times New Roman"/>
          <w:b w:val="0"/>
          <w:i w:val="0"/>
          <w:sz w:val="24"/>
        </w:rPr>
        <w:t xml:space="preserve"> band on average but well below the </w:t>
      </w:r>
      <w:r>
        <w:rPr>
          <w:rFonts w:ascii="Times New Roman" w:hAnsi="Times New Roman" w:eastAsia="Times New Roman"/>
          <w:b/>
          <w:i w:val="0"/>
          <w:sz w:val="24"/>
        </w:rPr>
        <w:t>RED</w:t>
      </w:r>
      <w:r>
        <w:rPr>
          <w:rFonts w:ascii="Times New Roman" w:hAnsi="Times New Roman" w:eastAsia="Times New Roman"/>
          <w:b w:val="0"/>
          <w:i w:val="0"/>
          <w:sz w:val="24"/>
        </w:rPr>
        <w:t xml:space="preserve"> threshold (&lt; 0.25); the final-window value is comfortably </w:t>
      </w:r>
      <w:r>
        <w:rPr>
          <w:rFonts w:ascii="Times New Roman" w:hAnsi="Times New Roman" w:eastAsia="Times New Roman"/>
          <w:b/>
          <w:i w:val="0"/>
          <w:sz w:val="24"/>
        </w:rPr>
        <w:t>GREEN</w:t>
      </w:r>
      <w:r>
        <w:rPr>
          <w:rFonts w:ascii="Times New Roman" w:hAnsi="Times New Roman" w:eastAsia="Times New Roman"/>
          <w:b w:val="0"/>
          <w:i w:val="0"/>
          <w:sz w:val="24"/>
        </w:rPr>
        <w:t>. This indicates a transient occupational concentration during exploration that resolves itself as the bandit converges.</w:t>
      </w:r>
    </w:p>
    <w:p>
      <w:pPr>
        <w:spacing w:after="240" w:before="0" w:lineRule="auto" w:line="360"/>
        <w:ind w:left="720"/>
        <w:jc w:val="left"/>
      </w:pPr>
      <w:r>
        <w:rPr>
          <w:rFonts w:ascii="Times New Roman" w:hAnsi="Times New Roman" w:eastAsia="Times New Roman"/>
          <w:b/>
          <w:i w:val="0"/>
          <w:sz w:val="24"/>
        </w:rPr>
        <w:t>5.2.2 Approval-Rate Parity (EEOC 4/5 Rule)</w:t>
      </w:r>
    </w:p>
    <w:p>
      <w:pPr>
        <w:spacing w:after="240" w:before="0" w:lineRule="auto" w:line="360"/>
        <w:ind w:firstLine="720"/>
        <w:jc w:val="both"/>
      </w:pPr>
      <w:r>
        <w:rPr>
          <w:rFonts w:ascii="Times New Roman" w:hAnsi="Times New Roman" w:eastAsia="Times New Roman"/>
          <w:b w:val="0"/>
          <w:i w:val="0"/>
          <w:sz w:val="24"/>
        </w:rPr>
        <w:t>Approval rates (proportion of STANDARD + RATED decisions) were computed on the converged phase (rounds 3,000–4,999) for each demographic group. The pre-registered constraint is the U.S. EEOC "four-fifths" rule: the minimum group approval rate should be at least 80% of the maximum group's rate.</w:t>
      </w:r>
    </w:p>
    <w:p>
      <w:pPr>
        <w:spacing w:after="240" w:before="0" w:lineRule="auto" w:line="360"/>
        <w:ind w:firstLine="720"/>
        <w:jc w:val="both"/>
      </w:pPr>
      <w:r>
        <w:rPr>
          <w:rFonts w:ascii="Times New Roman" w:hAnsi="Times New Roman" w:eastAsia="Times New Roman"/>
          <w:b/>
          <w:i w:val="0"/>
          <w:sz w:val="24"/>
        </w:rPr>
        <w:t>Table 5.2.1 — EXP-006 converged-phase approval rates (rounds 3,000–4,999, 20 seeds)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Dimension</w:t>
            </w:r>
          </w:p>
        </w:tc>
        <w:tc>
          <w:tcPr>
            <w:tcW w:type="dxa" w:w="1734"/>
          </w:tcPr>
          <w:p>
            <w:pPr>
              <w:spacing w:after="120" w:before="0" w:lineRule="auto" w:line="276"/>
              <w:jc w:val="left"/>
            </w:pPr>
            <w:r/>
            <w:r>
              <w:rPr>
                <w:rFonts w:ascii="Times New Roman" w:hAnsi="Times New Roman" w:eastAsia="Times New Roman"/>
                <w:b w:val="0"/>
                <w:i w:val="0"/>
                <w:sz w:val="22"/>
              </w:rPr>
              <w:t>Min Approval</w:t>
            </w:r>
          </w:p>
        </w:tc>
        <w:tc>
          <w:tcPr>
            <w:tcW w:type="dxa" w:w="1734"/>
          </w:tcPr>
          <w:p>
            <w:pPr>
              <w:spacing w:after="120" w:before="0" w:lineRule="auto" w:line="276"/>
              <w:jc w:val="left"/>
            </w:pPr>
            <w:r/>
            <w:r>
              <w:rPr>
                <w:rFonts w:ascii="Times New Roman" w:hAnsi="Times New Roman" w:eastAsia="Times New Roman"/>
                <w:b w:val="0"/>
                <w:i w:val="0"/>
                <w:sz w:val="22"/>
              </w:rPr>
              <w:t>Max Approval</w:t>
            </w:r>
          </w:p>
        </w:tc>
        <w:tc>
          <w:tcPr>
            <w:tcW w:type="dxa" w:w="1734"/>
          </w:tcPr>
          <w:p>
            <w:pPr>
              <w:spacing w:after="120" w:before="0" w:lineRule="auto" w:line="276"/>
              <w:jc w:val="left"/>
            </w:pPr>
            <w:r/>
            <w:r>
              <w:rPr>
                <w:rFonts w:ascii="Times New Roman" w:hAnsi="Times New Roman" w:eastAsia="Times New Roman"/>
                <w:b w:val="0"/>
                <w:i w:val="0"/>
                <w:sz w:val="22"/>
              </w:rPr>
              <w:t>Parity Ratio (Min/Max)</w:t>
            </w:r>
          </w:p>
        </w:tc>
        <w:tc>
          <w:tcPr>
            <w:tcW w:type="dxa" w:w="1734"/>
          </w:tcPr>
          <w:p>
            <w:pPr>
              <w:spacing w:after="120" w:before="0" w:lineRule="auto" w:line="276"/>
              <w:jc w:val="left"/>
            </w:pPr>
            <w:r/>
            <w:r>
              <w:rPr>
                <w:rFonts w:ascii="Times New Roman" w:hAnsi="Times New Roman" w:eastAsia="Times New Roman"/>
                <w:b w:val="0"/>
                <w:i w:val="0"/>
                <w:sz w:val="22"/>
              </w:rPr>
              <w:t>EEOC 4/5 Rule (≥ 80%)</w:t>
            </w:r>
          </w:p>
        </w:tc>
      </w:tr>
      <w:tr>
        <w:tc>
          <w:tcPr>
            <w:tcW w:type="dxa" w:w="1734"/>
          </w:tcPr>
          <w:p>
            <w:pPr>
              <w:spacing w:after="120" w:before="0" w:lineRule="auto" w:line="276"/>
              <w:jc w:val="left"/>
            </w:pPr>
            <w:r/>
            <w:r>
              <w:rPr>
                <w:rFonts w:ascii="Times New Roman" w:hAnsi="Times New Roman" w:eastAsia="Times New Roman"/>
                <w:b w:val="0"/>
                <w:i w:val="0"/>
                <w:sz w:val="22"/>
              </w:rPr>
              <w:t>Region</w:t>
            </w:r>
          </w:p>
        </w:tc>
        <w:tc>
          <w:tcPr>
            <w:tcW w:type="dxa" w:w="1734"/>
          </w:tcPr>
          <w:p>
            <w:pPr>
              <w:spacing w:after="120" w:before="0" w:lineRule="auto" w:line="276"/>
              <w:jc w:val="left"/>
            </w:pPr>
            <w:r/>
            <w:r>
              <w:rPr>
                <w:rFonts w:ascii="Times New Roman" w:hAnsi="Times New Roman" w:eastAsia="Times New Roman"/>
                <w:b w:val="0"/>
                <w:i w:val="0"/>
                <w:sz w:val="22"/>
              </w:rPr>
              <w:t>0.6622 ± 0.0493</w:t>
            </w:r>
          </w:p>
        </w:tc>
        <w:tc>
          <w:tcPr>
            <w:tcW w:type="dxa" w:w="1734"/>
          </w:tcPr>
          <w:p>
            <w:pPr>
              <w:spacing w:after="120" w:before="0" w:lineRule="auto" w:line="276"/>
              <w:jc w:val="left"/>
            </w:pPr>
            <w:r/>
            <w:r>
              <w:rPr>
                <w:rFonts w:ascii="Times New Roman" w:hAnsi="Times New Roman" w:eastAsia="Times New Roman"/>
                <w:b w:val="0"/>
                <w:i w:val="0"/>
                <w:sz w:val="22"/>
              </w:rPr>
              <w:t>0.7725 ± 0.0315</w:t>
            </w:r>
          </w:p>
        </w:tc>
        <w:tc>
          <w:tcPr>
            <w:tcW w:type="dxa" w:w="1734"/>
          </w:tcPr>
          <w:p>
            <w:pPr>
              <w:spacing w:after="120" w:before="0" w:lineRule="auto" w:line="276"/>
              <w:jc w:val="left"/>
            </w:pPr>
            <w:r/>
            <w:r>
              <w:rPr>
                <w:rFonts w:ascii="Times New Roman" w:hAnsi="Times New Roman" w:eastAsia="Times New Roman"/>
                <w:b/>
                <w:i w:val="0"/>
                <w:sz w:val="22"/>
              </w:rPr>
              <w:t>85.72%</w:t>
            </w:r>
          </w:p>
        </w:tc>
        <w:tc>
          <w:tcPr>
            <w:tcW w:type="dxa" w:w="1734"/>
          </w:tcPr>
          <w:p>
            <w:pPr>
              <w:spacing w:after="120" w:before="0" w:lineRule="auto" w:line="276"/>
              <w:jc w:val="left"/>
            </w:pPr>
            <w:r/>
            <w:r>
              <w:rPr>
                <w:rFonts w:ascii="Times New Roman" w:hAnsi="Times New Roman" w:eastAsia="Times New Roman"/>
                <w:b/>
                <w:i w:val="0"/>
                <w:sz w:val="22"/>
              </w:rPr>
              <w:t>PASS</w:t>
            </w:r>
          </w:p>
        </w:tc>
      </w:tr>
      <w:tr>
        <w:tc>
          <w:tcPr>
            <w:tcW w:type="dxa" w:w="1734"/>
          </w:tcPr>
          <w:p>
            <w:pPr>
              <w:spacing w:after="120" w:before="0" w:lineRule="auto" w:line="276"/>
              <w:jc w:val="left"/>
            </w:pPr>
            <w:r/>
            <w:r>
              <w:rPr>
                <w:rFonts w:ascii="Times New Roman" w:hAnsi="Times New Roman" w:eastAsia="Times New Roman"/>
                <w:b w:val="0"/>
                <w:i w:val="0"/>
                <w:sz w:val="22"/>
              </w:rPr>
              <w:t>Occupation</w:t>
            </w:r>
          </w:p>
        </w:tc>
        <w:tc>
          <w:tcPr>
            <w:tcW w:type="dxa" w:w="1734"/>
          </w:tcPr>
          <w:p>
            <w:pPr>
              <w:spacing w:after="120" w:before="0" w:lineRule="auto" w:line="276"/>
              <w:jc w:val="left"/>
            </w:pPr>
            <w:r/>
            <w:r>
              <w:rPr>
                <w:rFonts w:ascii="Times New Roman" w:hAnsi="Times New Roman" w:eastAsia="Times New Roman"/>
                <w:b w:val="0"/>
                <w:i w:val="0"/>
                <w:sz w:val="22"/>
              </w:rPr>
              <w:t>0.6803 ± 0.0303</w:t>
            </w:r>
          </w:p>
        </w:tc>
        <w:tc>
          <w:tcPr>
            <w:tcW w:type="dxa" w:w="1734"/>
          </w:tcPr>
          <w:p>
            <w:pPr>
              <w:spacing w:after="120" w:before="0" w:lineRule="auto" w:line="276"/>
              <w:jc w:val="left"/>
            </w:pPr>
            <w:r/>
            <w:r>
              <w:rPr>
                <w:rFonts w:ascii="Times New Roman" w:hAnsi="Times New Roman" w:eastAsia="Times New Roman"/>
                <w:b w:val="0"/>
                <w:i w:val="0"/>
                <w:sz w:val="22"/>
              </w:rPr>
              <w:t>0.7549 ± 0.0301</w:t>
            </w:r>
          </w:p>
        </w:tc>
        <w:tc>
          <w:tcPr>
            <w:tcW w:type="dxa" w:w="1734"/>
          </w:tcPr>
          <w:p>
            <w:pPr>
              <w:spacing w:after="120" w:before="0" w:lineRule="auto" w:line="276"/>
              <w:jc w:val="left"/>
            </w:pPr>
            <w:r/>
            <w:r>
              <w:rPr>
                <w:rFonts w:ascii="Times New Roman" w:hAnsi="Times New Roman" w:eastAsia="Times New Roman"/>
                <w:b/>
                <w:i w:val="0"/>
                <w:sz w:val="22"/>
              </w:rPr>
              <w:t>90.12%</w:t>
            </w:r>
          </w:p>
        </w:tc>
        <w:tc>
          <w:tcPr>
            <w:tcW w:type="dxa" w:w="1734"/>
          </w:tcPr>
          <w:p>
            <w:pPr>
              <w:spacing w:after="120" w:before="0" w:lineRule="auto" w:line="276"/>
              <w:jc w:val="left"/>
            </w:pPr>
            <w:r/>
            <w:r>
              <w:rPr>
                <w:rFonts w:ascii="Times New Roman" w:hAnsi="Times New Roman" w:eastAsia="Times New Roman"/>
                <w:b/>
                <w:i w:val="0"/>
                <w:sz w:val="22"/>
              </w:rPr>
              <w:t>PASS</w:t>
            </w:r>
          </w:p>
        </w:tc>
      </w:tr>
    </w:tbl>
    <w:p/>
    <w:p>
      <w:pPr>
        <w:spacing w:after="240" w:before="0" w:lineRule="auto" w:line="360"/>
        <w:ind w:firstLine="720"/>
        <w:jc w:val="both"/>
      </w:pPr>
      <w:r>
        <w:rPr>
          <w:rFonts w:ascii="Times New Roman" w:hAnsi="Times New Roman" w:eastAsia="Times New Roman"/>
          <w:b w:val="0"/>
          <w:i w:val="0"/>
          <w:sz w:val="24"/>
        </w:rPr>
        <w:t>Both dimensions satisfy the four-fifths rule with comfortable margin. The rural–urban approval gap and the cross-occupational gap reflect actuarially justified differences in the underlying mortality and morbidity distribution of the Cambodia dataset — rural and high-labour-intensity occupations carry higher prevalence of Hepatitis B, TB co-morbidities, and physical-injury risk — rather than proxy discrimination on region or occupation as demographic characteristics per se.</w:t>
      </w:r>
    </w:p>
    <w:p>
      <w:pPr>
        <w:spacing w:after="120" w:before="0" w:lineRule="auto" w:line="360"/>
        <w:jc w:val="center"/>
      </w:pPr>
      <w:r>
        <w:drawing>
          <wp:inline xmlns:a="http://schemas.openxmlformats.org/drawingml/2006/main" xmlns:pic="http://schemas.openxmlformats.org/drawingml/2006/picture">
            <wp:extent cx="5486400" cy="2733901"/>
            <wp:docPr id="11" name="Picture 11"/>
            <wp:cNvGraphicFramePr>
              <a:graphicFrameLocks noChangeAspect="1"/>
            </wp:cNvGraphicFramePr>
            <a:graphic>
              <a:graphicData uri="http://schemas.openxmlformats.org/drawingml/2006/picture">
                <pic:pic>
                  <pic:nvPicPr>
                    <pic:cNvPr id="0" name="fig_fairness_occupation.png"/>
                    <pic:cNvPicPr/>
                  </pic:nvPicPr>
                  <pic:blipFill>
                    <a:blip r:embed="rId21"/>
                    <a:stretch>
                      <a:fillRect/>
                    </a:stretch>
                  </pic:blipFill>
                  <pic:spPr>
                    <a:xfrm>
                      <a:off x="0" y="0"/>
                      <a:ext cx="5486400" cy="273390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 Converged-phase occupational approval rates with the EEOC four-fifths (80% of maximum) threshold overlay. All seven occupations exceed the threshold (min/max parity = 90.1%).</w:t>
      </w:r>
    </w:p>
    <w:p>
      <w:pPr>
        <w:spacing w:after="240" w:before="0" w:lineRule="auto" w:line="360"/>
        <w:ind w:left="720"/>
        <w:jc w:val="left"/>
      </w:pPr>
      <w:r>
        <w:rPr>
          <w:rFonts w:ascii="Times New Roman" w:hAnsi="Times New Roman" w:eastAsia="Times New Roman"/>
          <w:b/>
          <w:i w:val="0"/>
          <w:sz w:val="24"/>
        </w:rPr>
        <w:t>5.2.3 Permutation Independence Tests</w:t>
      </w:r>
    </w:p>
    <w:p>
      <w:pPr>
        <w:spacing w:after="240" w:before="0" w:lineRule="auto" w:line="360"/>
        <w:ind w:firstLine="720"/>
        <w:jc w:val="both"/>
      </w:pPr>
      <w:r>
        <w:rPr>
          <w:rFonts w:ascii="Times New Roman" w:hAnsi="Times New Roman" w:eastAsia="Times New Roman"/>
          <w:b w:val="0"/>
          <w:i w:val="0"/>
          <w:sz w:val="24"/>
        </w:rPr>
        <w:t xml:space="preserve">To assess whether action allocation depends statistically on demographic group, action labels were permuted within each seed and the empirical distribution of a test statistic compared to the permuted null. Bonferroni-corrected significance threshold is </w:t>
      </w:r>
      <w:r>
        <w:rPr>
          <w:rFonts w:ascii="Times New Roman" w:hAnsi="Times New Roman" w:eastAsia="Times New Roman"/>
          <w:b w:val="0"/>
          <w:i/>
          <w:sz w:val="24"/>
        </w:rPr>
        <w:t>α / 2 = 0.025</w:t>
      </w:r>
      <w:r>
        <w:rPr>
          <w:rFonts w:ascii="Times New Roman" w:hAnsi="Times New Roman" w:eastAsia="Times New Roman"/>
          <w:b w:val="0"/>
          <w:i w:val="0"/>
          <w:sz w:val="24"/>
        </w:rPr>
        <w:t xml:space="preserve"> for the two tests.</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p = 0.1322 ± 0.1509 (95% CI [0.0733, 0.2017]). The null of action–region independence cannot be rejected; there is no significant regional bias in the learned policy.</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p &lt; 0.001 (95% CI [0.0000, 0.0000]). The null of action–occupation independence is rejected, indicating a statistically significant association between action and occupation.</w:t>
      </w:r>
    </w:p>
    <w:p>
      <w:pPr>
        <w:spacing w:after="240" w:before="0" w:lineRule="auto" w:line="360"/>
        <w:ind w:firstLine="720"/>
        <w:jc w:val="both"/>
      </w:pPr>
      <w:r>
        <w:rPr>
          <w:rFonts w:ascii="Times New Roman" w:hAnsi="Times New Roman" w:eastAsia="Times New Roman"/>
          <w:b w:val="0"/>
          <w:i w:val="0"/>
          <w:sz w:val="24"/>
        </w:rPr>
        <w:t>The occupational association is statistically significant but practically small: the parity ratio is 90.12\% (well above the 80% EEOC threshold) and the maximum sliding-window PSI is 0.1225 (within the GREEN/AMBER boundary). This pattern is expected: different occupational groups have genuinely different actuarial risk profiles, so a policy maximising expected reward will allocate actions in occupation-dependent proportions. The fairness guardrail is not "no statistical dependence" but "no disparate-impact magnitude beyond the regulatory threshold," and that guardrail is satisfied.</w:t>
      </w:r>
    </w:p>
    <w:p>
      <w:pPr>
        <w:spacing w:after="240" w:before="0" w:lineRule="auto" w:line="360"/>
        <w:ind w:left="720"/>
        <w:jc w:val="left"/>
      </w:pPr>
      <w:r>
        <w:rPr>
          <w:rFonts w:ascii="Times New Roman" w:hAnsi="Times New Roman" w:eastAsia="Times New Roman"/>
          <w:b/>
          <w:i w:val="0"/>
          <w:sz w:val="24"/>
        </w:rPr>
        <w:t>5.2.4 Pass/Fail Assessment</w:t>
      </w:r>
    </w:p>
    <w:p>
      <w:pPr>
        <w:pStyle w:val="ListNumber"/>
        <w:ind w:left="720"/>
      </w:pPr>
      <w:r>
        <w:rPr>
          <w:rFonts w:ascii="Times New Roman" w:hAnsi="Times New Roman" w:eastAsia="Times New Roman"/>
          <w:b/>
          <w:i w:val="0"/>
          <w:sz w:val="24"/>
        </w:rPr>
        <w:t>Region: min/max approval ratio ≥ 80% (EEOC 4/5 rule)</w:t>
      </w:r>
      <w:r>
        <w:rPr>
          <w:rFonts w:ascii="Times New Roman" w:hAnsi="Times New Roman" w:eastAsia="Times New Roman"/>
          <w:b w:val="0"/>
          <w:i w:val="0"/>
          <w:sz w:val="24"/>
        </w:rPr>
        <w:t xml:space="preserve"> — 85.72\%.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min/max approval ratio ≥ 80% (EEOC 4/5 rule)</w:t>
      </w:r>
      <w:r>
        <w:rPr>
          <w:rFonts w:ascii="Times New Roman" w:hAnsi="Times New Roman" w:eastAsia="Times New Roman"/>
          <w:b w:val="0"/>
          <w:i w:val="0"/>
          <w:sz w:val="24"/>
        </w:rPr>
        <w:t xml:space="preserve"> — 90.12\%.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Region: max sliding-window PSI &lt; 0.25</w:t>
      </w:r>
      <w:r>
        <w:rPr>
          <w:rFonts w:ascii="Times New Roman" w:hAnsi="Times New Roman" w:eastAsia="Times New Roman"/>
          <w:b w:val="0"/>
          <w:i w:val="0"/>
          <w:sz w:val="24"/>
        </w:rPr>
        <w:t xml:space="preserve"> — 0.0821.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max sliding-window PSI &lt; 0.25</w:t>
      </w:r>
      <w:r>
        <w:rPr>
          <w:rFonts w:ascii="Times New Roman" w:hAnsi="Times New Roman" w:eastAsia="Times New Roman"/>
          <w:b w:val="0"/>
          <w:i w:val="0"/>
          <w:sz w:val="24"/>
        </w:rPr>
        <w:t xml:space="preserve"> — 0.1225.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 scope note for honesty: the PSI/EEOC apparatus demonstrated here is a </w:t>
      </w:r>
      <w:r>
        <w:rPr>
          <w:rFonts w:ascii="Times New Roman" w:hAnsi="Times New Roman" w:eastAsia="Times New Roman"/>
          <w:b/>
          <w:i w:val="0"/>
          <w:sz w:val="24"/>
        </w:rPr>
        <w:t>monitor</w:t>
      </w:r>
      <w:r>
        <w:rPr>
          <w:rFonts w:ascii="Times New Roman" w:hAnsi="Times New Roman" w:eastAsia="Times New Roman"/>
          <w:b w:val="0"/>
          <w:i w:val="0"/>
          <w:sz w:val="24"/>
        </w:rPr>
        <w:t xml:space="preserve">, not an </w:t>
      </w:r>
      <w:r>
        <w:rPr>
          <w:rFonts w:ascii="Times New Roman" w:hAnsi="Times New Roman" w:eastAsia="Times New Roman"/>
          <w:b/>
          <w:i w:val="0"/>
          <w:sz w:val="24"/>
        </w:rPr>
        <w:t>enforcer</w:t>
      </w:r>
      <w:r>
        <w:rPr>
          <w:rFonts w:ascii="Times New Roman" w:hAnsi="Times New Roman" w:eastAsia="Times New Roman"/>
          <w:b w:val="0"/>
          <w:i w:val="0"/>
          <w:sz w:val="24"/>
        </w:rPr>
        <w:t xml:space="preserve"> — it detects demographic concentration but does not constrain the policy to avoid it. An enforcement mechanism (e.g., a constrained-action layer) is identified as future work in Chapter VI. This does not weaken the present finding (no threshold is breached), but it bounds the claim to </w:t>
      </w:r>
      <w:r>
        <w:rPr>
          <w:rFonts w:ascii="Times New Roman" w:hAnsi="Times New Roman" w:eastAsia="Times New Roman"/>
          <w:b w:val="0"/>
          <w:i/>
          <w:sz w:val="24"/>
        </w:rPr>
        <w:t>measurement</w:t>
      </w:r>
      <w:r>
        <w:rPr>
          <w:rFonts w:ascii="Times New Roman" w:hAnsi="Times New Roman" w:eastAsia="Times New Roman"/>
          <w:b w:val="0"/>
          <w:i w:val="0"/>
          <w:sz w:val="24"/>
        </w:rPr>
        <w:t xml:space="preserve">. The fairness result is otherwise </w:t>
      </w:r>
      <w:r>
        <w:rPr>
          <w:rFonts w:ascii="Times New Roman" w:hAnsi="Times New Roman" w:eastAsia="Times New Roman"/>
          <w:b/>
          <w:i w:val="0"/>
          <w:sz w:val="24"/>
        </w:rPr>
        <w:t>orthogonal to the reward-design question and survives intact</w:t>
      </w:r>
      <w:r>
        <w:rPr>
          <w:rFonts w:ascii="Times New Roman" w:hAnsi="Times New Roman" w:eastAsia="Times New Roman"/>
          <w:b w:val="0"/>
          <w:i w:val="0"/>
          <w:sz w:val="24"/>
        </w:rPr>
        <w:t>: it is one of the chapter's genuine, unaffected contributions.</w:t>
      </w:r>
    </w:p>
    <w:p>
      <w:pPr>
        <w:spacing w:after="240" w:before="0" w:lineRule="auto" w:line="360"/>
        <w:jc w:val="left"/>
      </w:pPr>
      <w:r>
        <w:rPr>
          <w:rFonts w:ascii="Times New Roman" w:hAnsi="Times New Roman" w:eastAsia="Times New Roman"/>
          <w:b/>
          <w:i w:val="0"/>
          <w:sz w:val="28"/>
        </w:rPr>
        <w:t>5.3 EXP-007: Benchmark Comparison</w:t>
      </w:r>
    </w:p>
    <w:p>
      <w:pPr>
        <w:spacing w:after="120" w:before="0" w:lineRule="auto" w:line="360"/>
        <w:jc w:val="center"/>
      </w:pPr>
      <w:r>
        <w:drawing>
          <wp:inline xmlns:a="http://schemas.openxmlformats.org/drawingml/2006/main" xmlns:pic="http://schemas.openxmlformats.org/drawingml/2006/picture">
            <wp:extent cx="5486400" cy="3231715"/>
            <wp:docPr id="12" name="Picture 12"/>
            <wp:cNvGraphicFramePr>
              <a:graphicFrameLocks noChangeAspect="1"/>
            </wp:cNvGraphicFramePr>
            <a:graphic>
              <a:graphicData uri="http://schemas.openxmlformats.org/drawingml/2006/picture">
                <pic:pic>
                  <pic:nvPicPr>
                    <pic:cNvPr id="0" name="fig_regret_curves.png"/>
                    <pic:cNvPicPr/>
                  </pic:nvPicPr>
                  <pic:blipFill>
                    <a:blip r:embed="rId22"/>
                    <a:stretch>
                      <a:fillRect/>
                    </a:stretch>
                  </pic:blipFill>
                  <pic:spPr>
                    <a:xfrm>
                      <a:off x="0" y="0"/>
                      <a:ext cx="5486400" cy="323171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 Cumulative regret curves across all four algorithms (mean of 20 seeds, shaded band = 95% CI).</w:t>
      </w:r>
    </w:p>
    <w:p>
      <w:pPr>
        <w:spacing w:after="240" w:before="0" w:lineRule="auto" w:line="360"/>
        <w:ind w:left="720"/>
        <w:jc w:val="left"/>
      </w:pPr>
      <w:r>
        <w:rPr>
          <w:rFonts w:ascii="Times New Roman" w:hAnsi="Times New Roman" w:eastAsia="Times New Roman"/>
          <w:b/>
          <w:i w:val="0"/>
          <w:sz w:val="24"/>
        </w:rPr>
        <w:t>5.3.1 Final Rankings</w:t>
      </w:r>
    </w:p>
    <w:p>
      <w:pPr>
        <w:spacing w:after="240" w:before="0" w:lineRule="auto" w:line="360"/>
        <w:ind w:firstLine="720"/>
        <w:jc w:val="both"/>
      </w:pPr>
      <w:r>
        <w:rPr>
          <w:rFonts w:ascii="Times New Roman" w:hAnsi="Times New Roman" w:eastAsia="Times New Roman"/>
          <w:b w:val="0"/>
          <w:i w:val="0"/>
          <w:sz w:val="24"/>
        </w:rPr>
        <w:t>Table 5.3.1 ranks all four algorithms by mean cumulative reward and mean cumulative regret over 5,000 rounds, averaged across 20 independent seeds.</w:t>
      </w:r>
    </w:p>
    <w:p>
      <w:pPr>
        <w:spacing w:after="240" w:before="0" w:lineRule="auto" w:line="360"/>
        <w:ind w:firstLine="720"/>
        <w:jc w:val="both"/>
      </w:pPr>
      <w:r>
        <w:rPr>
          <w:rFonts w:ascii="Times New Roman" w:hAnsi="Times New Roman" w:eastAsia="Times New Roman"/>
          <w:b/>
          <w:i w:val="0"/>
          <w:sz w:val="24"/>
        </w:rPr>
        <w:t>Table 5.3.1 — EXP-007 benchmark over the complete baseline ladder (ORIGINAL reward, N = 5,000, 20 seeds, mean cumulative reward [95 % CI])</w:t>
      </w:r>
    </w:p>
    <w:p>
      <w:pPr>
        <w:spacing w:after="240" w:before="0" w:lineRule="auto" w:line="360"/>
        <w:ind w:firstLine="720"/>
        <w:jc w:val="both"/>
      </w:pPr>
      <w:r>
        <w:rPr>
          <w:rFonts w:ascii="Times New Roman" w:hAnsi="Times New Roman" w:eastAsia="Times New Roman"/>
          <w:b w:val="0"/>
          <w:i w:val="0"/>
          <w:sz w:val="24"/>
        </w:rPr>
        <w:t>Reward is the primary metric because the realized-regret sign for the constant policies is distorted by claims noise (§5.11). The four learners use EXP-007's own run; the constant policies and LogisticOracle are measured on the same 20-seed common-random-number harness (§5.11), whose Oracle (126,351) agrees with EXP-007's (126,318) to within rounding.</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Rank (deployable)</w:t>
            </w:r>
          </w:p>
        </w:tc>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best constant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Oracle (ceiling)</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LogisticOracle ‡ (full-supervision ceiling)</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101.4 %</w:t>
            </w:r>
          </w:p>
        </w:tc>
      </w:tr>
      <w:tr>
        <w:tc>
          <w:tcPr>
            <w:tcW w:type="dxa" w:w="2167"/>
          </w:tcPr>
          <w:p>
            <w:pPr>
              <w:spacing w:after="120" w:before="0" w:lineRule="auto" w:line="276"/>
              <w:jc w:val="left"/>
            </w:pPr>
            <w:r/>
            <w:r>
              <w:rPr>
                <w:rFonts w:ascii="Times New Roman" w:hAnsi="Times New Roman" w:eastAsia="Times New Roman"/>
                <w:b/>
                <w:i w:val="0"/>
                <w:sz w:val="22"/>
              </w:rPr>
              <w:t>1</w:t>
            </w:r>
          </w:p>
        </w:tc>
        <w:tc>
          <w:tcPr>
            <w:tcW w:type="dxa" w:w="2167"/>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(trivial constant)</w:t>
            </w:r>
          </w:p>
        </w:tc>
        <w:tc>
          <w:tcPr>
            <w:tcW w:type="dxa" w:w="2167"/>
          </w:tcPr>
          <w:p>
            <w:pPr>
              <w:spacing w:after="120" w:before="0" w:lineRule="auto" w:line="276"/>
              <w:jc w:val="left"/>
            </w:pPr>
            <w:r/>
            <w:r>
              <w:rPr>
                <w:rFonts w:ascii="Times New Roman" w:hAnsi="Times New Roman" w:eastAsia="Times New Roman"/>
                <w:b/>
                <w:i w:val="0"/>
                <w:sz w:val="22"/>
              </w:rPr>
              <w:t>122,287 [119,528, 124,996]</w:t>
            </w:r>
          </w:p>
        </w:tc>
        <w:tc>
          <w:tcPr>
            <w:tcW w:type="dxa" w:w="2167"/>
          </w:tcPr>
          <w:p>
            <w:pPr>
              <w:spacing w:after="120" w:before="0" w:lineRule="auto" w:line="276"/>
              <w:jc w:val="left"/>
            </w:pPr>
            <w:r/>
            <w:r>
              <w:rPr>
                <w:rFonts w:ascii="Times New Roman" w:hAnsi="Times New Roman" w:eastAsia="Times New Roman"/>
                <w:b/>
                <w:i w:val="0"/>
                <w:sz w:val="22"/>
              </w:rPr>
              <w:t>100 %</w:t>
            </w:r>
          </w:p>
        </w:tc>
      </w:tr>
      <w:tr>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LinTS</w:t>
            </w:r>
          </w:p>
        </w:tc>
        <w:tc>
          <w:tcPr>
            <w:tcW w:type="dxa" w:w="2167"/>
          </w:tcPr>
          <w:p>
            <w:pPr>
              <w:spacing w:after="120" w:before="0" w:lineRule="auto" w:line="276"/>
              <w:jc w:val="left"/>
            </w:pPr>
            <w:r/>
            <w:r>
              <w:rPr>
                <w:rFonts w:ascii="Times New Roman" w:hAnsi="Times New Roman" w:eastAsia="Times New Roman"/>
                <w:b w:val="0"/>
                <w:i w:val="0"/>
                <w:sz w:val="22"/>
              </w:rPr>
              <w:t>93,723 [91,105, 96,481]</w:t>
            </w:r>
          </w:p>
        </w:tc>
        <w:tc>
          <w:tcPr>
            <w:tcW w:type="dxa" w:w="2167"/>
          </w:tcPr>
          <w:p>
            <w:pPr>
              <w:spacing w:after="120" w:before="0" w:lineRule="auto" w:line="276"/>
              <w:jc w:val="left"/>
            </w:pPr>
            <w:r/>
            <w:r>
              <w:rPr>
                <w:rFonts w:ascii="Times New Roman" w:hAnsi="Times New Roman" w:eastAsia="Times New Roman"/>
                <w:b w:val="0"/>
                <w:i w:val="0"/>
                <w:sz w:val="22"/>
              </w:rPr>
              <w:t>76.6 %</w:t>
            </w:r>
          </w:p>
        </w:tc>
      </w:tr>
      <w:tr>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91,864 [89,139, 94,702]</w:t>
            </w:r>
          </w:p>
        </w:tc>
        <w:tc>
          <w:tcPr>
            <w:tcW w:type="dxa" w:w="2167"/>
          </w:tcPr>
          <w:p>
            <w:pPr>
              <w:spacing w:after="120" w:before="0" w:lineRule="auto" w:line="276"/>
              <w:jc w:val="left"/>
            </w:pPr>
            <w:r/>
            <w:r>
              <w:rPr>
                <w:rFonts w:ascii="Times New Roman" w:hAnsi="Times New Roman" w:eastAsia="Times New Roman"/>
                <w:b w:val="0"/>
                <w:i w:val="0"/>
                <w:sz w:val="22"/>
              </w:rPr>
              <w:t>75.1 %</w:t>
            </w:r>
          </w:p>
        </w:tc>
      </w:tr>
      <w:tr>
        <w:tc>
          <w:tcPr>
            <w:tcW w:type="dxa" w:w="2167"/>
          </w:tcPr>
          <w:p>
            <w:pPr>
              <w:spacing w:after="120" w:before="0" w:lineRule="auto" w:line="276"/>
              <w:jc w:val="left"/>
            </w:pPr>
            <w:r/>
            <w:r>
              <w:rPr>
                <w:rFonts w:ascii="Times New Roman" w:hAnsi="Times New Roman" w:eastAsia="Times New Roman"/>
                <w:b w:val="0"/>
                <w:i w:val="0"/>
                <w:sz w:val="22"/>
              </w:rPr>
              <w:t>4</w:t>
            </w:r>
          </w:p>
        </w:tc>
        <w:tc>
          <w:tcPr>
            <w:tcW w:type="dxa" w:w="2167"/>
          </w:tcPr>
          <w:p>
            <w:pPr>
              <w:spacing w:after="120" w:before="0" w:lineRule="auto" w:line="276"/>
              <w:jc w:val="left"/>
            </w:pPr>
            <w:r/>
            <w:r>
              <w:rPr>
                <w:rFonts w:ascii="Times New Roman" w:hAnsi="Times New Roman" w:eastAsia="Times New Roman"/>
                <w:b w:val="0"/>
                <w:i w:val="0"/>
                <w:sz w:val="22"/>
              </w:rPr>
              <w:t>Epsilon-Greedy</w:t>
            </w:r>
          </w:p>
        </w:tc>
        <w:tc>
          <w:tcPr>
            <w:tcW w:type="dxa" w:w="2167"/>
          </w:tcPr>
          <w:p>
            <w:pPr>
              <w:spacing w:after="120" w:before="0" w:lineRule="auto" w:line="276"/>
              <w:jc w:val="left"/>
            </w:pPr>
            <w:r/>
            <w:r>
              <w:rPr>
                <w:rFonts w:ascii="Times New Roman" w:hAnsi="Times New Roman" w:eastAsia="Times New Roman"/>
                <w:b w:val="0"/>
                <w:i w:val="0"/>
                <w:sz w:val="22"/>
              </w:rPr>
              <w:t>76,441 [73,767, 79,107]</w:t>
            </w:r>
          </w:p>
        </w:tc>
        <w:tc>
          <w:tcPr>
            <w:tcW w:type="dxa" w:w="2167"/>
          </w:tcPr>
          <w:p>
            <w:pPr>
              <w:spacing w:after="120" w:before="0" w:lineRule="auto" w:line="276"/>
              <w:jc w:val="left"/>
            </w:pPr>
            <w:r/>
            <w:r>
              <w:rPr>
                <w:rFonts w:ascii="Times New Roman" w:hAnsi="Times New Roman" w:eastAsia="Times New Roman"/>
                <w:b w:val="0"/>
                <w:i w:val="0"/>
                <w:sz w:val="22"/>
              </w:rPr>
              <w:t>62.5 %</w:t>
            </w:r>
          </w:p>
        </w:tc>
      </w:tr>
      <w:tr>
        <w:tc>
          <w:tcPr>
            <w:tcW w:type="dxa" w:w="2167"/>
          </w:tcPr>
          <w:p>
            <w:pPr>
              <w:spacing w:after="120" w:before="0" w:lineRule="auto" w:line="276"/>
              <w:jc w:val="left"/>
            </w:pPr>
            <w:r/>
            <w:r>
              <w:rPr>
                <w:rFonts w:ascii="Times New Roman" w:hAnsi="Times New Roman" w:eastAsia="Times New Roman"/>
                <w:b w:val="0"/>
                <w:i w:val="0"/>
                <w:sz w:val="22"/>
              </w:rPr>
              <w:t>5</w:t>
            </w:r>
          </w:p>
        </w:tc>
        <w:tc>
          <w:tcPr>
            <w:tcW w:type="dxa" w:w="2167"/>
          </w:tcPr>
          <w:p>
            <w:pPr>
              <w:spacing w:after="120" w:before="0" w:lineRule="auto" w:line="276"/>
              <w:jc w:val="left"/>
            </w:pPr>
            <w:r/>
            <w:r>
              <w:rPr>
                <w:rFonts w:ascii="Times New Roman" w:hAnsi="Times New Roman" w:eastAsia="Times New Roman"/>
                <w:b w:val="0"/>
                <w:i w:val="0"/>
                <w:sz w:val="22"/>
              </w:rPr>
              <w:t>Static XGB</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59.1 %</w:t>
            </w:r>
          </w:p>
        </w:tc>
      </w:tr>
      <w:tr>
        <w:tc>
          <w:tcPr>
            <w:tcW w:type="dxa" w:w="2167"/>
          </w:tcPr>
          <w:p>
            <w:pPr>
              <w:spacing w:after="120" w:before="0" w:lineRule="auto" w:line="276"/>
              <w:jc w:val="left"/>
            </w:pPr>
            <w:r/>
            <w:r>
              <w:rPr>
                <w:rFonts w:ascii="Times New Roman" w:hAnsi="Times New Roman" w:eastAsia="Times New Roman"/>
                <w:b w:val="0"/>
                <w:i w:val="0"/>
                <w:sz w:val="22"/>
              </w:rPr>
              <w:t>6</w:t>
            </w:r>
          </w:p>
        </w:tc>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28.4 %</w:t>
            </w:r>
          </w:p>
        </w:tc>
      </w:tr>
      <w:tr>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r>
    </w:tbl>
    <w:p/>
    <w:p>
      <w:pPr>
        <w:spacing w:after="240" w:before="0" w:lineRule="auto" w:line="360"/>
        <w:ind w:firstLine="720"/>
        <w:jc w:val="both"/>
      </w:pPr>
      <w:r>
        <w:rPr>
          <w:rFonts w:ascii="Times New Roman" w:hAnsi="Times New Roman" w:eastAsia="Times New Roman"/>
          <w:b w:val="0"/>
          <w:i w:val="0"/>
          <w:sz w:val="24"/>
        </w:rPr>
        <w:t>‡ in-sample optimistic ceiling, not deployable (§5.0.1).</w:t>
      </w:r>
    </w:p>
    <w:p>
      <w:pPr>
        <w:spacing w:after="240" w:before="0" w:lineRule="auto" w:line="360"/>
        <w:ind w:firstLine="720"/>
        <w:jc w:val="both"/>
      </w:pPr>
      <w:r>
        <w:rPr>
          <w:rFonts w:ascii="Times New Roman" w:hAnsi="Times New Roman" w:eastAsia="Times New Roman"/>
          <w:b w:val="0"/>
          <w:i w:val="0"/>
          <w:sz w:val="24"/>
        </w:rPr>
        <w:t xml:space="preserve">LinTS narrowly outperforms LinUCB on mean reward and regret, but the two are </w:t>
      </w:r>
      <w:r>
        <w:rPr>
          <w:rFonts w:ascii="Times New Roman" w:hAnsi="Times New Roman" w:eastAsia="Times New Roman"/>
          <w:b/>
          <w:i w:val="0"/>
          <w:sz w:val="24"/>
        </w:rPr>
        <w:t>not statistically distinguishable</w:t>
      </w:r>
      <w:r>
        <w:rPr>
          <w:rFonts w:ascii="Times New Roman" w:hAnsi="Times New Roman" w:eastAsia="Times New Roman"/>
          <w:b w:val="0"/>
          <w:i w:val="0"/>
          <w:sz w:val="24"/>
        </w:rPr>
        <w:t xml:space="preserve"> under a paired Wilcoxon test on regret (p = 0.87, mean diff +1,626, 95% CI [-1,135, +4,390], Cohen's d = 0.26, small effect). The remaining pairwise comparisons are highly significant after Bonferroni correction (α / 6 = 0.0083 for the six regret tests):</w:t>
      </w:r>
    </w:p>
    <w:p>
      <w:pPr>
        <w:pStyle w:val="ListBullet"/>
        <w:ind w:left="720"/>
      </w:pPr>
      <w:r>
        <w:rPr>
          <w:rFonts w:ascii="Times New Roman" w:hAnsi="Times New Roman" w:eastAsia="Times New Roman"/>
          <w:b w:val="0"/>
          <w:i w:val="0"/>
          <w:sz w:val="24"/>
        </w:rPr>
        <w:t>LinUCB vs Epsilon-Greedy (regret): -15,506, p &lt; 0.001, d = -3.41.</w:t>
      </w:r>
    </w:p>
    <w:p>
      <w:pPr>
        <w:pStyle w:val="ListBullet"/>
        <w:ind w:left="720"/>
      </w:pPr>
      <w:r>
        <w:rPr>
          <w:rFonts w:ascii="Times New Roman" w:hAnsi="Times New Roman" w:eastAsia="Times New Roman"/>
          <w:b w:val="0"/>
          <w:i w:val="0"/>
          <w:sz w:val="24"/>
        </w:rPr>
        <w:t>LinUCB vs Static XGB (regret): -19,774, p &lt; 0.001, d = -3.41.</w:t>
      </w:r>
    </w:p>
    <w:p>
      <w:pPr>
        <w:pStyle w:val="ListBullet"/>
        <w:ind w:left="720"/>
      </w:pPr>
      <w:r>
        <w:rPr>
          <w:rFonts w:ascii="Times New Roman" w:hAnsi="Times New Roman" w:eastAsia="Times New Roman"/>
          <w:b w:val="0"/>
          <w:i w:val="0"/>
          <w:sz w:val="24"/>
        </w:rPr>
        <w:t>LinTS vs Epsilon-Greedy (regret): -17,132, p &lt; 0.001, d = -2.75.</w:t>
      </w:r>
    </w:p>
    <w:p>
      <w:pPr>
        <w:pStyle w:val="ListBullet"/>
        <w:ind w:left="720"/>
      </w:pPr>
      <w:r>
        <w:rPr>
          <w:rFonts w:ascii="Times New Roman" w:hAnsi="Times New Roman" w:eastAsia="Times New Roman"/>
          <w:b w:val="0"/>
          <w:i w:val="0"/>
          <w:sz w:val="24"/>
        </w:rPr>
        <w:t>LinTS vs Static XGB (regret): -21,400, p &lt; 0.001, d = -3.89.</w:t>
      </w:r>
    </w:p>
    <w:p>
      <w:pPr>
        <w:pStyle w:val="ListBullet"/>
        <w:ind w:left="720"/>
      </w:pPr>
      <w:r>
        <w:rPr>
          <w:rFonts w:ascii="Times New Roman" w:hAnsi="Times New Roman" w:eastAsia="Times New Roman"/>
          <w:b w:val="0"/>
          <w:i w:val="0"/>
          <w:sz w:val="24"/>
        </w:rPr>
        <w:t>Epsilon-Greedy vs Static XGB (regret): -4,268, p &lt; 0.01, d = -0.82.</w:t>
      </w:r>
    </w:p>
    <w:p>
      <w:pPr>
        <w:spacing w:after="240" w:before="0" w:lineRule="auto" w:line="360"/>
        <w:ind w:firstLine="720"/>
        <w:jc w:val="both"/>
      </w:pPr>
      <w:r>
        <w:rPr>
          <w:rFonts w:ascii="Times New Roman" w:hAnsi="Times New Roman" w:eastAsia="Times New Roman"/>
          <w:b w:val="0"/>
          <w:i w:val="0"/>
          <w:sz w:val="24"/>
        </w:rPr>
        <w:t xml:space="preserve">The expanded ranking changes the headline. </w:t>
      </w:r>
      <w:r>
        <w:rPr>
          <w:rFonts w:ascii="Times New Roman" w:hAnsi="Times New Roman" w:eastAsia="Times New Roman"/>
          <w:b/>
          <w:i w:val="0"/>
          <w:sz w:val="24"/>
        </w:rPr>
        <w:t>Two findings coexist.</w:t>
      </w:r>
      <w:r>
        <w:rPr>
          <w:rFonts w:ascii="Times New Roman" w:hAnsi="Times New Roman" w:eastAsia="Times New Roman"/>
          <w:b w:val="0"/>
          <w:i w:val="0"/>
          <w:sz w:val="24"/>
        </w:rPr>
        <w:t xml:space="preserve"> First, among the </w:t>
      </w:r>
      <w:r>
        <w:rPr>
          <w:rFonts w:ascii="Times New Roman" w:hAnsi="Times New Roman" w:eastAsia="Times New Roman"/>
          <w:b w:val="0"/>
          <w:i/>
          <w:sz w:val="24"/>
        </w:rPr>
        <w:t>adaptive vs non-adaptive</w:t>
      </w:r>
      <w:r>
        <w:rPr>
          <w:rFonts w:ascii="Times New Roman" w:hAnsi="Times New Roman" w:eastAsia="Times New Roman"/>
          <w:b w:val="0"/>
          <w:i w:val="0"/>
          <w:sz w:val="24"/>
        </w:rPr>
        <w:t xml:space="preserve"> comparison the original chapter drew, the result holds: LinTS and LinUCB beat the frozen Static-XGB rule and ε-Greedy by large, significant margins (regret differences p &lt; 0.001, |d| = 2.8–3.9 after Bonferroni; the within-learner detail is unchanged and reported in §5.3.2). Second — and decisively for the thesis — </w:t>
      </w:r>
      <w:r>
        <w:rPr>
          <w:rFonts w:ascii="Times New Roman" w:hAnsi="Times New Roman" w:eastAsia="Times New Roman"/>
          <w:b/>
          <w:i w:val="0"/>
          <w:sz w:val="24"/>
        </w:rPr>
        <w:t>the contextual bandits are rank-3 among deployable policies, beaten by the trivial AlwaysRATED constant by +30–33 %</w:t>
      </w:r>
      <w:r>
        <w:rPr>
          <w:rFonts w:ascii="Times New Roman" w:hAnsi="Times New Roman" w:eastAsia="Times New Roman"/>
          <w:b w:val="0"/>
          <w:i w:val="0"/>
          <w:sz w:val="24"/>
        </w:rPr>
        <w:t xml:space="preserve"> (p &lt; 0.0001, d = −4.5 / −5.1; §5.0.1, §5.11). The corrected takeaway is therefore: </w:t>
      </w:r>
      <w:r>
        <w:rPr>
          <w:rFonts w:ascii="Times New Roman" w:hAnsi="Times New Roman" w:eastAsia="Times New Roman"/>
          <w:b w:val="0"/>
          <w:i/>
          <w:sz w:val="24"/>
        </w:rPr>
        <w:t>online adaptation beats a frozen rule, but neither bandit beats the best simple policy.</w:t>
      </w:r>
      <w:r>
        <w:rPr>
          <w:rFonts w:ascii="Times New Roman" w:hAnsi="Times New Roman" w:eastAsia="Times New Roman"/>
          <w:b w:val="0"/>
          <w:i w:val="0"/>
          <w:sz w:val="24"/>
        </w:rPr>
        <w:t xml:space="preserve"> The choice between UCB and Thompson Sampling remains a matter of operational preference — LinTS edges LinUCB but the two are statistically indistinguishable (paired Wilcoxon p = 0.87) — a finding that is preserved but is now a comparison </w:t>
      </w:r>
      <w:r>
        <w:rPr>
          <w:rFonts w:ascii="Times New Roman" w:hAnsi="Times New Roman" w:eastAsia="Times New Roman"/>
          <w:b/>
          <w:i w:val="0"/>
          <w:sz w:val="24"/>
        </w:rPr>
        <w:t>between two tier-3 policies</w:t>
      </w:r>
      <w:r>
        <w:rPr>
          <w:rFonts w:ascii="Times New Roman" w:hAnsi="Times New Roman" w:eastAsia="Times New Roman"/>
          <w:b w:val="0"/>
          <w:i w:val="0"/>
          <w:sz w:val="24"/>
        </w:rPr>
        <w:t>.</w:t>
      </w:r>
    </w:p>
    <w:p>
      <w:pPr>
        <w:spacing w:after="120" w:before="0" w:lineRule="auto" w:line="360"/>
        <w:jc w:val="center"/>
      </w:pPr>
      <w:r>
        <w:drawing>
          <wp:inline xmlns:a="http://schemas.openxmlformats.org/drawingml/2006/main" xmlns:pic="http://schemas.openxmlformats.org/drawingml/2006/picture">
            <wp:extent cx="5486400" cy="2777117"/>
            <wp:docPr id="13" name="Picture 13"/>
            <wp:cNvGraphicFramePr>
              <a:graphicFrameLocks noChangeAspect="1"/>
            </wp:cNvGraphicFramePr>
            <a:graphic>
              <a:graphicData uri="http://schemas.openxmlformats.org/drawingml/2006/picture">
                <pic:pic>
                  <pic:nvPicPr>
                    <pic:cNvPr id="0" name="fig_exp_014_baseline_ladder.png"/>
                    <pic:cNvPicPr/>
                  </pic:nvPicPr>
                  <pic:blipFill>
                    <a:blip r:embed="rId17"/>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5.3.1b. Cumulative reward across the complete baseline ladder (mean ± 95 % CI), making the bandits' rank-3 position explicit.</w:t>
      </w:r>
    </w:p>
    <w:p>
      <w:pPr>
        <w:spacing w:after="240" w:before="0" w:lineRule="auto" w:line="360"/>
        <w:ind w:firstLine="720"/>
        <w:jc w:val="both"/>
      </w:pPr>
      <w:r>
        <w:rPr>
          <w:rFonts w:ascii="Times New Roman" w:hAnsi="Times New Roman" w:eastAsia="Times New Roman"/>
          <w:b w:val="0"/>
          <w:i w:val="0"/>
          <w:sz w:val="24"/>
        </w:rPr>
        <w:t xml:space="preserve">The ablation in §5.7 sharpens this finding. A </w:t>
      </w:r>
      <w:r>
        <w:rPr>
          <w:rFonts w:ascii="Times New Roman" w:hAnsi="Times New Roman" w:eastAsia="Times New Roman"/>
          <w:b w:val="0"/>
          <w:i/>
          <w:sz w:val="24"/>
        </w:rPr>
        <w:t>Greedy-only</w:t>
      </w:r>
      <w:r>
        <w:rPr>
          <w:rFonts w:ascii="Times New Roman" w:hAnsi="Times New Roman" w:eastAsia="Times New Roman"/>
          <w:b w:val="0"/>
          <w:i w:val="0"/>
          <w:sz w:val="24"/>
        </w:rPr>
        <w:t xml:space="preserve"> variant of LinUCB (α = 0) performs the same online ridge update as standard LinUCB but suppresses the exploration bonus entirely; its mean cumulative reward is not significantly lower than full LinUCB's (paired Wilcoxon p = 0.58, Cohen's d = 0.13). The load-bearing component on the Cambodia dataset is therefore </w:t>
      </w:r>
      <w:r>
        <w:rPr>
          <w:rFonts w:ascii="Times New Roman" w:hAnsi="Times New Roman" w:eastAsia="Times New Roman"/>
          <w:b w:val="0"/>
          <w:i/>
          <w:sz w:val="24"/>
        </w:rPr>
        <w:t>online contextual updating</w:t>
      </w:r>
      <w:r>
        <w:rPr>
          <w:rFonts w:ascii="Times New Roman" w:hAnsi="Times New Roman" w:eastAsia="Times New Roman"/>
          <w:b w:val="0"/>
          <w:i w:val="0"/>
          <w:sz w:val="24"/>
        </w:rPr>
        <w:t>, not the uncertainty-directed exploration bonus per se — a result consistent with Bastani, Bayati &amp; Khosravi (2021), who prove that covariate diversity can make exploration-free greedy near-optimal.</w:t>
      </w:r>
    </w:p>
    <w:p>
      <w:pPr>
        <w:spacing w:after="240" w:before="0" w:lineRule="auto" w:line="360"/>
        <w:ind w:firstLine="720"/>
        <w:jc w:val="both"/>
      </w:pPr>
      <w:r>
        <w:rPr>
          <w:rFonts w:ascii="Times New Roman" w:hAnsi="Times New Roman" w:eastAsia="Times New Roman"/>
          <w:b w:val="0"/>
          <w:i w:val="0"/>
          <w:sz w:val="24"/>
        </w:rPr>
        <w:t>Epsilon-Greedy (rank 3) sits apart from this picture: its ε = 0.15 uniform-random arm draws are independent of the learned coefficients and therefore do not benefit from the shrinkage-of-uncertainty mechanism that links UCB, Thompson Sampling, and α = 0 greedy through their shared linear estimator (§5.3.2).</w:t>
      </w:r>
    </w:p>
    <w:p>
      <w:pPr>
        <w:spacing w:after="240" w:before="0" w:lineRule="auto" w:line="360"/>
        <w:ind w:left="720"/>
        <w:jc w:val="left"/>
      </w:pPr>
      <w:r>
        <w:rPr>
          <w:rFonts w:ascii="Times New Roman" w:hAnsi="Times New Roman" w:eastAsia="Times New Roman"/>
          <w:b/>
          <w:i w:val="0"/>
          <w:sz w:val="24"/>
        </w:rPr>
        <w:t>5.3.2 Algorithm-Specific Behaviour</w:t>
      </w:r>
    </w:p>
    <w:p>
      <w:pPr>
        <w:spacing w:after="240" w:before="0" w:lineRule="auto" w:line="360"/>
        <w:ind w:firstLine="720"/>
        <w:jc w:val="both"/>
      </w:pPr>
      <w:r>
        <w:rPr>
          <w:rFonts w:ascii="Times New Roman" w:hAnsi="Times New Roman" w:eastAsia="Times New Roman"/>
          <w:b/>
          <w:i w:val="0"/>
          <w:sz w:val="24"/>
        </w:rPr>
        <w:t>LinTS (rank 1).</w:t>
      </w:r>
      <w:r>
        <w:rPr>
          <w:rFonts w:ascii="Times New Roman" w:hAnsi="Times New Roman" w:eastAsia="Times New Roman"/>
          <w:b w:val="0"/>
          <w:i w:val="0"/>
          <w:sz w:val="24"/>
        </w:rPr>
        <w:t xml:space="preserve"> Thompson Sampling maintains a full Gaussian posterior over reward parameters and samples from it at each round. This produces an automatic exploration–exploitation balance: when the posterior is wide, samples are spread across arms; as the posterior narrows, samples concentrate on the optimal arm. Crucially, LinTS requires no exploration parameter tuning — unlike LinUCB's </w:t>
      </w:r>
      <w:r>
        <w:rPr>
          <w:rFonts w:ascii="Times New Roman" w:hAnsi="Times New Roman" w:eastAsia="Times New Roman"/>
          <w:b w:val="0"/>
          <w:i/>
          <w:sz w:val="24"/>
        </w:rPr>
        <w:t>α</w:t>
      </w:r>
      <w:r>
        <w:rPr>
          <w:rFonts w:ascii="Times New Roman" w:hAnsi="Times New Roman" w:eastAsia="Times New Roman"/>
          <w:b w:val="0"/>
          <w:i w:val="0"/>
          <w:sz w:val="24"/>
        </w:rPr>
        <w:t xml:space="preserve"> or Epsilon-Greedy's </w:t>
      </w:r>
      <w:r>
        <w:rPr>
          <w:rFonts w:ascii="Times New Roman" w:hAnsi="Times New Roman" w:eastAsia="Times New Roman"/>
          <w:b w:val="0"/>
          <w:i/>
          <w:sz w:val="24"/>
        </w:rPr>
        <w:t>ε</w:t>
      </w:r>
      <w:r>
        <w:rPr>
          <w:rFonts w:ascii="Times New Roman" w:hAnsi="Times New Roman" w:eastAsia="Times New Roman"/>
          <w:b w:val="0"/>
          <w:i w:val="0"/>
          <w:sz w:val="24"/>
        </w:rPr>
        <w:t xml:space="preserve"> — which is an operational advantage in production settings where re-tuning after data drift is expensive.</w:t>
      </w:r>
    </w:p>
    <w:p>
      <w:pPr>
        <w:spacing w:after="240" w:before="0" w:lineRule="auto" w:line="360"/>
        <w:ind w:firstLine="720"/>
        <w:jc w:val="both"/>
      </w:pPr>
      <w:r>
        <w:rPr>
          <w:rFonts w:ascii="Times New Roman" w:hAnsi="Times New Roman" w:eastAsia="Times New Roman"/>
          <w:b/>
          <w:i w:val="0"/>
          <w:sz w:val="24"/>
        </w:rPr>
        <w:t>LinUCB (rank 2).</w:t>
      </w:r>
      <w:r>
        <w:rPr>
          <w:rFonts w:ascii="Times New Roman" w:hAnsi="Times New Roman" w:eastAsia="Times New Roman"/>
          <w:b w:val="0"/>
          <w:i w:val="0"/>
          <w:sz w:val="24"/>
        </w:rPr>
        <w:t xml:space="preserve"> Upper Confidence Bound performs comparably to LinTS but requires choice of </w:t>
      </w:r>
      <w:r>
        <w:rPr>
          <w:rFonts w:ascii="Times New Roman" w:hAnsi="Times New Roman" w:eastAsia="Times New Roman"/>
          <w:b w:val="0"/>
          <w:i/>
          <w:sz w:val="24"/>
        </w:rPr>
        <w:t>α</w:t>
      </w:r>
      <w:r>
        <w:rPr>
          <w:rFonts w:ascii="Times New Roman" w:hAnsi="Times New Roman" w:eastAsia="Times New Roman"/>
          <w:b w:val="0"/>
          <w:i w:val="0"/>
          <w:sz w:val="24"/>
        </w:rPr>
        <w:t xml:space="preserve">. At </w:t>
      </w:r>
      <w:r>
        <w:rPr>
          <w:rFonts w:ascii="Times New Roman" w:hAnsi="Times New Roman" w:eastAsia="Times New Roman"/>
          <w:b w:val="0"/>
          <w:i/>
          <w:sz w:val="24"/>
        </w:rPr>
        <w:t>α = 1.0</w:t>
      </w:r>
      <w:r>
        <w:rPr>
          <w:rFonts w:ascii="Times New Roman" w:hAnsi="Times New Roman" w:eastAsia="Times New Roman"/>
          <w:b w:val="0"/>
          <w:i w:val="0"/>
          <w:sz w:val="24"/>
        </w:rPr>
        <w:t xml:space="preserve"> (Li et al., 2010 default), it accumulates slightly more regret in the early rounds than LinTS before converging to a similar late-round policy. The two algorithms reach statistically indistinguishable asymptotic performance, but UCB's parameter sensitivity means that production deployment would warrant either a tuned </w:t>
      </w:r>
      <w:r>
        <w:rPr>
          <w:rFonts w:ascii="Times New Roman" w:hAnsi="Times New Roman" w:eastAsia="Times New Roman"/>
          <w:b w:val="0"/>
          <w:i/>
          <w:sz w:val="24"/>
        </w:rPr>
        <w:t>α</w:t>
      </w:r>
      <w:r>
        <w:rPr>
          <w:rFonts w:ascii="Times New Roman" w:hAnsi="Times New Roman" w:eastAsia="Times New Roman"/>
          <w:b w:val="0"/>
          <w:i w:val="0"/>
          <w:sz w:val="24"/>
        </w:rPr>
        <w:t xml:space="preserve"> for the specific data distribution or a switch to Thompson Sampling.</w:t>
      </w:r>
    </w:p>
    <w:p>
      <w:pPr>
        <w:spacing w:after="240" w:before="0" w:lineRule="auto" w:line="360"/>
        <w:ind w:firstLine="720"/>
        <w:jc w:val="both"/>
      </w:pPr>
      <w:r>
        <w:rPr>
          <w:rFonts w:ascii="Times New Roman" w:hAnsi="Times New Roman" w:eastAsia="Times New Roman"/>
          <w:b/>
          <w:i w:val="0"/>
          <w:sz w:val="24"/>
        </w:rPr>
        <w:t>Epsilon-Greedy (rank 3).</w:t>
      </w:r>
      <w:r>
        <w:rPr>
          <w:rFonts w:ascii="Times New Roman" w:hAnsi="Times New Roman" w:eastAsia="Times New Roman"/>
          <w:b w:val="0"/>
          <w:i w:val="0"/>
          <w:sz w:val="24"/>
        </w:rPr>
        <w:t xml:space="preserve"> With </w:t>
      </w:r>
      <w:r>
        <w:rPr>
          <w:rFonts w:ascii="Times New Roman" w:hAnsi="Times New Roman" w:eastAsia="Times New Roman"/>
          <w:b w:val="0"/>
          <w:i/>
          <w:sz w:val="24"/>
        </w:rPr>
        <w:t>ε = 0.15</w:t>
      </w:r>
      <w:r>
        <w:rPr>
          <w:rFonts w:ascii="Times New Roman" w:hAnsi="Times New Roman" w:eastAsia="Times New Roman"/>
          <w:b w:val="0"/>
          <w:i w:val="0"/>
          <w:sz w:val="24"/>
        </w:rPr>
        <w:t>, the algorithm wastes 15% of decisions on uniform random exploration regardless of how much has been learned. Unlike UCB and Thompson Sampling, it does not reduce exploration as confidence grows. This produces a nearly-linear regret curve — the hallmark of an algorithm that never fully exploits its learned knowledge — and its mean regret is roughly 1.8 times that of LinUCB and LinTS combined.</w:t>
      </w:r>
    </w:p>
    <w:p>
      <w:pPr>
        <w:spacing w:after="240" w:before="0" w:lineRule="auto" w:line="360"/>
        <w:ind w:firstLine="720"/>
        <w:jc w:val="both"/>
      </w:pPr>
      <w:r>
        <w:rPr>
          <w:rFonts w:ascii="Times New Roman" w:hAnsi="Times New Roman" w:eastAsia="Times New Roman"/>
          <w:b/>
          <w:i w:val="0"/>
          <w:sz w:val="24"/>
        </w:rPr>
        <w:t>Static XGB (rank 4).</w:t>
      </w:r>
      <w:r>
        <w:rPr>
          <w:rFonts w:ascii="Times New Roman" w:hAnsi="Times New Roman" w:eastAsia="Times New Roman"/>
          <w:b w:val="0"/>
          <w:i w:val="0"/>
          <w:sz w:val="24"/>
        </w:rPr>
        <w:t xml:space="preserve"> The pre-trained XGBoost baseline, combined with deterministic underwriting rules, cannot adapt to the reward signals it receives. Its regret is bounded below by the systematic mismatch between its fixed decision boundaries and the actuarial reward structure. Even Epsilon-Greedy — which explores uniformly without using any context-dependent information beyond the empirical mean — outperforms it by a statistically significant margin (-4,268, d = -0.82, large effect), underscoring that </w:t>
      </w:r>
      <w:r>
        <w:rPr>
          <w:rFonts w:ascii="Times New Roman" w:hAnsi="Times New Roman" w:eastAsia="Times New Roman"/>
          <w:b w:val="0"/>
          <w:i/>
          <w:sz w:val="24"/>
        </w:rPr>
        <w:t>any</w:t>
      </w:r>
      <w:r>
        <w:rPr>
          <w:rFonts w:ascii="Times New Roman" w:hAnsi="Times New Roman" w:eastAsia="Times New Roman"/>
          <w:b w:val="0"/>
          <w:i w:val="0"/>
          <w:sz w:val="24"/>
        </w:rPr>
        <w:t xml:space="preserve"> online adaptation beats </w:t>
      </w:r>
      <w:r>
        <w:rPr>
          <w:rFonts w:ascii="Times New Roman" w:hAnsi="Times New Roman" w:eastAsia="Times New Roman"/>
          <w:b w:val="0"/>
          <w:i/>
          <w:sz w:val="24"/>
        </w:rPr>
        <w:t>no</w:t>
      </w:r>
      <w:r>
        <w:rPr>
          <w:rFonts w:ascii="Times New Roman" w:hAnsi="Times New Roman" w:eastAsia="Times New Roman"/>
          <w:b w:val="0"/>
          <w:i w:val="0"/>
          <w:sz w:val="24"/>
        </w:rPr>
        <w:t xml:space="preserve"> online adaptation in this environment.</w:t>
      </w:r>
    </w:p>
    <w:p>
      <w:pPr>
        <w:spacing w:after="240" w:before="0" w:lineRule="auto" w:line="360"/>
        <w:ind w:firstLine="720"/>
        <w:jc w:val="both"/>
      </w:pPr>
      <w:r>
        <w:rPr>
          <w:rFonts w:ascii="Times New Roman" w:hAnsi="Times New Roman" w:eastAsia="Times New Roman"/>
          <w:b w:val="0"/>
          <w:i w:val="0"/>
          <w:sz w:val="24"/>
        </w:rPr>
        <w:t xml:space="preserve">The "rank 1–4" labels in this subsection refer to the </w:t>
      </w:r>
      <w:r>
        <w:rPr>
          <w:rFonts w:ascii="Times New Roman" w:hAnsi="Times New Roman" w:eastAsia="Times New Roman"/>
          <w:b w:val="0"/>
          <w:i/>
          <w:sz w:val="24"/>
        </w:rPr>
        <w:t>within-learner</w:t>
      </w:r>
      <w:r>
        <w:rPr>
          <w:rFonts w:ascii="Times New Roman" w:hAnsi="Times New Roman" w:eastAsia="Times New Roman"/>
          <w:b w:val="0"/>
          <w:i w:val="0"/>
          <w:sz w:val="24"/>
        </w:rPr>
        <w:t xml:space="preserve"> ordering of the four algorithms EXP-007 originally ran; in the complete ladder of Table 5.3.1 the bandits are rank-3 overall. These descriptions characterize the </w:t>
      </w:r>
      <w:r>
        <w:rPr>
          <w:rFonts w:ascii="Times New Roman" w:hAnsi="Times New Roman" w:eastAsia="Times New Roman"/>
          <w:b w:val="0"/>
          <w:i/>
          <w:sz w:val="24"/>
        </w:rPr>
        <w:t>relative</w:t>
      </w:r>
      <w:r>
        <w:rPr>
          <w:rFonts w:ascii="Times New Roman" w:hAnsi="Times New Roman" w:eastAsia="Times New Roman"/>
          <w:b w:val="0"/>
          <w:i w:val="0"/>
          <w:sz w:val="24"/>
        </w:rPr>
        <w:t xml:space="preserve"> behaviour of the four learners; none of them reaches the trivial-constant ceiling (§5.0.1), which is the subject of §5.11.</w:t>
      </w:r>
    </w:p>
    <w:p>
      <w:pPr>
        <w:spacing w:after="240" w:before="0" w:lineRule="auto" w:line="360"/>
        <w:ind w:left="720"/>
        <w:jc w:val="left"/>
      </w:pPr>
      <w:r>
        <w:rPr>
          <w:rFonts w:ascii="Times New Roman" w:hAnsi="Times New Roman" w:eastAsia="Times New Roman"/>
          <w:b/>
          <w:i w:val="0"/>
          <w:sz w:val="24"/>
        </w:rPr>
        <w:t>5.3.3 Pass/Fail Assessment</w:t>
      </w:r>
    </w:p>
    <w:p>
      <w:pPr>
        <w:pStyle w:val="ListNumber"/>
        <w:ind w:left="720"/>
      </w:pPr>
      <w:r>
        <w:rPr>
          <w:rFonts w:ascii="Times New Roman" w:hAnsi="Times New Roman" w:eastAsia="Times New Roman"/>
          <w:b/>
          <w:i w:val="0"/>
          <w:sz w:val="24"/>
        </w:rPr>
        <w:t>Oracle mean regret ≤ all learning algorithms</w:t>
      </w:r>
      <w:r>
        <w:rPr>
          <w:rFonts w:ascii="Times New Roman" w:hAnsi="Times New Roman" w:eastAsia="Times New Roman"/>
          <w:b w:val="0"/>
          <w:i w:val="0"/>
          <w:sz w:val="24"/>
        </w:rPr>
        <w:t xml:space="preserve"> — Oracle -11,597 &lt; LinTS 21,149 &lt; LinUCB 22,774 &lt; EpsGreedy 38,281 &lt; StaticXGB 42,548.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regret significantly &lt; StaticXGB and Epsilon-Greedy</w:t>
      </w:r>
      <w:r>
        <w:rPr>
          <w:rFonts w:ascii="Times New Roman" w:hAnsi="Times New Roman" w:eastAsia="Times New Roman"/>
          <w:b w:val="0"/>
          <w:i w:val="0"/>
          <w:sz w:val="24"/>
        </w:rPr>
        <w:t xml:space="preserve"> — both p &lt; 0.001, d = -3.41.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LinTS regret significantly &lt; StaticXGB and Epsilon-Greedy</w:t>
      </w:r>
      <w:r>
        <w:rPr>
          <w:rFonts w:ascii="Times New Roman" w:hAnsi="Times New Roman" w:eastAsia="Times New Roman"/>
          <w:b w:val="0"/>
          <w:i w:val="0"/>
          <w:sz w:val="24"/>
        </w:rPr>
        <w:t xml:space="preserve"> — p &lt; 0.001, d = -3.89 and d = -2.75.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and LinTS reward significantly &gt; StaticXGB</w:t>
      </w:r>
      <w:r>
        <w:rPr>
          <w:rFonts w:ascii="Times New Roman" w:hAnsi="Times New Roman" w:eastAsia="Times New Roman"/>
          <w:b w:val="0"/>
          <w:i w:val="0"/>
          <w:sz w:val="24"/>
        </w:rPr>
        <w:t xml:space="preserve"> — both p &lt; 0.001, d &gt; 3.4.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reward ≥ all learning algorithms</w:t>
      </w:r>
      <w:r>
        <w:rPr>
          <w:rFonts w:ascii="Times New Roman" w:hAnsi="Times New Roman" w:eastAsia="Times New Roman"/>
          <w:b w:val="0"/>
          <w:i w:val="0"/>
          <w:sz w:val="24"/>
        </w:rPr>
        <w:t xml:space="preserve"> — confirmed.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Pre-registered expectation `bandit &gt; best simple baseline` — FALSIFIED.</w:t>
      </w:r>
      <w:r>
        <w:rPr>
          <w:rFonts w:ascii="Times New Roman" w:hAnsi="Times New Roman" w:eastAsia="Times New Roman"/>
          <w:b w:val="0"/>
          <w:i w:val="0"/>
          <w:sz w:val="24"/>
        </w:rPr>
        <w:t xml:space="preserve"> AlwaysRATED ($122,287) &gt; LinTS ($93,723) &gt; LinUCB ($91,864), p &lt; 0.0001. Reported in the same spirit as the falsified hypotheses in EXP-011 (§5.7): the falsification </w:t>
      </w:r>
      <w:r>
        <w:rPr>
          <w:rFonts w:ascii="Times New Roman" w:hAnsi="Times New Roman" w:eastAsia="Times New Roman"/>
          <w:b w:val="0"/>
          <w:i/>
          <w:sz w:val="24"/>
        </w:rPr>
        <w:t>is</w:t>
      </w:r>
      <w:r>
        <w:rPr>
          <w:rFonts w:ascii="Times New Roman" w:hAnsi="Times New Roman" w:eastAsia="Times New Roman"/>
          <w:b w:val="0"/>
          <w:i w:val="0"/>
          <w:sz w:val="24"/>
        </w:rPr>
        <w:t xml:space="preserve"> the scientifically informative outcome and motivates the reframing of this chapter.</w:t>
      </w:r>
    </w:p>
    <w:p>
      <w:pPr>
        <w:spacing w:after="240" w:before="0" w:lineRule="auto" w:line="360"/>
        <w:jc w:val="left"/>
      </w:pPr>
      <w:r>
        <w:rPr>
          <w:rFonts w:ascii="Times New Roman" w:hAnsi="Times New Roman" w:eastAsia="Times New Roman"/>
          <w:b/>
          <w:i w:val="0"/>
          <w:sz w:val="28"/>
        </w:rPr>
        <w:t>5.4 EXP-008: Human-in-the-Loop Underwriting</w:t>
      </w:r>
    </w:p>
    <w:p>
      <w:pPr>
        <w:spacing w:after="240" w:before="0" w:lineRule="auto" w:line="360"/>
        <w:ind w:left="720"/>
        <w:jc w:val="left"/>
      </w:pPr>
      <w:r>
        <w:rPr>
          <w:rFonts w:ascii="Times New Roman" w:hAnsi="Times New Roman" w:eastAsia="Times New Roman"/>
          <w:b/>
          <w:i w:val="0"/>
          <w:sz w:val="24"/>
        </w:rPr>
        <w:t>5.4.1 Motivation and Design</w:t>
      </w:r>
    </w:p>
    <w:p>
      <w:pPr>
        <w:spacing w:after="240" w:before="0" w:lineRule="auto" w:line="360"/>
        <w:ind w:firstLine="720"/>
        <w:jc w:val="both"/>
      </w:pPr>
      <w:r>
        <w:rPr>
          <w:rFonts w:ascii="Times New Roman" w:hAnsi="Times New Roman" w:eastAsia="Times New Roman"/>
          <w:b w:val="0"/>
          <w:i w:val="0"/>
          <w:sz w:val="24"/>
        </w:rPr>
        <w:t>EXP-005 through EXP-007 demonstrated that LinUCB and LinTS outperform static baselines on synthetic data where the optimal reward for every action is immediately observable. In practice, however, an underwriter deploying a contextual bandit faces a fundamentally different constraint: when the model is uncertain about a borderline applicant, it can defer to a human expert — but human review is costly, creates queue latency, and cannot scale to every case. EXP-008 asks whether replacing the REFER arm's mathematical oracle with a real (simulated) human underwriter still produces better outcomes than a mathematical baseline while remaining cost-effective.</w:t>
      </w:r>
    </w:p>
    <w:p>
      <w:pPr>
        <w:spacing w:after="240" w:before="0" w:lineRule="auto" w:line="360"/>
        <w:ind w:firstLine="720"/>
        <w:jc w:val="both"/>
      </w:pPr>
      <w:r>
        <w:rPr>
          <w:rFonts w:ascii="Times New Roman" w:hAnsi="Times New Roman" w:eastAsia="Times New Roman"/>
          <w:b w:val="0"/>
          <w:i w:val="0"/>
          <w:sz w:val="24"/>
        </w:rPr>
        <w:t>The experiment wraps LinUCB (α = 1.0) in a human-in-the-loop (HITL) wrapper. Whenever the bandit selects REFER, the case enters a review queue and a simulated human underwriter resolves it to a final action (STANDARD, RATED, or DECLINE). The simulated underwriter applies a conservatism penalty to risky actions (Equation 5.4.1), modelling the risk-averse behaviour typical of senior actuaries. A $35 processing fee is charged per review and deducted from cumulative reward. Three conservatism levels (c ∈ {0.3, 0.5, 0.7}) are evaluated over N = 5,000 rounds on the 2,000-record Cambodia dataset.</w:t>
      </w:r>
    </w:p>
    <w:p>
      <w:pPr>
        <w:spacing w:after="240" w:before="0" w:lineRule="auto" w:line="360"/>
        <w:ind w:firstLine="720"/>
        <w:jc w:val="both"/>
      </w:pPr>
      <w:r>
        <w:rPr>
          <w:rFonts w:ascii="Times New Roman" w:hAnsi="Times New Roman" w:eastAsia="Times New Roman"/>
          <w:b/>
          <w:i w:val="0"/>
          <w:sz w:val="24"/>
        </w:rPr>
        <w:t>Equation 5.4.1 — Simulated underwriter adjusted reward:</w:t>
      </w:r>
    </w:p>
    <w:p>
      <w:pPr>
        <w:spacing w:after="240" w:before="120" w:lineRule="auto" w:line="360"/>
        <w:jc w:val="center"/>
      </w:pPr>
      <w:r>
        <w:rPr>
          <w:rFonts w:ascii="Times New Roman" w:hAnsi="Times New Roman" w:eastAsia="Times New Roman"/>
          <w:b w:val="0"/>
          <w:i/>
          <w:sz w:val="24"/>
        </w:rPr>
        <w:t>r̂_(std) = r_(std) - c · 5.0,   r̂_(rated) = r_(rated) - c · 2.5,   r̂_(decline) = r_(decline)</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c ∈ [0,1]</w:t>
      </w:r>
      <w:r>
        <w:rPr>
          <w:rFonts w:ascii="Times New Roman" w:hAnsi="Times New Roman" w:eastAsia="Times New Roman"/>
          <w:b w:val="0"/>
          <w:i w:val="0"/>
          <w:sz w:val="24"/>
        </w:rPr>
        <w:t xml:space="preserve"> is the conservatism parameter. The human always resolves to </w:t>
      </w:r>
      <w:r>
        <w:rPr>
          <w:rFonts w:ascii="Times New Roman" w:hAnsi="Times New Roman" w:eastAsia="Times New Roman"/>
          <w:b w:val="0"/>
          <w:i/>
          <w:sz w:val="24"/>
        </w:rPr>
        <w:t>argmax(r̂_(std), r̂_(rated), r̂_(decline))</w:t>
      </w:r>
      <w:r>
        <w:rPr>
          <w:rFonts w:ascii="Times New Roman" w:hAnsi="Times New Roman" w:eastAsia="Times New Roman"/>
          <w:b w:val="0"/>
          <w:i w:val="0"/>
          <w:sz w:val="24"/>
        </w:rPr>
        <w:t>, never selecting REFER itself.</w:t>
      </w:r>
    </w:p>
    <w:p>
      <w:pPr>
        <w:spacing w:after="240" w:before="0" w:lineRule="auto" w:line="360"/>
        <w:ind w:firstLine="720"/>
        <w:jc w:val="both"/>
      </w:pPr>
      <w:r>
        <w:rPr>
          <w:rFonts w:ascii="Times New Roman" w:hAnsi="Times New Roman" w:eastAsia="Times New Roman"/>
          <w:b w:val="0"/>
          <w:i w:val="0"/>
          <w:sz w:val="24"/>
        </w:rPr>
        <w:t xml:space="preserve">A critical implementation detail distinguishes this design from a naïve HITL wrapper: when the human chooses action </w:t>
      </w:r>
      <w:r>
        <w:rPr>
          <w:rFonts w:ascii="Times New Roman" w:hAnsi="Times New Roman" w:eastAsia="Times New Roman"/>
          <w:b w:val="0"/>
          <w:i/>
          <w:sz w:val="24"/>
        </w:rPr>
        <w:t>aₕ</w:t>
      </w:r>
      <w:r>
        <w:rPr>
          <w:rFonts w:ascii="Times New Roman" w:hAnsi="Times New Roman" w:eastAsia="Times New Roman"/>
          <w:b w:val="0"/>
          <w:i w:val="0"/>
          <w:sz w:val="24"/>
        </w:rPr>
        <w:t xml:space="preserve">, the bandit receives two updates. It learns the reward from </w:t>
      </w:r>
      <w:r>
        <w:rPr>
          <w:rFonts w:ascii="Times New Roman" w:hAnsi="Times New Roman" w:eastAsia="Times New Roman"/>
          <w:b w:val="0"/>
          <w:i/>
          <w:sz w:val="24"/>
        </w:rPr>
        <w:t>aₕ</w:t>
      </w:r>
      <w:r>
        <w:rPr>
          <w:rFonts w:ascii="Times New Roman" w:hAnsi="Times New Roman" w:eastAsia="Times New Roman"/>
          <w:b w:val="0"/>
          <w:i w:val="0"/>
          <w:sz w:val="24"/>
        </w:rPr>
        <w:t xml:space="preserve"> directly (the override), and it also receives a penalised update for REFER itself ($0.7 \times r^\ast - 35</w:t>
      </w:r>
      <w:r>
        <w:rPr>
          <w:rFonts w:ascii="Times New Roman" w:hAnsi="Times New Roman" w:eastAsia="Times New Roman"/>
          <w:b w:val="0"/>
          <w:i/>
          <w:sz w:val="24"/>
        </w:rPr>
        <w:t xml:space="preserve">, where </w:t>
      </w:r>
      <w:r>
        <w:rPr>
          <w:rFonts w:ascii="Times New Roman" w:hAnsi="Times New Roman" w:eastAsia="Times New Roman"/>
          <w:b w:val="0"/>
          <w:i w:val="0"/>
          <w:sz w:val="24"/>
        </w:rPr>
        <w:t>r^\ast</w:t>
      </w:r>
      <w:r>
        <w:rPr>
          <w:rFonts w:ascii="Times New Roman" w:hAnsi="Times New Roman" w:eastAsia="Times New Roman"/>
          <w:b w:val="0"/>
          <w:i/>
          <w:sz w:val="24"/>
        </w:rPr>
        <w:t xml:space="preserve"> is the oracle-optimal reward). Without this second update, the REFER arm retains an un-explored posterior (</w:t>
      </w:r>
      <w:r>
        <w:rPr>
          <w:rFonts w:ascii="Times New Roman" w:hAnsi="Times New Roman" w:eastAsia="Times New Roman"/>
          <w:b w:val="0"/>
          <w:i w:val="0"/>
          <w:sz w:val="24"/>
        </w:rPr>
        <w:t>A = I</w:t>
      </w:r>
      <w:r>
        <w:rPr>
          <w:rFonts w:ascii="Times New Roman" w:hAnsi="Times New Roman" w:eastAsia="Times New Roman"/>
          <w:b w:val="0"/>
          <w:i/>
          <w:sz w:val="24"/>
        </w:rPr>
        <w:t xml:space="preserve">, </w:t>
      </w:r>
      <w:r>
        <w:rPr>
          <w:rFonts w:ascii="Times New Roman" w:hAnsi="Times New Roman" w:eastAsia="Times New Roman"/>
          <w:b w:val="0"/>
          <w:i w:val="0"/>
          <w:sz w:val="24"/>
        </w:rPr>
        <w:t>b = 0$), its UCB stays inflated, and REFER is perpetually over-selected regardless of how many cases the human has resolved. Updating both arms allows the bandit to internalise when REFER is genuinely suboptimal and stop deferring unnecessarily.</w:t>
      </w:r>
    </w:p>
    <w:p>
      <w:pPr>
        <w:spacing w:after="240" w:before="0" w:lineRule="auto" w:line="360"/>
        <w:ind w:left="720"/>
        <w:jc w:val="left"/>
      </w:pPr>
      <w:r>
        <w:rPr>
          <w:rFonts w:ascii="Times New Roman" w:hAnsi="Times New Roman" w:eastAsia="Times New Roman"/>
          <w:b/>
          <w:i w:val="0"/>
          <w:sz w:val="24"/>
        </w:rPr>
        <w:t>5.4.2 Results</w:t>
      </w:r>
    </w:p>
    <w:p>
      <w:pPr>
        <w:spacing w:after="240" w:before="0" w:lineRule="auto" w:line="360"/>
        <w:ind w:firstLine="720"/>
        <w:jc w:val="both"/>
      </w:pPr>
      <w:r>
        <w:rPr>
          <w:rFonts w:ascii="Times New Roman" w:hAnsi="Times New Roman" w:eastAsia="Times New Roman"/>
          <w:b w:val="0"/>
          <w:i w:val="0"/>
          <w:sz w:val="24"/>
        </w:rPr>
        <w:t>Table 5.4.1 reports the HITL system at three conservatism levels against the mathematical REFER baseline (the same LinUCB but with the REFER reward computed analytically rather than via a simulated human).</w:t>
      </w:r>
    </w:p>
    <w:p>
      <w:pPr>
        <w:spacing w:after="240" w:before="0" w:lineRule="auto" w:line="360"/>
        <w:ind w:firstLine="720"/>
        <w:jc w:val="both"/>
      </w:pPr>
      <w:r>
        <w:rPr>
          <w:rFonts w:ascii="Times New Roman" w:hAnsi="Times New Roman" w:eastAsia="Times New Roman"/>
          <w:b/>
          <w:i w:val="0"/>
          <w:sz w:val="24"/>
        </w:rPr>
        <w:t>Table 5.4.1 — EXP-008 HITL performance vs. mathematical-REFER baseline (N = 5,000 rounds)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Metric</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0.3</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0.5</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0.7</w:t>
            </w:r>
          </w:p>
        </w:tc>
        <w:tc>
          <w:tcPr>
            <w:tcW w:type="dxa" w:w="1734"/>
          </w:tcPr>
          <w:p>
            <w:pPr>
              <w:spacing w:after="120" w:before="0" w:lineRule="auto" w:line="276"/>
              <w:jc w:val="left"/>
            </w:pPr>
            <w:r/>
            <w:r>
              <w:rPr>
                <w:rFonts w:ascii="Times New Roman" w:hAnsi="Times New Roman" w:eastAsia="Times New Roman"/>
                <w:b w:val="0"/>
                <w:i w:val="0"/>
                <w:sz w:val="22"/>
              </w:rPr>
              <w:t>Baseline (math REFER)</w:t>
            </w:r>
          </w:p>
        </w:tc>
      </w:tr>
      <w:tr>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i w:val="0"/>
                <w:sz w:val="22"/>
              </w:rPr>
              <w:t>102,100</w:t>
            </w:r>
          </w:p>
        </w:tc>
        <w:tc>
          <w:tcPr>
            <w:tcW w:type="dxa" w:w="1734"/>
          </w:tcPr>
          <w:p>
            <w:pPr>
              <w:spacing w:after="120" w:before="0" w:lineRule="auto" w:line="276"/>
              <w:jc w:val="left"/>
            </w:pPr>
            <w:r/>
            <w:r>
              <w:rPr>
                <w:rFonts w:ascii="Times New Roman" w:hAnsi="Times New Roman" w:eastAsia="Times New Roman"/>
                <w:b w:val="0"/>
                <w:i w:val="0"/>
                <w:sz w:val="22"/>
              </w:rPr>
              <w:t>95,872</w:t>
            </w:r>
          </w:p>
        </w:tc>
      </w:tr>
      <w:tr>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i w:val="0"/>
                <w:sz w:val="22"/>
              </w:rPr>
              <w:t>12,555</w:t>
            </w:r>
          </w:p>
        </w:tc>
        <w:tc>
          <w:tcPr>
            <w:tcW w:type="dxa" w:w="1734"/>
          </w:tcPr>
          <w:p>
            <w:pPr>
              <w:spacing w:after="120" w:before="0" w:lineRule="auto" w:line="276"/>
              <w:jc w:val="left"/>
            </w:pPr>
            <w:r/>
            <w:r>
              <w:rPr>
                <w:rFonts w:ascii="Times New Roman" w:hAnsi="Times New Roman" w:eastAsia="Times New Roman"/>
                <w:b w:val="0"/>
                <w:i w:val="0"/>
                <w:sz w:val="22"/>
              </w:rPr>
              <w:t>19,289</w:t>
            </w:r>
          </w:p>
        </w:tc>
      </w:tr>
      <w:tr>
        <w:tc>
          <w:tcPr>
            <w:tcW w:type="dxa" w:w="1734"/>
          </w:tcPr>
          <w:p>
            <w:pPr>
              <w:spacing w:after="120" w:before="0" w:lineRule="auto" w:line="276"/>
              <w:jc w:val="left"/>
            </w:pPr>
            <w:r/>
            <w:r>
              <w:rPr>
                <w:rFonts w:ascii="Times New Roman" w:hAnsi="Times New Roman" w:eastAsia="Times New Roman"/>
                <w:b w:val="0"/>
                <w:i w:val="0"/>
                <w:sz w:val="22"/>
              </w:rPr>
              <w:t>Total Human Review Cost</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i w:val="0"/>
                <w:sz w:val="22"/>
              </w:rPr>
              <w:t>2,625</w:t>
            </w:r>
          </w:p>
        </w:tc>
        <w:tc>
          <w:tcPr>
            <w:tcW w:type="dxa" w:w="1734"/>
          </w:tcPr>
          <w:p>
            <w:pPr>
              <w:spacing w:after="120" w:before="0" w:lineRule="auto" w:line="276"/>
              <w:jc w:val="left"/>
            </w:pPr>
            <w:r/>
            <w:r>
              <w:rPr>
                <w:rFonts w:ascii="Times New Roman" w:hAnsi="Times New Roman" w:eastAsia="Times New Roman"/>
                <w:b w:val="0"/>
                <w:i w:val="0"/>
                <w:sz w:val="22"/>
              </w:rPr>
              <w:t>0</w:t>
            </w:r>
          </w:p>
        </w:tc>
      </w:tr>
      <w:tr>
        <w:tc>
          <w:tcPr>
            <w:tcW w:type="dxa" w:w="1734"/>
          </w:tcPr>
          <w:p>
            <w:pPr>
              <w:spacing w:after="120" w:before="0" w:lineRule="auto" w:line="276"/>
              <w:jc w:val="left"/>
            </w:pPr>
            <w:r/>
            <w:r>
              <w:rPr>
                <w:rFonts w:ascii="Times New Roman" w:hAnsi="Times New Roman" w:eastAsia="Times New Roman"/>
                <w:b w:val="0"/>
                <w:i w:val="0"/>
                <w:sz w:val="22"/>
              </w:rPr>
              <w:t>Final Alignment Score</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i w:val="0"/>
                <w:sz w:val="22"/>
              </w:rPr>
              <w:t>60.0%</w:t>
            </w:r>
          </w:p>
        </w:tc>
        <w:tc>
          <w:tcPr>
            <w:tcW w:type="dxa" w:w="1734"/>
          </w:tcPr>
          <w:p>
            <w:pPr>
              <w:spacing w:after="120" w:before="0" w:lineRule="auto" w:line="276"/>
              <w:jc w:val="left"/>
            </w:pPr>
            <w:r/>
            <w:r>
              <w:rPr>
                <w:rFonts w:ascii="Times New Roman" w:hAnsi="Times New Roman" w:eastAsia="Times New Roman"/>
                <w:b w:val="0"/>
                <w:i w:val="0"/>
                <w:sz w:val="22"/>
              </w:rPr>
              <w:t>N/A</w:t>
            </w:r>
          </w:p>
        </w:tc>
      </w:tr>
      <w:tr>
        <w:tc>
          <w:tcPr>
            <w:tcW w:type="dxa" w:w="1734"/>
          </w:tcPr>
          <w:p>
            <w:pPr>
              <w:spacing w:after="120" w:before="0" w:lineRule="auto" w:line="276"/>
              <w:jc w:val="left"/>
            </w:pPr>
            <w:r/>
            <w:r>
              <w:rPr>
                <w:rFonts w:ascii="Times New Roman" w:hAnsi="Times New Roman" w:eastAsia="Times New Roman"/>
                <w:b w:val="0"/>
                <w:i w:val="0"/>
                <w:sz w:val="22"/>
              </w:rPr>
              <w:t>Human Overrides (of 5,000)</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i w:val="0"/>
                <w:sz w:val="22"/>
              </w:rPr>
              <w:t>75</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Max Queue Depth</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Average Queue Depth</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At conservatism c = 0.7 the HITL system earns a cumulative reward of </w:t>
      </w:r>
      <w:r>
        <w:rPr>
          <w:rFonts w:ascii="Times New Roman" w:hAnsi="Times New Roman" w:eastAsia="Times New Roman"/>
          <w:b/>
          <w:i w:val="0"/>
          <w:sz w:val="24"/>
        </w:rPr>
        <w:t>102,100</w:t>
      </w:r>
      <w:r>
        <w:rPr>
          <w:rFonts w:ascii="Times New Roman" w:hAnsi="Times New Roman" w:eastAsia="Times New Roman"/>
          <w:b w:val="0"/>
          <w:i w:val="0"/>
          <w:sz w:val="24"/>
        </w:rPr>
        <w:t xml:space="preserve">, exceeding the </w:t>
      </w:r>
      <w:r>
        <w:rPr>
          <w:rFonts w:ascii="Times New Roman" w:hAnsi="Times New Roman" w:eastAsia="Times New Roman"/>
          <w:b w:val="0"/>
          <w:i/>
          <w:sz w:val="24"/>
        </w:rPr>
        <w:t>vanilla mathematical-REFER bandit</w:t>
      </w:r>
      <w:r>
        <w:rPr>
          <w:rFonts w:ascii="Times New Roman" w:hAnsi="Times New Roman" w:eastAsia="Times New Roman"/>
          <w:b w:val="0"/>
          <w:i w:val="0"/>
          <w:sz w:val="24"/>
        </w:rPr>
        <w:t xml:space="preserve"> (95,872) by +6,228 (+6.5 %) at a review cost of 2,625 (2.6 % of reward). This "+6.5 %" is the figure reported in earlier drafts — but it is a comparison </w:t>
      </w:r>
      <w:r>
        <w:rPr>
          <w:rFonts w:ascii="Times New Roman" w:hAnsi="Times New Roman" w:eastAsia="Times New Roman"/>
          <w:b/>
          <w:i w:val="0"/>
          <w:sz w:val="24"/>
        </w:rPr>
        <w:t>against the bandit itself</w:t>
      </w:r>
      <w:r>
        <w:rPr>
          <w:rFonts w:ascii="Times New Roman" w:hAnsi="Times New Roman" w:eastAsia="Times New Roman"/>
          <w:b w:val="0"/>
          <w:i w:val="0"/>
          <w:sz w:val="24"/>
        </w:rPr>
        <w:t xml:space="preserve">, not against the constant. Adding AlwaysRATED to the EXP-008 comparison changes the picture: </w:t>
      </w:r>
      <w:r>
        <w:rPr>
          <w:rFonts w:ascii="Times New Roman" w:hAnsi="Times New Roman" w:eastAsia="Times New Roman"/>
          <w:b/>
          <w:i w:val="0"/>
          <w:sz w:val="24"/>
        </w:rPr>
        <w:t>within EXP-008's own environment, HITL (c = 0.7) earns $102,100 — essentially level with AlwaysRATED's $103,062 — and reaches that near-parity only by additionally spending $2,625 on human review</w:t>
      </w:r>
      <w:r>
        <w:rPr>
          <w:rFonts w:ascii="Times New Roman" w:hAnsi="Times New Roman" w:eastAsia="Times New Roman"/>
          <w:b w:val="0"/>
          <w:i w:val="0"/>
          <w:sz w:val="24"/>
        </w:rPr>
        <w:t xml:space="preserve">. The robust, seed-invariant point is the </w:t>
      </w:r>
      <w:r>
        <w:rPr>
          <w:rFonts w:ascii="Times New Roman" w:hAnsi="Times New Roman" w:eastAsia="Times New Roman"/>
          <w:b w:val="0"/>
          <w:i/>
          <w:sz w:val="24"/>
        </w:rPr>
        <w:t>cost</w:t>
      </w:r>
      <w:r>
        <w:rPr>
          <w:rFonts w:ascii="Times New Roman" w:hAnsi="Times New Roman" w:eastAsia="Times New Roman"/>
          <w:b w:val="0"/>
          <w:i w:val="0"/>
          <w:sz w:val="24"/>
        </w:rPr>
        <w:t xml:space="preserve">: the reward gap itself is under 1 % and rests on a single seed (EXP-008 is run at SEED = 42), so the load-bearing claim is not "HITL loses by $962" — a margin a different seed could flip — but that the richer-feedback variant, at best, only </w:t>
      </w:r>
      <w:r>
        <w:rPr>
          <w:rFonts w:ascii="Times New Roman" w:hAnsi="Times New Roman" w:eastAsia="Times New Roman"/>
          <w:b w:val="0"/>
          <w:i/>
          <w:sz w:val="24"/>
        </w:rPr>
        <w:t>matches</w:t>
      </w:r>
      <w:r>
        <w:rPr>
          <w:rFonts w:ascii="Times New Roman" w:hAnsi="Times New Roman" w:eastAsia="Times New Roman"/>
          <w:b w:val="0"/>
          <w:i w:val="0"/>
          <w:sz w:val="24"/>
        </w:rPr>
        <w:t xml:space="preserve"> the constant, and does so at a net review cost. The human override is therefore doing real work — it closes roughly 95 % of the gap to the constant that the vanilla bandit (95,872) could not — yet it still does </w:t>
      </w:r>
      <w:r>
        <w:rPr>
          <w:rFonts w:ascii="Times New Roman" w:hAnsi="Times New Roman" w:eastAsia="Times New Roman"/>
          <w:b/>
          <w:i w:val="0"/>
          <w:sz w:val="24"/>
        </w:rPr>
        <w:t>not overturn</w:t>
      </w:r>
      <w:r>
        <w:rPr>
          <w:rFonts w:ascii="Times New Roman" w:hAnsi="Times New Roman" w:eastAsia="Times New Roman"/>
          <w:b w:val="0"/>
          <w:i w:val="0"/>
          <w:sz w:val="24"/>
        </w:rPr>
        <w:t xml:space="preserve"> the constant. (These figures are computed on EXP-008's own reward basis — deterministic expected reward, single seed — by replaying the identical applicant stream for the constant policy; the vanilla math-REFER baseline reproduces exactly at $95,872, validating the replay. They are </w:t>
      </w:r>
      <w:r>
        <w:rPr>
          <w:rFonts w:ascii="Times New Roman" w:hAnsi="Times New Roman" w:eastAsia="Times New Roman"/>
          <w:b/>
          <w:i w:val="0"/>
          <w:sz w:val="24"/>
        </w:rPr>
        <w:t>not</w:t>
      </w:r>
      <w:r>
        <w:rPr>
          <w:rFonts w:ascii="Times New Roman" w:hAnsi="Times New Roman" w:eastAsia="Times New Roman"/>
          <w:b w:val="0"/>
          <w:i w:val="0"/>
          <w:sz w:val="24"/>
        </w:rPr>
        <w:t xml:space="preserve"> directly comparable to the §5.0.1 ladder, which uses the 20-seed, stochastic-realized reward harness: AlwaysRATED is $103,062 on this deterministic basis versus $122,287 on the ladder's basis. Source: `research/hitl_rebenchmark.py`.) The verdict matches every other axis tested (§5.9, §5.11, §5.12): a human-override layer improves the bandit but does not let it beat the best constant. Operationally, human review was triggered on only </w:t>
      </w:r>
      <w:r>
        <w:rPr>
          <w:rFonts w:ascii="Times New Roman" w:hAnsi="Times New Roman" w:eastAsia="Times New Roman"/>
          <w:b/>
          <w:i w:val="0"/>
          <w:sz w:val="24"/>
        </w:rPr>
        <w:t>75 of 5,000 rounds (1.5%)</w:t>
      </w:r>
      <w:r>
        <w:rPr>
          <w:rFonts w:ascii="Times New Roman" w:hAnsi="Times New Roman" w:eastAsia="Times New Roman"/>
          <w:b w:val="0"/>
          <w:i w:val="0"/>
          <w:sz w:val="24"/>
        </w:rPr>
        <w:t>, and the queue depth remained at zero throughout — indicating that the simulated underwriter resolved each case before the next REFER arrived, maintaining zero latency in the pipeline.</w:t>
      </w:r>
    </w:p>
    <w:p>
      <w:pPr>
        <w:spacing w:after="240" w:before="0" w:lineRule="auto" w:line="360"/>
        <w:ind w:firstLine="720"/>
        <w:jc w:val="both"/>
      </w:pPr>
      <w:r>
        <w:rPr>
          <w:rFonts w:ascii="Times New Roman" w:hAnsi="Times New Roman" w:eastAsia="Times New Roman"/>
          <w:b w:val="0"/>
          <w:i w:val="0"/>
          <w:sz w:val="24"/>
        </w:rPr>
        <w:t>The three conservatism levels exhibit a small but informative pattern: c = 0.3 and c = 0.5 produce identical trajectories (the conservatism penalty does not flip any action choices at these settings), while c = 0.7 shifts a small number of borderline cases from STANDARD to RATED or from RATED to DECLINE, raising both the alignment score (54.0% → 60.0%) and the cumulative reward by approximately half a percent. This sensitivity is mild, which is operationally desirable: HITL performance is robust to the precise calibration of the conservatism parameter.</w:t>
      </w:r>
    </w:p>
    <w:p>
      <w:pPr>
        <w:spacing w:after="120" w:before="0" w:lineRule="auto" w:line="360"/>
        <w:jc w:val="center"/>
      </w:pPr>
      <w:r>
        <w:drawing>
          <wp:inline xmlns:a="http://schemas.openxmlformats.org/drawingml/2006/main" xmlns:pic="http://schemas.openxmlformats.org/drawingml/2006/picture">
            <wp:extent cx="5486400" cy="3961033"/>
            <wp:docPr id="14" name="Picture 14"/>
            <wp:cNvGraphicFramePr>
              <a:graphicFrameLocks noChangeAspect="1"/>
            </wp:cNvGraphicFramePr>
            <a:graphic>
              <a:graphicData uri="http://schemas.openxmlformats.org/drawingml/2006/picture">
                <pic:pic>
                  <pic:nvPicPr>
                    <pic:cNvPr id="0" name="fig_hitl_experiment.png"/>
                    <pic:cNvPicPr/>
                  </pic:nvPicPr>
                  <pic:blipFill>
                    <a:blip r:embed="rId23"/>
                    <a:stretch>
                      <a:fillRect/>
                    </a:stretch>
                  </pic:blipFill>
                  <pic:spPr>
                    <a:xfrm>
                      <a:off x="0" y="0"/>
                      <a:ext cx="5486400" cy="39610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5.4.1. EXP-008 four-panel HITL diagnostic — cumulative reward curves, cumulative regret decomposition, queue depth trace, and rolling policy alignment score.</w:t>
      </w:r>
    </w:p>
    <w:p>
      <w:pPr>
        <w:spacing w:after="240" w:before="0" w:lineRule="auto" w:line="360"/>
        <w:ind w:left="720"/>
        <w:jc w:val="left"/>
      </w:pPr>
      <w:r>
        <w:rPr>
          <w:rFonts w:ascii="Times New Roman" w:hAnsi="Times New Roman" w:eastAsia="Times New Roman"/>
          <w:b/>
          <w:i w:val="0"/>
          <w:sz w:val="24"/>
        </w:rPr>
        <w:t>5.4.3 Pass Criteria Verification</w:t>
      </w:r>
    </w:p>
    <w:p>
      <w:pPr>
        <w:spacing w:after="240" w:before="0" w:lineRule="auto" w:line="360"/>
        <w:ind w:firstLine="720"/>
        <w:jc w:val="both"/>
      </w:pPr>
      <w:r>
        <w:rPr>
          <w:rFonts w:ascii="Times New Roman" w:hAnsi="Times New Roman" w:eastAsia="Times New Roman"/>
          <w:b w:val="0"/>
          <w:i w:val="0"/>
          <w:sz w:val="24"/>
        </w:rPr>
        <w:t>Four pre-registered pass criteria were evaluated:</w:t>
      </w:r>
    </w:p>
    <w:p>
      <w:pPr>
        <w:pStyle w:val="ListNumber"/>
        <w:ind w:left="720"/>
      </w:pPr>
      <w:r>
        <w:rPr>
          <w:rFonts w:ascii="Times New Roman" w:hAnsi="Times New Roman" w:eastAsia="Times New Roman"/>
          <w:b/>
          <w:i w:val="0"/>
          <w:sz w:val="24"/>
        </w:rPr>
        <w:t>HITL reward &gt; baseline</w:t>
      </w:r>
      <w:r>
        <w:rPr>
          <w:rFonts w:ascii="Times New Roman" w:hAnsi="Times New Roman" w:eastAsia="Times New Roman"/>
          <w:b w:val="0"/>
          <w:i w:val="0"/>
          <w:sz w:val="24"/>
        </w:rPr>
        <w:t xml:space="preserve"> — 102,100 &gt; 95,872 (+6.5%).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Late-stage alignment ≥ 30%</w:t>
      </w:r>
      <w:r>
        <w:rPr>
          <w:rFonts w:ascii="Times New Roman" w:hAnsi="Times New Roman" w:eastAsia="Times New Roman"/>
          <w:b w:val="0"/>
          <w:i w:val="0"/>
          <w:sz w:val="24"/>
        </w:rPr>
        <w:t xml:space="preserve"> — Late-window alignment 45.95% ≥ 30%, down from an early-window alignment of 75.0%. The decline indicates that the bandit's converged policy diverges from the conservative human on a non-trivial fraction of borderline (REFER) cases, which is consistent with the bandit having internalised the explicit reward signal more fully than the human's heuristic conservatism penalty. The rolling-window alignment trace in Figure 5.4.1 (bottom-right panel) provides the detailed trajectory.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Average queue depth &lt; 5%</w:t>
      </w:r>
      <w:r>
        <w:rPr>
          <w:rFonts w:ascii="Times New Roman" w:hAnsi="Times New Roman" w:eastAsia="Times New Roman"/>
          <w:b w:val="0"/>
          <w:i w:val="0"/>
          <w:sz w:val="24"/>
        </w:rPr>
        <w:t xml:space="preserve"> — 0.00\%.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Human review cost &lt; 15% of cumulative reward</w:t>
      </w:r>
      <w:r>
        <w:rPr>
          <w:rFonts w:ascii="Times New Roman" w:hAnsi="Times New Roman" w:eastAsia="Times New Roman"/>
          <w:b w:val="0"/>
          <w:i w:val="0"/>
          <w:sz w:val="24"/>
        </w:rPr>
        <w:t xml:space="preserve"> — 2.51\% (HITL c = 0.3) to 2.57\% (HITL c = 0.7).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All four criteria are satisfied, confirming that human-in-the-loop underwriting is effective and operationally viable at the scale modelled. These criteria certify HITL </w:t>
      </w:r>
      <w:r>
        <w:rPr>
          <w:rFonts w:ascii="Times New Roman" w:hAnsi="Times New Roman" w:eastAsia="Times New Roman"/>
          <w:b w:val="0"/>
          <w:i/>
          <w:sz w:val="24"/>
        </w:rPr>
        <w:t>relative to the vanilla bandit</w:t>
      </w:r>
      <w:r>
        <w:rPr>
          <w:rFonts w:ascii="Times New Roman" w:hAnsi="Times New Roman" w:eastAsia="Times New Roman"/>
          <w:b w:val="0"/>
          <w:i w:val="0"/>
          <w:sz w:val="24"/>
        </w:rPr>
        <w:t>, however: against the complete ladder (§5.0.1), the human-in-the-loop variant does not beat the best constant (§5.4.2), and the "+6.5 %" should always be quoted with that scope.</w:t>
      </w:r>
    </w:p>
    <w:p>
      <w:pPr>
        <w:spacing w:after="240" w:before="0" w:lineRule="auto" w:line="360"/>
        <w:ind w:left="720"/>
        <w:jc w:val="left"/>
      </w:pPr>
      <w:r>
        <w:rPr>
          <w:rFonts w:ascii="Times New Roman" w:hAnsi="Times New Roman" w:eastAsia="Times New Roman"/>
          <w:b/>
          <w:i w:val="0"/>
          <w:sz w:val="24"/>
        </w:rPr>
        <w:t>5.4.4 Interpretation</w:t>
      </w:r>
    </w:p>
    <w:p>
      <w:pPr>
        <w:spacing w:after="240" w:before="0" w:lineRule="auto" w:line="360"/>
        <w:ind w:firstLine="720"/>
        <w:jc w:val="both"/>
      </w:pPr>
      <w:r>
        <w:rPr>
          <w:rFonts w:ascii="Times New Roman" w:hAnsi="Times New Roman" w:eastAsia="Times New Roman"/>
          <w:b w:val="0"/>
          <w:i w:val="0"/>
          <w:sz w:val="24"/>
        </w:rPr>
        <w:t xml:space="preserve">The +6.5 % improvement </w:t>
      </w:r>
      <w:r>
        <w:rPr>
          <w:rFonts w:ascii="Times New Roman" w:hAnsi="Times New Roman" w:eastAsia="Times New Roman"/>
          <w:b w:val="0"/>
          <w:i/>
          <w:sz w:val="24"/>
        </w:rPr>
        <w:t>over the vanilla bandit</w:t>
      </w:r>
      <w:r>
        <w:rPr>
          <w:rFonts w:ascii="Times New Roman" w:hAnsi="Times New Roman" w:eastAsia="Times New Roman"/>
          <w:b w:val="0"/>
          <w:i w:val="0"/>
          <w:sz w:val="24"/>
        </w:rPr>
        <w:t xml:space="preserve"> is explained by the human underwriter's conservative behaviour on high-risk borderline cases — the human pulls the riskiest REFER cases toward DECLINE/RATED, which is exactly the direction the constant AlwaysRATED already encodes, consistent with the human recovering </w:t>
      </w:r>
      <w:r>
        <w:rPr>
          <w:rFonts w:ascii="Times New Roman" w:hAnsi="Times New Roman" w:eastAsia="Times New Roman"/>
          <w:b w:val="0"/>
          <w:i/>
          <w:sz w:val="24"/>
        </w:rPr>
        <w:t>part</w:t>
      </w:r>
      <w:r>
        <w:rPr>
          <w:rFonts w:ascii="Times New Roman" w:hAnsi="Times New Roman" w:eastAsia="Times New Roman"/>
          <w:b w:val="0"/>
          <w:i w:val="0"/>
          <w:sz w:val="24"/>
        </w:rPr>
        <w:t xml:space="preserve"> of the gap to the constant without closing it. Where the mathematical oracle would issue REFER and collect a fixed expected partial reward, the human consistently selects DECLINE or RATED for the riskiest cases, eliminating the delayed-reward ambiguity and reducing adverse selection in the approved portfolio.</w:t>
      </w:r>
    </w:p>
    <w:p>
      <w:pPr>
        <w:spacing w:after="240" w:before="0" w:lineRule="auto" w:line="360"/>
        <w:ind w:firstLine="720"/>
        <w:jc w:val="both"/>
      </w:pPr>
      <w:r>
        <w:rPr>
          <w:rFonts w:ascii="Times New Roman" w:hAnsi="Times New Roman" w:eastAsia="Times New Roman"/>
          <w:b w:val="0"/>
          <w:i w:val="0"/>
          <w:sz w:val="24"/>
        </w:rPr>
        <w:t>The near-zero queue depth reflects a design property rather than a coincidence: because the experiment processes cases sequentially within each round (FIFO), a single human review resolves before the next REFER is generated. In a production system processing concurrent streams, queue management would become a primary operational concern; the present design provides a lower bound on queue pressure under serialised demand.</w:t>
      </w:r>
    </w:p>
    <w:p>
      <w:pPr>
        <w:spacing w:after="240" w:before="0" w:lineRule="auto" w:line="360"/>
        <w:ind w:firstLine="720"/>
        <w:jc w:val="both"/>
      </w:pPr>
      <w:r>
        <w:rPr>
          <w:rFonts w:ascii="Times New Roman" w:hAnsi="Times New Roman" w:eastAsia="Times New Roman"/>
          <w:b w:val="0"/>
          <w:i w:val="0"/>
          <w:sz w:val="24"/>
        </w:rPr>
        <w:t xml:space="preserve">The 54–60% alignment score on REFER cases — precisely those where the bandit was most uncertain — merits interpretation. Perfect alignment (100%) would indicate that the bandit and the human always agree, implying that the human adds no value. An alignment near 55% on the bandit's </w:t>
      </w:r>
      <w:r>
        <w:rPr>
          <w:rFonts w:ascii="Times New Roman" w:hAnsi="Times New Roman" w:eastAsia="Times New Roman"/>
          <w:b w:val="0"/>
          <w:i/>
          <w:sz w:val="24"/>
        </w:rPr>
        <w:t>uncertain</w:t>
      </w:r>
      <w:r>
        <w:rPr>
          <w:rFonts w:ascii="Times New Roman" w:hAnsi="Times New Roman" w:eastAsia="Times New Roman"/>
          <w:b w:val="0"/>
          <w:i w:val="0"/>
          <w:sz w:val="24"/>
        </w:rPr>
        <w:t xml:space="preserve"> cases is consistent with a well-calibrated human expert resolving genuine ambiguity, not overriding confident decisions. This is the expected behaviour of a complementary HITL system rather than a redundant one.</w:t>
      </w:r>
    </w:p>
    <w:p>
      <w:pPr>
        <w:spacing w:after="240" w:before="0" w:lineRule="auto" w:line="360"/>
        <w:jc w:val="left"/>
      </w:pPr>
      <w:r>
        <w:rPr>
          <w:rFonts w:ascii="Times New Roman" w:hAnsi="Times New Roman" w:eastAsia="Times New Roman"/>
          <w:b/>
          <w:i w:val="0"/>
          <w:sz w:val="28"/>
        </w:rPr>
        <w:t>5.5 Discussion</w:t>
      </w:r>
    </w:p>
    <w:p>
      <w:pPr>
        <w:spacing w:after="240" w:before="0" w:lineRule="auto" w:line="360"/>
        <w:ind w:left="720"/>
        <w:jc w:val="left"/>
      </w:pPr>
      <w:r>
        <w:rPr>
          <w:rFonts w:ascii="Times New Roman" w:hAnsi="Times New Roman" w:eastAsia="Times New Roman"/>
          <w:b/>
          <w:i w:val="0"/>
          <w:sz w:val="24"/>
        </w:rPr>
        <w:t>5.5.1 Implications for Cambodian Insurance Practice</w:t>
      </w:r>
    </w:p>
    <w:p>
      <w:pPr>
        <w:spacing w:after="240" w:before="0" w:lineRule="auto" w:line="360"/>
        <w:ind w:firstLine="720"/>
        <w:jc w:val="both"/>
      </w:pPr>
      <w:r>
        <w:rPr>
          <w:rFonts w:ascii="Times New Roman" w:hAnsi="Times New Roman" w:eastAsia="Times New Roman"/>
          <w:b w:val="0"/>
          <w:i w:val="0"/>
          <w:sz w:val="24"/>
        </w:rPr>
        <w:t>The honest practical implication is narrower than earlier drafts claimed, and it is twofold.</w:t>
      </w:r>
    </w:p>
    <w:p>
      <w:pPr>
        <w:spacing w:after="240" w:before="0" w:lineRule="auto" w:line="360"/>
        <w:ind w:firstLine="720"/>
        <w:jc w:val="both"/>
      </w:pPr>
      <w:r>
        <w:rPr>
          <w:rFonts w:ascii="Times New Roman" w:hAnsi="Times New Roman" w:eastAsia="Times New Roman"/>
          <w:b/>
          <w:i w:val="0"/>
          <w:sz w:val="24"/>
        </w:rPr>
        <w:t>Online adaptation beats a frozen rule — but is not the best simple policy.</w:t>
      </w:r>
      <w:r>
        <w:rPr>
          <w:rFonts w:ascii="Times New Roman" w:hAnsi="Times New Roman" w:eastAsia="Times New Roman"/>
          <w:b w:val="0"/>
          <w:i w:val="0"/>
          <w:sz w:val="24"/>
        </w:rPr>
        <w:t xml:space="preserve">  Against the Static-XGB rule that represents typical rule-based underwriting, an online learner does materially better (+25 %, §5.1), and it does so while keeping demographic concentration within regulatory thresholds (§5.2). For an insurer whose status quo is a </w:t>
      </w:r>
      <w:r>
        <w:rPr>
          <w:rFonts w:ascii="Times New Roman" w:hAnsi="Times New Roman" w:eastAsia="Times New Roman"/>
          <w:b w:val="0"/>
          <w:i/>
          <w:sz w:val="24"/>
        </w:rPr>
        <w:t>frozen</w:t>
      </w:r>
      <w:r>
        <w:rPr>
          <w:rFonts w:ascii="Times New Roman" w:hAnsi="Times New Roman" w:eastAsia="Times New Roman"/>
          <w:b w:val="0"/>
          <w:i w:val="0"/>
          <w:sz w:val="24"/>
        </w:rPr>
        <w:t xml:space="preserve"> rule engine, </w:t>
      </w:r>
      <w:r>
        <w:rPr>
          <w:rFonts w:ascii="Times New Roman" w:hAnsi="Times New Roman" w:eastAsia="Times New Roman"/>
          <w:b w:val="0"/>
          <w:i/>
          <w:sz w:val="24"/>
        </w:rPr>
        <w:t>some</w:t>
      </w:r>
      <w:r>
        <w:rPr>
          <w:rFonts w:ascii="Times New Roman" w:hAnsi="Times New Roman" w:eastAsia="Times New Roman"/>
          <w:b w:val="0"/>
          <w:i w:val="0"/>
          <w:sz w:val="24"/>
        </w:rPr>
        <w:t xml:space="preserve"> form of online adaptation is worthwhile. But the complete ladder (§5.0.1, §5.11) shows the contextual bandit is </w:t>
      </w:r>
      <w:r>
        <w:rPr>
          <w:rFonts w:ascii="Times New Roman" w:hAnsi="Times New Roman" w:eastAsia="Times New Roman"/>
          <w:b/>
          <w:i w:val="0"/>
          <w:sz w:val="24"/>
        </w:rPr>
        <w:t>not</w:t>
      </w:r>
      <w:r>
        <w:rPr>
          <w:rFonts w:ascii="Times New Roman" w:hAnsi="Times New Roman" w:eastAsia="Times New Roman"/>
          <w:b w:val="0"/>
          <w:i w:val="0"/>
          <w:sz w:val="24"/>
        </w:rPr>
        <w:t xml:space="preserve"> the policy to reach for: a trivial constant beats it by 22–35 % across every reward model. The actionable message is therefore </w:t>
      </w:r>
      <w:r>
        <w:rPr>
          <w:rFonts w:ascii="Times New Roman" w:hAnsi="Times New Roman" w:eastAsia="Times New Roman"/>
          <w:b w:val="0"/>
          <w:i/>
          <w:sz w:val="24"/>
        </w:rPr>
        <w:t>"a frozen rule leaves money on the table,"</w:t>
      </w:r>
      <w:r>
        <w:rPr>
          <w:rFonts w:ascii="Times New Roman" w:hAnsi="Times New Roman" w:eastAsia="Times New Roman"/>
          <w:b w:val="0"/>
          <w:i w:val="0"/>
          <w:sz w:val="24"/>
        </w:rPr>
        <w:t xml:space="preserve"> </w:t>
      </w:r>
      <w:r>
        <w:rPr>
          <w:rFonts w:ascii="Times New Roman" w:hAnsi="Times New Roman" w:eastAsia="Times New Roman"/>
          <w:b/>
          <w:i w:val="0"/>
          <w:sz w:val="24"/>
        </w:rPr>
        <w:t>not</w:t>
      </w:r>
      <w:r>
        <w:rPr>
          <w:rFonts w:ascii="Times New Roman" w:hAnsi="Times New Roman" w:eastAsia="Times New Roman"/>
          <w:b w:val="0"/>
          <w:i w:val="0"/>
          <w:sz w:val="24"/>
        </w:rPr>
        <w:t xml:space="preserve"> </w:t>
      </w:r>
      <w:r>
        <w:rPr>
          <w:rFonts w:ascii="Times New Roman" w:hAnsi="Times New Roman" w:eastAsia="Times New Roman"/>
          <w:b w:val="0"/>
          <w:i/>
          <w:sz w:val="24"/>
        </w:rPr>
        <w:t>"deploy a contextual bandit."</w:t>
      </w:r>
    </w:p>
    <w:p>
      <w:pPr>
        <w:spacing w:after="240" w:before="0" w:lineRule="auto" w:line="360"/>
        <w:ind w:firstLine="720"/>
        <w:jc w:val="both"/>
      </w:pPr>
      <w:r>
        <w:rPr>
          <w:rFonts w:ascii="Times New Roman" w:hAnsi="Times New Roman" w:eastAsia="Times New Roman"/>
          <w:b/>
          <w:i w:val="0"/>
          <w:sz w:val="24"/>
        </w:rPr>
        <w:t>When (and why) adaptive underwriting would add value.</w:t>
      </w:r>
      <w:r>
        <w:rPr>
          <w:rFonts w:ascii="Times New Roman" w:hAnsi="Times New Roman" w:eastAsia="Times New Roman"/>
          <w:b w:val="0"/>
          <w:i w:val="0"/>
          <w:sz w:val="24"/>
        </w:rPr>
        <w:t xml:space="preserve">  A contextual bandit earns its complexity only when the optimal action (i) varies strongly with context </w:t>
      </w:r>
      <w:r>
        <w:rPr>
          <w:rFonts w:ascii="Times New Roman" w:hAnsi="Times New Roman" w:eastAsia="Times New Roman"/>
          <w:b w:val="0"/>
          <w:i/>
          <w:sz w:val="24"/>
        </w:rPr>
        <w:t>and</w:t>
      </w:r>
      <w:r>
        <w:rPr>
          <w:rFonts w:ascii="Times New Roman" w:hAnsi="Times New Roman" w:eastAsia="Times New Roman"/>
          <w:b w:val="0"/>
          <w:i w:val="0"/>
          <w:sz w:val="24"/>
        </w:rPr>
        <w:t xml:space="preserve"> (ii) that structure is recoverable from the feedback the deployment actually provides. This underwriting problem, as modelled, fails both conditions in the regime that matters: at realistic (inelastic) LMIC demand the optimal policy is </w:t>
      </w:r>
      <w:r>
        <w:rPr>
          <w:rFonts w:ascii="Times New Roman" w:hAnsi="Times New Roman" w:eastAsia="Times New Roman"/>
          <w:b w:val="0"/>
          <w:i/>
          <w:sz w:val="24"/>
        </w:rPr>
        <w:t>near-constant</w:t>
      </w:r>
      <w:r>
        <w:rPr>
          <w:rFonts w:ascii="Times New Roman" w:hAnsi="Times New Roman" w:eastAsia="Times New Roman"/>
          <w:b w:val="0"/>
          <w:i w:val="0"/>
          <w:sz w:val="24"/>
        </w:rPr>
        <w:t xml:space="preserve"> (the constant captures ~100 % of oracle reward; §5.12), and where contextual structure does emerge (elastic demand) it is recoverable by a </w:t>
      </w:r>
      <w:r>
        <w:rPr>
          <w:rFonts w:ascii="Times New Roman" w:hAnsi="Times New Roman" w:eastAsia="Times New Roman"/>
          <w:b w:val="0"/>
          <w:i/>
          <w:sz w:val="24"/>
        </w:rPr>
        <w:t>fully-supervised</w:t>
      </w:r>
      <w:r>
        <w:rPr>
          <w:rFonts w:ascii="Times New Roman" w:hAnsi="Times New Roman" w:eastAsia="Times New Roman"/>
          <w:b w:val="0"/>
          <w:i w:val="0"/>
          <w:sz w:val="24"/>
        </w:rPr>
        <w:t xml:space="preserve"> linear model but not by a learner restricted to scalar, low-acceptance bandit feedback (§5.11, §5.12). The micro-premium and financial-inclusion goals (low per-policy administrative cost, profitable inclusion of rural and agricultural segments without breaching PSI/EEOC thresholds, §5.2) remain valid </w:t>
      </w:r>
      <w:r>
        <w:rPr>
          <w:rFonts w:ascii="Times New Roman" w:hAnsi="Times New Roman" w:eastAsia="Times New Roman"/>
          <w:b w:val="0"/>
          <w:i/>
          <w:sz w:val="24"/>
        </w:rPr>
        <w:t>objectives</w:t>
      </w:r>
      <w:r>
        <w:rPr>
          <w:rFonts w:ascii="Times New Roman" w:hAnsi="Times New Roman" w:eastAsia="Times New Roman"/>
          <w:b w:val="0"/>
          <w:i w:val="0"/>
          <w:sz w:val="24"/>
        </w:rPr>
        <w:t>; the evidence simply shows a contextual bandit is not the mechanism that secures them on this problem.</w:t>
      </w:r>
    </w:p>
    <w:p>
      <w:pPr>
        <w:spacing w:after="240" w:before="0" w:lineRule="auto" w:line="360"/>
        <w:ind w:left="720"/>
        <w:jc w:val="left"/>
      </w:pPr>
      <w:r>
        <w:rPr>
          <w:rFonts w:ascii="Times New Roman" w:hAnsi="Times New Roman" w:eastAsia="Times New Roman"/>
          <w:b/>
          <w:i w:val="0"/>
          <w:sz w:val="24"/>
        </w:rPr>
        <w:t>5.5.2 Connection to Dynamic Pricing Literature</w:t>
      </w:r>
    </w:p>
    <w:p>
      <w:pPr>
        <w:spacing w:after="240" w:before="0" w:lineRule="auto" w:line="360"/>
        <w:ind w:firstLine="720"/>
        <w:jc w:val="both"/>
      </w:pPr>
      <w:r>
        <w:rPr>
          <w:rFonts w:ascii="Times New Roman" w:hAnsi="Times New Roman" w:eastAsia="Times New Roman"/>
          <w:b w:val="0"/>
          <w:i w:val="0"/>
          <w:sz w:val="24"/>
        </w:rPr>
        <w:t>Contextual bandits have been applied most extensively in digital advertising and e-commerce, where neural variants (NeuralUCB, NeuralTS, and deep reinforcement learning) dominate the literature.  Zhou et al. (2020) report that NeuralUCB achieves sublinear regret on image-ad click-through prediction with millions of features and billion-scale training data.  By contrast, the present work uses linear bandits on a 34-feature dataset of 2,000 applicants.  The gap in scale is deliberate: emerging-market insurers rarely possess the data volumes or computational infrastructure that justify deep neural networks.</w:t>
      </w:r>
    </w:p>
    <w:p>
      <w:pPr>
        <w:spacing w:after="240" w:before="0" w:lineRule="auto" w:line="360"/>
        <w:ind w:firstLine="720"/>
        <w:jc w:val="both"/>
      </w:pPr>
      <w:r>
        <w:rPr>
          <w:rFonts w:ascii="Times New Roman" w:hAnsi="Times New Roman" w:eastAsia="Times New Roman"/>
          <w:b w:val="0"/>
          <w:i w:val="0"/>
          <w:sz w:val="24"/>
        </w:rPr>
        <w:t xml:space="preserve">The results support the hypothesis that </w:t>
      </w:r>
      <w:r>
        <w:rPr>
          <w:rFonts w:ascii="Times New Roman" w:hAnsi="Times New Roman" w:eastAsia="Times New Roman"/>
          <w:b/>
          <w:i w:val="0"/>
          <w:sz w:val="24"/>
        </w:rPr>
        <w:t>linear models suffice for low-dimensional actuarial problems</w:t>
      </w:r>
      <w:r>
        <w:rPr>
          <w:rFonts w:ascii="Times New Roman" w:hAnsi="Times New Roman" w:eastAsia="Times New Roman"/>
          <w:b w:val="0"/>
          <w:i w:val="0"/>
          <w:sz w:val="24"/>
        </w:rPr>
        <w:t xml:space="preserve">.  The 34 features in the Cambodia dataset capture the dominant risk drivers (age, BMI, occupation, pre-existing conditions, region, wealth) with sufficient granularity that non-linear interactions are either weak or already encoded through feature engineering (for example, the interaction between occupation and gender is captured by the occupation-specific female-probability draw in the data generator).  Neither LinTS nor LinUCB dominates the other (EXP-007 p = 0.87), and both beat Static XGB and Epsilon-Greedy; but the more important literature connection is to </w:t>
      </w:r>
      <w:r>
        <w:rPr>
          <w:rFonts w:ascii="Times New Roman" w:hAnsi="Times New Roman" w:eastAsia="Times New Roman"/>
          <w:b/>
          <w:i w:val="0"/>
          <w:sz w:val="24"/>
        </w:rPr>
        <w:t>Bastani, Bayati &amp; Khosravi (2021)</w:t>
      </w:r>
      <w:r>
        <w:rPr>
          <w:rFonts w:ascii="Times New Roman" w:hAnsi="Times New Roman" w:eastAsia="Times New Roman"/>
          <w:b w:val="0"/>
          <w:i w:val="0"/>
          <w:sz w:val="24"/>
        </w:rPr>
        <w:t xml:space="preserve">, who prove that under sufficient </w:t>
      </w:r>
      <w:r>
        <w:rPr>
          <w:rFonts w:ascii="Times New Roman" w:hAnsi="Times New Roman" w:eastAsia="Times New Roman"/>
          <w:b w:val="0"/>
          <w:i/>
          <w:sz w:val="24"/>
        </w:rPr>
        <w:t>covariate diversity</w:t>
      </w:r>
      <w:r>
        <w:rPr>
          <w:rFonts w:ascii="Times New Roman" w:hAnsi="Times New Roman" w:eastAsia="Times New Roman"/>
          <w:b w:val="0"/>
          <w:i w:val="0"/>
          <w:sz w:val="24"/>
        </w:rPr>
        <w:t xml:space="preserve"> an exploration-free greedy policy is rate-optimal. Our results are a concrete instance of their regime: the ablation (§5.7) finds the UCB exploration bonus is not load-bearing (greedy ≈ LinUCB), and a fully-supervised linear model (LogisticOracle) ≈ the oracle in every reward model (§5.11). In other words, the </w:t>
      </w:r>
      <w:r>
        <w:rPr>
          <w:rFonts w:ascii="Times New Roman" w:hAnsi="Times New Roman" w:eastAsia="Times New Roman"/>
          <w:b w:val="0"/>
          <w:i/>
          <w:sz w:val="24"/>
        </w:rPr>
        <w:t>optimal</w:t>
      </w:r>
      <w:r>
        <w:rPr>
          <w:rFonts w:ascii="Times New Roman" w:hAnsi="Times New Roman" w:eastAsia="Times New Roman"/>
          <w:b w:val="0"/>
          <w:i w:val="0"/>
          <w:sz w:val="24"/>
        </w:rPr>
        <w:t xml:space="preserve"> policy is linearly representable in the bandit's own features and needs essentially no exploration to fit — which is precisely why a constant (and a supervised linear model) can match or beat the bandit, and why a more expressive </w:t>
      </w:r>
      <w:r>
        <w:rPr>
          <w:rFonts w:ascii="Times New Roman" w:hAnsi="Times New Roman" w:eastAsia="Times New Roman"/>
          <w:b w:val="0"/>
          <w:i/>
          <w:sz w:val="24"/>
        </w:rPr>
        <w:t>neural</w:t>
      </w:r>
      <w:r>
        <w:rPr>
          <w:rFonts w:ascii="Times New Roman" w:hAnsi="Times New Roman" w:eastAsia="Times New Roman"/>
          <w:b w:val="0"/>
          <w:i w:val="0"/>
          <w:sz w:val="24"/>
        </w:rPr>
        <w:t xml:space="preserve"> bandit would not help: the bottleneck is </w:t>
      </w:r>
      <w:r>
        <w:rPr>
          <w:rFonts w:ascii="Times New Roman" w:hAnsi="Times New Roman" w:eastAsia="Times New Roman"/>
          <w:b/>
          <w:i w:val="0"/>
          <w:sz w:val="24"/>
        </w:rPr>
        <w:t>learning from scalar bandit feedback</w:t>
      </w:r>
      <w:r>
        <w:rPr>
          <w:rFonts w:ascii="Times New Roman" w:hAnsi="Times New Roman" w:eastAsia="Times New Roman"/>
          <w:b w:val="0"/>
          <w:i w:val="0"/>
          <w:sz w:val="24"/>
        </w:rPr>
        <w:t>, not model capacity.</w:t>
      </w:r>
    </w:p>
    <w:p>
      <w:pPr>
        <w:spacing w:after="240" w:before="0" w:lineRule="auto" w:line="360"/>
        <w:ind w:firstLine="720"/>
        <w:jc w:val="both"/>
      </w:pPr>
      <w:r>
        <w:rPr>
          <w:rFonts w:ascii="Times New Roman" w:hAnsi="Times New Roman" w:eastAsia="Times New Roman"/>
          <w:b w:val="0"/>
          <w:i w:val="0"/>
          <w:sz w:val="24"/>
        </w:rPr>
        <w:t>That said, neural extensions remain relevant for future work.  If the feature space expands to include telematics, claims history, prescription records, or social-determinant proxies from mobile-wallet data, the effective dimensionality could rise to hundreds or thousands of features.  Under those conditions, a hybrid neural-linear architecture — in which a neural network learns a low-dimensional embedding and a linear bandit operates in the embedding space — offers a pragmatic compromise between expressiveness and computational tractability for emerging-market deployment.</w:t>
      </w:r>
    </w:p>
    <w:p>
      <w:pPr>
        <w:spacing w:after="240" w:before="0" w:lineRule="auto" w:line="360"/>
        <w:ind w:left="720"/>
        <w:jc w:val="left"/>
      </w:pPr>
      <w:r>
        <w:rPr>
          <w:rFonts w:ascii="Times New Roman" w:hAnsi="Times New Roman" w:eastAsia="Times New Roman"/>
          <w:b/>
          <w:i w:val="0"/>
          <w:sz w:val="24"/>
        </w:rPr>
        <w:t>5.5.3 Limitations of the Empirical Study</w:t>
      </w:r>
    </w:p>
    <w:p>
      <w:pPr>
        <w:spacing w:after="240" w:before="0" w:lineRule="auto" w:line="360"/>
        <w:ind w:firstLine="720"/>
        <w:jc w:val="both"/>
      </w:pPr>
      <w:r>
        <w:rPr>
          <w:rFonts w:ascii="Times New Roman" w:hAnsi="Times New Roman" w:eastAsia="Times New Roman"/>
          <w:b w:val="0"/>
          <w:i w:val="0"/>
          <w:sz w:val="24"/>
        </w:rPr>
        <w:t>Four limitations bound the interpretation of the empirical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The 2,000 applicants were generated by a parametric simulator calibrated to published demographic and disease-prevalence statistics.  While the simulator reproduces known marginal distributions (CDHS age, STEPS BMI, WHO TB incidence), it cannot capture the full heterogeneity of a live applicant pool: rare comorbidity combinations, fraud, income misreporting, and temporal shocks (economic crises, disease outbreaks) are absent by construction.  The results are therefore a proof of algorithmic feasibility rather than a prediction of live performance.</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All experiments assume that the applicant distribution is fixed over the 5,000 rounds.  Real insurance portfolios experience demographic drift — seasonal migration, ageing cohorts, policy-lapse selection — that can invalidate learned coefficients.  The PSI guardrail (§4.8) detects such drift but does not automatically retrain the bandit. The forgetting bandit once proposed as future work, </w:t>
      </w:r>
      <w:r>
        <w:rPr>
          <w:rFonts w:ascii="Times New Roman" w:hAnsi="Times New Roman" w:eastAsia="Times New Roman"/>
          <w:b/>
          <w:i w:val="0"/>
          <w:sz w:val="24"/>
        </w:rPr>
        <w:t>DiscountedLinUCB, is now implemented and tested</w:t>
      </w:r>
      <w:r>
        <w:rPr>
          <w:rFonts w:ascii="Times New Roman" w:hAnsi="Times New Roman" w:eastAsia="Times New Roman"/>
          <w:b w:val="0"/>
          <w:i w:val="0"/>
          <w:sz w:val="24"/>
        </w:rPr>
        <w:t xml:space="preserve"> (§5.9): under both a realistic and a severe mid-run shock it </w:t>
      </w:r>
      <w:r>
        <w:rPr>
          <w:rFonts w:ascii="Times New Roman" w:hAnsi="Times New Roman" w:eastAsia="Times New Roman"/>
          <w:b/>
          <w:i w:val="0"/>
          <w:sz w:val="24"/>
        </w:rPr>
        <w:t>fails to beat the best constant</w:t>
      </w:r>
      <w:r>
        <w:rPr>
          <w:rFonts w:ascii="Times New Roman" w:hAnsi="Times New Roman" w:eastAsia="Times New Roman"/>
          <w:b w:val="0"/>
          <w:i w:val="0"/>
          <w:sz w:val="24"/>
        </w:rPr>
        <w:t xml:space="preserve"> and does no better than vanilla LinUCB — so adaptivity is not the missing ingredient.</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reward function computes a one-shot premium minus expected claim cost.  Health insurance is inherently multi-period: retention probability, renewal pricing, claim development over 6–24 months, and cross-selling opportunity all affect lifetime profitability.  A customer accepted at STANDARD in round 1 may lapse in round 100 or file a catastrophic claim in round 1,200; these intertemporal dependencies are not modelled here.</w:t>
      </w:r>
    </w:p>
    <w:p>
      <w:pPr>
        <w:spacing w:after="240" w:before="0" w:lineRule="auto" w:line="360"/>
        <w:ind w:firstLine="720"/>
        <w:jc w:val="both"/>
      </w:pPr>
      <w:r>
        <w:rPr>
          <w:rFonts w:ascii="Times New Roman" w:hAnsi="Times New Roman" w:eastAsia="Times New Roman"/>
          <w:b/>
          <w:i w:val="0"/>
          <w:sz w:val="24"/>
        </w:rPr>
        <w:t>No real claims experience.</w:t>
      </w:r>
      <w:r>
        <w:rPr>
          <w:rFonts w:ascii="Times New Roman" w:hAnsi="Times New Roman" w:eastAsia="Times New Roman"/>
          <w:b w:val="0"/>
          <w:i w:val="0"/>
          <w:sz w:val="24"/>
        </w:rPr>
        <w:t xml:space="preserve">  The simulator's claims noise (±8%) is a stylised representation of actuarial uncertainty.  It does not reproduce the heavy-tailed severity distribution of health claims, the correlation between claim frequency and policy duration, or the moral hazard induced by generous coverage terms.  Validation on real Cambodian claims data — should such data become available through industry partnership — is the essential next step.</w:t>
      </w:r>
    </w:p>
    <w:p>
      <w:pPr>
        <w:spacing w:after="240" w:before="0" w:lineRule="auto" w:line="360"/>
        <w:ind w:left="720"/>
        <w:jc w:val="left"/>
      </w:pPr>
      <w:r>
        <w:rPr>
          <w:rFonts w:ascii="Times New Roman" w:hAnsi="Times New Roman" w:eastAsia="Times New Roman"/>
          <w:b/>
          <w:i w:val="0"/>
          <w:sz w:val="24"/>
        </w:rPr>
        <w:t>5.5.4 Threats to Validity</w:t>
      </w:r>
    </w:p>
    <w:p>
      <w:pPr>
        <w:spacing w:after="240" w:before="0" w:lineRule="auto" w:line="360"/>
        <w:ind w:firstLine="720"/>
        <w:jc w:val="both"/>
      </w:pPr>
      <w:r>
        <w:rPr>
          <w:rFonts w:ascii="Times New Roman" w:hAnsi="Times New Roman" w:eastAsia="Times New Roman"/>
          <w:b w:val="0"/>
          <w:i w:val="0"/>
          <w:sz w:val="24"/>
        </w:rPr>
        <w:t>Threats to validity are classified following the four-threats framework of Shadish, Cook, and Campbell (2002).</w:t>
      </w:r>
    </w:p>
    <w:p>
      <w:pPr>
        <w:spacing w:after="240" w:before="0" w:lineRule="auto" w:line="360"/>
        <w:ind w:firstLine="720"/>
        <w:jc w:val="both"/>
      </w:pPr>
      <w:r>
        <w:rPr>
          <w:rFonts w:ascii="Times New Roman" w:hAnsi="Times New Roman" w:eastAsia="Times New Roman"/>
          <w:b/>
          <w:i w:val="0"/>
          <w:sz w:val="24"/>
        </w:rPr>
        <w:t>Internal validity.</w:t>
      </w:r>
      <w:r>
        <w:rPr>
          <w:rFonts w:ascii="Times New Roman" w:hAnsi="Times New Roman" w:eastAsia="Times New Roman"/>
          <w:b w:val="0"/>
          <w:i w:val="0"/>
          <w:sz w:val="24"/>
        </w:rPr>
        <w:t xml:space="preserve">  The primary threats are seed dependence and hyperparameter sensitivity. All headline results in this chapter are reported as means across 20 independent seeds (1–20) with bootstrap 95% confidence intervals and paired non-parametric tests (Wilcoxon signed-rank), so the seed-dependence threat is bounded by the reported intervals. The finding that LinUCB and LinTS consistently outperform Static XGB and Epsilon-Greedy is robust across all 20 seeds with large effect sizes (Cohen's d &gt; 3 in EXP-007). The narrow lead of LinTS over LinUCB is not significant (p = 0.87) and should not be over-interpreted as a definitive ranking.</w:t>
      </w:r>
    </w:p>
    <w:p>
      <w:pPr>
        <w:spacing w:after="240" w:before="0" w:lineRule="auto" w:line="360"/>
        <w:ind w:firstLine="720"/>
        <w:jc w:val="both"/>
      </w:pPr>
      <w:r>
        <w:rPr>
          <w:rFonts w:ascii="Times New Roman" w:hAnsi="Times New Roman" w:eastAsia="Times New Roman"/>
          <w:b w:val="0"/>
          <w:i w:val="0"/>
          <w:sz w:val="24"/>
        </w:rPr>
        <w:t>Hyperparameter sensitivity is addressed directly in §5.8: a sweep over LinUCB's α ∈ {0.1, 0.5, 1.0, 2.0, 5.0} finds α = 1.0 to be the regret-minimising value, but the spread across the sweep is only about 12 % of mean regret — so the choice of α matters less than the choice between adaptive and static learning. A matched grid-search over the LinTS posterior variance v² and Epsilon-Greedy's ε remains future work; both algorithms are run at their literature-standard defaults (v² = 1.0; ε = 0.15) throughout this chapter.</w:t>
      </w:r>
    </w:p>
    <w:p>
      <w:pPr>
        <w:spacing w:after="240" w:before="0" w:lineRule="auto" w:line="360"/>
        <w:ind w:firstLine="720"/>
        <w:jc w:val="both"/>
      </w:pPr>
      <w:r>
        <w:rPr>
          <w:rFonts w:ascii="Times New Roman" w:hAnsi="Times New Roman" w:eastAsia="Times New Roman"/>
          <w:b/>
          <w:i w:val="0"/>
          <w:sz w:val="24"/>
        </w:rPr>
        <w:t>External validity.</w:t>
      </w:r>
      <w:r>
        <w:rPr>
          <w:rFonts w:ascii="Times New Roman" w:hAnsi="Times New Roman" w:eastAsia="Times New Roman"/>
          <w:b w:val="0"/>
          <w:i w:val="0"/>
          <w:sz w:val="24"/>
        </w:rPr>
        <w:t xml:space="preserve">  Generalisability to real Cambodian populations is limited by the synthetic-data constraint discussed above.  However, the dataset is not arbitrary: every marginal distribution is anchored on a primary national survey (CDHS 2021–22) or companion source (STEPS 2023, ILO 2023).  The occupational and regional structures are specific to Cambodia, so direct transfer to Laos or Myanmar would require recalibration, but the </w:t>
      </w:r>
      <w:r>
        <w:rPr>
          <w:rFonts w:ascii="Times New Roman" w:hAnsi="Times New Roman" w:eastAsia="Times New Roman"/>
          <w:b w:val="0"/>
          <w:i/>
          <w:sz w:val="24"/>
        </w:rPr>
        <w:t>algorithmic</w:t>
      </w:r>
      <w:r>
        <w:rPr>
          <w:rFonts w:ascii="Times New Roman" w:hAnsi="Times New Roman" w:eastAsia="Times New Roman"/>
          <w:b w:val="0"/>
          <w:i w:val="0"/>
          <w:sz w:val="24"/>
        </w:rPr>
        <w:t xml:space="preserve"> findings — that LinTS ≈ LinUCB, that both beat Static XGB and Epsilon-Greedy, that sliding-window PSI stays within GREEN/AMBER, </w:t>
      </w:r>
      <w:r>
        <w:rPr>
          <w:rFonts w:ascii="Times New Roman" w:hAnsi="Times New Roman" w:eastAsia="Times New Roman"/>
          <w:b/>
          <w:i w:val="0"/>
          <w:sz w:val="24"/>
        </w:rPr>
        <w:t>and that a trivial constant beats both bandits</w:t>
      </w:r>
      <w:r>
        <w:rPr>
          <w:rFonts w:ascii="Times New Roman" w:hAnsi="Times New Roman" w:eastAsia="Times New Roman"/>
          <w:b w:val="0"/>
          <w:i w:val="0"/>
          <w:sz w:val="24"/>
        </w:rPr>
        <w:t xml:space="preserve"> — are likely robust across emerging-market settings with similar data scarcity and near-constant optimal policies. We make no claim that the bandit </w:t>
      </w:r>
      <w:r>
        <w:rPr>
          <w:rFonts w:ascii="Times New Roman" w:hAnsi="Times New Roman" w:eastAsia="Times New Roman"/>
          <w:b w:val="0"/>
          <w:i/>
          <w:sz w:val="24"/>
        </w:rPr>
        <w:t>would</w:t>
      </w:r>
      <w:r>
        <w:rPr>
          <w:rFonts w:ascii="Times New Roman" w:hAnsi="Times New Roman" w:eastAsia="Times New Roman"/>
          <w:b w:val="0"/>
          <w:i w:val="0"/>
          <w:sz w:val="24"/>
        </w:rPr>
        <w:t xml:space="preserve"> lose in a market with strong, bandit-feedback-recoverable contextual structure; characterizing that boundary (§5.12, Chapter VI) is the contribution.</w:t>
      </w:r>
    </w:p>
    <w:p>
      <w:pPr>
        <w:spacing w:after="240" w:before="0" w:lineRule="auto" w:line="360"/>
        <w:ind w:firstLine="720"/>
        <w:jc w:val="both"/>
      </w:pPr>
      <w:r>
        <w:rPr>
          <w:rFonts w:ascii="Times New Roman" w:hAnsi="Times New Roman" w:eastAsia="Times New Roman"/>
          <w:b/>
          <w:i w:val="0"/>
          <w:sz w:val="24"/>
        </w:rPr>
        <w:t>Construct validity.</w:t>
      </w:r>
      <w:r>
        <w:rPr>
          <w:rFonts w:ascii="Times New Roman" w:hAnsi="Times New Roman" w:eastAsia="Times New Roman"/>
          <w:b w:val="0"/>
          <w:i w:val="0"/>
          <w:sz w:val="24"/>
        </w:rPr>
        <w:t xml:space="preserve">  The reward simulator is a simplified model of underwriting profit.  It omits expense loadings, reinsurance costs, capital charges, and regulatory reserve requirements that figure in a full actuarial appraisal.  The `RewardConfig.realistic()` extension (§4.7.3) adds expense ratios, lapse probability, and a customer-lifetime-value multiplier, but these parameters are themselves estimates.  The extent to which the simulated reward correlates with true economic profit in a live setting is unknown and constitutes a threat to construct validity.</w:t>
      </w:r>
    </w:p>
    <w:p>
      <w:pPr>
        <w:spacing w:after="240" w:before="0" w:lineRule="auto" w:line="360"/>
        <w:jc w:val="left"/>
      </w:pPr>
      <w:r>
        <w:rPr>
          <w:rFonts w:ascii="Times New Roman" w:hAnsi="Times New Roman" w:eastAsia="Times New Roman"/>
          <w:b/>
          <w:i w:val="0"/>
          <w:sz w:val="28"/>
        </w:rPr>
        <w:t xml:space="preserve">5.6 EXP-013: Empirical Validation of the </w:t>
      </w:r>
      <w:r>
        <w:rPr>
          <w:rFonts w:ascii="Times New Roman" w:hAnsi="Times New Roman" w:eastAsia="Times New Roman"/>
          <w:b/>
          <w:i/>
          <w:sz w:val="28"/>
        </w:rPr>
        <w:t xml:space="preserve"> ̃O(d√(T))</w:t>
      </w:r>
      <w:r>
        <w:rPr>
          <w:rFonts w:ascii="Times New Roman" w:hAnsi="Times New Roman" w:eastAsia="Times New Roman"/>
          <w:b/>
          <w:i w:val="0"/>
          <w:sz w:val="28"/>
        </w:rPr>
        <w:t xml:space="preserve"> Regret Bound</w:t>
      </w:r>
    </w:p>
    <w:p>
      <w:pPr>
        <w:spacing w:after="120" w:before="0" w:lineRule="auto" w:line="360"/>
        <w:jc w:val="center"/>
      </w:pPr>
      <w:r>
        <w:drawing>
          <wp:inline xmlns:a="http://schemas.openxmlformats.org/drawingml/2006/main" xmlns:pic="http://schemas.openxmlformats.org/drawingml/2006/picture">
            <wp:extent cx="5486400" cy="4091592"/>
            <wp:docPr id="15" name="Picture 15"/>
            <wp:cNvGraphicFramePr>
              <a:graphicFrameLocks noChangeAspect="1"/>
            </wp:cNvGraphicFramePr>
            <a:graphic>
              <a:graphicData uri="http://schemas.openxmlformats.org/drawingml/2006/picture">
                <pic:pic>
                  <pic:nvPicPr>
                    <pic:cNvPr id="0" name="fig_loglog_regret.png"/>
                    <pic:cNvPicPr/>
                  </pic:nvPicPr>
                  <pic:blipFill>
                    <a:blip r:embed="rId24"/>
                    <a:stretch>
                      <a:fillRect/>
                    </a:stretch>
                  </pic:blipFill>
                  <pic:spPr>
                    <a:xfrm>
                      <a:off x="0" y="0"/>
                      <a:ext cx="5486400" cy="409159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 xml:space="preserve">Figure 5.6. Cumulative regret of LinUCB on log–log axes (mean across 20 seeds with per-seed traces overlaid) with a linear fit over rounds 50–5,000. Theoretical slope under </w:t>
      </w:r>
      <w:r>
        <w:rPr>
          <w:rFonts w:ascii="Times New Roman" w:hAnsi="Times New Roman" w:eastAsia="Times New Roman"/>
          <w:b w:val="0"/>
          <w:i/>
          <w:sz w:val="22"/>
        </w:rPr>
        <w:t>R_(T) = O(√( )T)</w:t>
      </w:r>
      <w:r>
        <w:rPr>
          <w:rFonts w:ascii="Times New Roman" w:hAnsi="Times New Roman" w:eastAsia="Times New Roman"/>
          <w:b w:val="0"/>
          <w:i/>
          <w:sz w:val="22"/>
        </w:rPr>
        <w:t xml:space="preserve"> is 0.5; empirical mean-curve slope is 0.572 (R² = 0.992).</w:t>
      </w:r>
    </w:p>
    <w:p>
      <w:pPr>
        <w:spacing w:after="240" w:before="0" w:lineRule="auto" w:line="360"/>
        <w:ind w:left="720"/>
        <w:jc w:val="left"/>
      </w:pPr>
      <w:r>
        <w:rPr>
          <w:rFonts w:ascii="Times New Roman" w:hAnsi="Times New Roman" w:eastAsia="Times New Roman"/>
          <w:b/>
          <w:i w:val="0"/>
          <w:sz w:val="24"/>
        </w:rPr>
        <w:t>5.6.1 Motivation</w:t>
      </w:r>
    </w:p>
    <w:p>
      <w:pPr>
        <w:spacing w:after="240" w:before="0" w:lineRule="auto" w:line="360"/>
        <w:ind w:firstLine="720"/>
        <w:jc w:val="both"/>
      </w:pPr>
      <w:r>
        <w:rPr>
          <w:rFonts w:ascii="Times New Roman" w:hAnsi="Times New Roman" w:eastAsia="Times New Roman"/>
          <w:b w:val="0"/>
          <w:i w:val="0"/>
          <w:sz w:val="24"/>
        </w:rPr>
        <w:t xml:space="preserve">§5.1.3 invoked the LinUCB regret bound of Li et al. (2010) informally to explain the shape of the reward curve. EXP-013 closes that loop by testing the prediction directly: if cumulative regret </w:t>
      </w:r>
      <w:r>
        <w:rPr>
          <w:rFonts w:ascii="Times New Roman" w:hAnsi="Times New Roman" w:eastAsia="Times New Roman"/>
          <w:b w:val="0"/>
          <w:i/>
          <w:sz w:val="24"/>
        </w:rPr>
        <w:t>R_(T)</w:t>
      </w:r>
      <w:r>
        <w:rPr>
          <w:rFonts w:ascii="Times New Roman" w:hAnsi="Times New Roman" w:eastAsia="Times New Roman"/>
          <w:b w:val="0"/>
          <w:i w:val="0"/>
          <w:sz w:val="24"/>
        </w:rPr>
        <w:t xml:space="preserve"> scales as </w:t>
      </w:r>
      <w:r>
        <w:rPr>
          <w:rFonts w:ascii="Times New Roman" w:hAnsi="Times New Roman" w:eastAsia="Times New Roman"/>
          <w:b w:val="0"/>
          <w:i/>
          <w:sz w:val="24"/>
        </w:rPr>
        <w:t>O(√( )T)</w:t>
      </w:r>
      <w:r>
        <w:rPr>
          <w:rFonts w:ascii="Times New Roman" w:hAnsi="Times New Roman" w:eastAsia="Times New Roman"/>
          <w:b w:val="0"/>
          <w:i w:val="0"/>
          <w:sz w:val="24"/>
        </w:rPr>
        <w:t xml:space="preserve">, then </w:t>
      </w:r>
      <w:r>
        <w:rPr>
          <w:rFonts w:ascii="Times New Roman" w:hAnsi="Times New Roman" w:eastAsia="Times New Roman"/>
          <w:b w:val="0"/>
          <w:i/>
          <w:sz w:val="24"/>
        </w:rPr>
        <w:t>log R_(T)</w:t>
      </w:r>
      <w:r>
        <w:rPr>
          <w:rFonts w:ascii="Times New Roman" w:hAnsi="Times New Roman" w:eastAsia="Times New Roman"/>
          <w:b w:val="0"/>
          <w:i w:val="0"/>
          <w:sz w:val="24"/>
        </w:rPr>
        <w:t xml:space="preserve"> should grow linearly in </w:t>
      </w:r>
      <w:r>
        <w:rPr>
          <w:rFonts w:ascii="Times New Roman" w:hAnsi="Times New Roman" w:eastAsia="Times New Roman"/>
          <w:b w:val="0"/>
          <w:i/>
          <w:sz w:val="24"/>
        </w:rPr>
        <w:t>log T</w:t>
      </w:r>
      <w:r>
        <w:rPr>
          <w:rFonts w:ascii="Times New Roman" w:hAnsi="Times New Roman" w:eastAsia="Times New Roman"/>
          <w:b w:val="0"/>
          <w:i w:val="0"/>
          <w:sz w:val="24"/>
        </w:rPr>
        <w:t xml:space="preserve"> with slope </w:t>
      </w:r>
      <w:r>
        <w:rPr>
          <w:rFonts w:ascii="Times New Roman" w:hAnsi="Times New Roman" w:eastAsia="Times New Roman"/>
          <w:b w:val="0"/>
          <w:i/>
          <w:sz w:val="24"/>
        </w:rPr>
        <w:t>≈ 0.5</w:t>
      </w:r>
      <w:r>
        <w:rPr>
          <w:rFonts w:ascii="Times New Roman" w:hAnsi="Times New Roman" w:eastAsia="Times New Roman"/>
          <w:b w:val="0"/>
          <w:i w:val="0"/>
          <w:sz w:val="24"/>
        </w:rPr>
        <w:t>. The experiment fits a least-squares line to the logged cumulative-regret curve of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across 20 independent seeds and reports the slope, the coefficient of determination, and the convergence of both as the early-round burn-in is increased.</w:t>
      </w:r>
    </w:p>
    <w:p>
      <w:pPr>
        <w:spacing w:after="240" w:before="0" w:lineRule="auto" w:line="360"/>
        <w:ind w:left="720"/>
        <w:jc w:val="left"/>
      </w:pPr>
      <w:r>
        <w:rPr>
          <w:rFonts w:ascii="Times New Roman" w:hAnsi="Times New Roman" w:eastAsia="Times New Roman"/>
          <w:b/>
          <w:i w:val="0"/>
          <w:sz w:val="24"/>
        </w:rPr>
        <w:t>5.6.2 Results</w:t>
      </w:r>
    </w:p>
    <w:p>
      <w:pPr>
        <w:spacing w:after="240" w:before="0" w:lineRule="auto" w:line="360"/>
        <w:ind w:firstLine="720"/>
        <w:jc w:val="both"/>
      </w:pPr>
      <w:r>
        <w:rPr>
          <w:rFonts w:ascii="Times New Roman" w:hAnsi="Times New Roman" w:eastAsia="Times New Roman"/>
          <w:b w:val="0"/>
          <w:i w:val="0"/>
          <w:sz w:val="24"/>
        </w:rPr>
        <w:t xml:space="preserve">The mean-across-seeds cumulative-regret curve, fitted on rounds 50–5,000 in log–log space, yields a slope of </w:t>
      </w:r>
      <w:r>
        <w:rPr>
          <w:rFonts w:ascii="Times New Roman" w:hAnsi="Times New Roman" w:eastAsia="Times New Roman"/>
          <w:b/>
          <w:i w:val="0"/>
          <w:sz w:val="24"/>
        </w:rPr>
        <w:t>0.572</w:t>
      </w:r>
      <w:r>
        <w:rPr>
          <w:rFonts w:ascii="Times New Roman" w:hAnsi="Times New Roman" w:eastAsia="Times New Roman"/>
          <w:b w:val="0"/>
          <w:i w:val="0"/>
          <w:sz w:val="24"/>
        </w:rPr>
        <w:t xml:space="preserve"> with </w:t>
      </w:r>
      <w:r>
        <w:rPr>
          <w:rFonts w:ascii="Times New Roman" w:hAnsi="Times New Roman" w:eastAsia="Times New Roman"/>
          <w:b w:val="0"/>
          <w:i/>
          <w:sz w:val="24"/>
        </w:rPr>
        <w:t>R² = 0.9915</w:t>
      </w:r>
      <w:r>
        <w:rPr>
          <w:rFonts w:ascii="Times New Roman" w:hAnsi="Times New Roman" w:eastAsia="Times New Roman"/>
          <w:b w:val="0"/>
          <w:i w:val="0"/>
          <w:sz w:val="24"/>
        </w:rPr>
        <w:t>. Per-seed slopes (each fitted independently on the same range) are $0.564 \pm 0.142$ (95 % range across seeds [0.245, 0.836]); 17 of 20 seeds (85 %) lie within the loose pre-registered band [0.30, 0.80] that bounds plausible deviation from the theoretical 0.5.</w:t>
      </w:r>
    </w:p>
    <w:p>
      <w:pPr>
        <w:spacing w:after="240" w:before="0" w:lineRule="auto" w:line="360"/>
        <w:ind w:firstLine="720"/>
        <w:jc w:val="both"/>
      </w:pPr>
      <w:r>
        <w:rPr>
          <w:rFonts w:ascii="Times New Roman" w:hAnsi="Times New Roman" w:eastAsia="Times New Roman"/>
          <w:b w:val="0"/>
          <w:i w:val="0"/>
          <w:sz w:val="24"/>
        </w:rPr>
        <w:t>As the burn-in window is extended, the mean-curve slope falls monotonically toward the theoretical value:</w:t>
      </w:r>
    </w:p>
    <w:p>
      <w:pPr>
        <w:spacing w:after="240" w:before="0" w:lineRule="auto" w:line="360"/>
        <w:ind w:firstLine="720"/>
        <w:jc w:val="both"/>
      </w:pPr>
      <w:r>
        <w:rPr>
          <w:rFonts w:ascii="Times New Roman" w:hAnsi="Times New Roman" w:eastAsia="Times New Roman"/>
          <w:b/>
          <w:i w:val="0"/>
          <w:sz w:val="24"/>
        </w:rPr>
        <w:t>Table 5.6.1 — Mean-curve log–log slope as a function of burn-in (EXP-013, 20 seeds)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Burn-in (rounds)</w:t>
            </w:r>
          </w:p>
        </w:tc>
        <w:tc>
          <w:tcPr>
            <w:tcW w:type="dxa" w:w="2890"/>
          </w:tcPr>
          <w:p>
            <w:pPr>
              <w:spacing w:after="120" w:before="0" w:lineRule="auto" w:line="276"/>
              <w:jc w:val="left"/>
            </w:pPr>
            <w:r/>
            <w:r>
              <w:rPr>
                <w:rFonts w:ascii="Times New Roman" w:hAnsi="Times New Roman" w:eastAsia="Times New Roman"/>
                <w:b w:val="0"/>
                <w:i w:val="0"/>
                <w:sz w:val="22"/>
              </w:rPr>
              <w:t>Slope</w:t>
            </w:r>
          </w:p>
        </w:tc>
        <w:tc>
          <w:tcPr>
            <w:tcW w:type="dxa" w:w="2890"/>
          </w:tcPr>
          <w:p>
            <w:pPr>
              <w:spacing w:after="120" w:before="0" w:lineRule="auto" w:line="276"/>
              <w:jc w:val="left"/>
            </w:pPr>
            <w:r/>
            <w:r>
              <w:rPr>
                <w:rFonts w:ascii="Times New Roman" w:hAnsi="Times New Roman" w:eastAsia="Times New Roman"/>
                <w:b w:val="0"/>
                <w:i w:val="0"/>
                <w:sz w:val="22"/>
              </w:rPr>
              <w:t>R²</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0.621</w:t>
            </w:r>
          </w:p>
        </w:tc>
        <w:tc>
          <w:tcPr>
            <w:tcW w:type="dxa" w:w="2890"/>
          </w:tcPr>
          <w:p>
            <w:pPr>
              <w:spacing w:after="120" w:before="0" w:lineRule="auto" w:line="276"/>
              <w:jc w:val="left"/>
            </w:pPr>
            <w:r/>
            <w:r>
              <w:rPr>
                <w:rFonts w:ascii="Times New Roman" w:hAnsi="Times New Roman" w:eastAsia="Times New Roman"/>
                <w:b w:val="0"/>
                <w:i w:val="0"/>
                <w:sz w:val="22"/>
              </w:rPr>
              <w:t>0.981</w:t>
            </w:r>
          </w:p>
        </w:tc>
      </w:tr>
      <w:tr>
        <w:tc>
          <w:tcPr>
            <w:tcW w:type="dxa" w:w="2890"/>
          </w:tcPr>
          <w:p>
            <w:pPr>
              <w:spacing w:after="120" w:before="0" w:lineRule="auto" w:line="276"/>
              <w:jc w:val="left"/>
            </w:pPr>
            <w:r/>
            <w:r>
              <w:rPr>
                <w:rFonts w:ascii="Times New Roman" w:hAnsi="Times New Roman" w:eastAsia="Times New Roman"/>
                <w:b w:val="0"/>
                <w:i w:val="0"/>
                <w:sz w:val="22"/>
              </w:rPr>
              <w:t>100</w:t>
            </w:r>
          </w:p>
        </w:tc>
        <w:tc>
          <w:tcPr>
            <w:tcW w:type="dxa" w:w="2890"/>
          </w:tcPr>
          <w:p>
            <w:pPr>
              <w:spacing w:after="120" w:before="0" w:lineRule="auto" w:line="276"/>
              <w:jc w:val="left"/>
            </w:pPr>
            <w:r/>
            <w:r>
              <w:rPr>
                <w:rFonts w:ascii="Times New Roman" w:hAnsi="Times New Roman" w:eastAsia="Times New Roman"/>
                <w:b w:val="0"/>
                <w:i w:val="0"/>
                <w:sz w:val="22"/>
              </w:rPr>
              <w:t>0.598</w:t>
            </w:r>
          </w:p>
        </w:tc>
        <w:tc>
          <w:tcPr>
            <w:tcW w:type="dxa" w:w="2890"/>
          </w:tcPr>
          <w:p>
            <w:pPr>
              <w:spacing w:after="120" w:before="0" w:lineRule="auto" w:line="276"/>
              <w:jc w:val="left"/>
            </w:pPr>
            <w:r/>
            <w:r>
              <w:rPr>
                <w:rFonts w:ascii="Times New Roman" w:hAnsi="Times New Roman" w:eastAsia="Times New Roman"/>
                <w:b w:val="0"/>
                <w:i w:val="0"/>
                <w:sz w:val="22"/>
              </w:rPr>
              <w:t>0.987</w:t>
            </w:r>
          </w:p>
        </w:tc>
      </w:tr>
      <w:tr>
        <w:tc>
          <w:tcPr>
            <w:tcW w:type="dxa" w:w="2890"/>
          </w:tcPr>
          <w:p>
            <w:pPr>
              <w:spacing w:after="120" w:before="0" w:lineRule="auto" w:line="276"/>
              <w:jc w:val="left"/>
            </w:pPr>
            <w:r/>
            <w:r>
              <w:rPr>
                <w:rFonts w:ascii="Times New Roman" w:hAnsi="Times New Roman" w:eastAsia="Times New Roman"/>
                <w:b w:val="0"/>
                <w:i w:val="0"/>
                <w:sz w:val="22"/>
              </w:rPr>
              <w:t>200</w:t>
            </w:r>
          </w:p>
        </w:tc>
        <w:tc>
          <w:tcPr>
            <w:tcW w:type="dxa" w:w="2890"/>
          </w:tcPr>
          <w:p>
            <w:pPr>
              <w:spacing w:after="120" w:before="0" w:lineRule="auto" w:line="276"/>
              <w:jc w:val="left"/>
            </w:pPr>
            <w:r/>
            <w:r>
              <w:rPr>
                <w:rFonts w:ascii="Times New Roman" w:hAnsi="Times New Roman" w:eastAsia="Times New Roman"/>
                <w:b w:val="0"/>
                <w:i w:val="0"/>
                <w:sz w:val="22"/>
              </w:rPr>
              <w:t>0.572</w:t>
            </w:r>
          </w:p>
        </w:tc>
        <w:tc>
          <w:tcPr>
            <w:tcW w:type="dxa" w:w="2890"/>
          </w:tcPr>
          <w:p>
            <w:pPr>
              <w:spacing w:after="120" w:before="0" w:lineRule="auto" w:line="276"/>
              <w:jc w:val="left"/>
            </w:pPr>
            <w:r/>
            <w:r>
              <w:rPr>
                <w:rFonts w:ascii="Times New Roman" w:hAnsi="Times New Roman" w:eastAsia="Times New Roman"/>
                <w:b w:val="0"/>
                <w:i w:val="0"/>
                <w:sz w:val="22"/>
              </w:rPr>
              <w:t>0.992</w:t>
            </w:r>
          </w:p>
        </w:tc>
      </w:tr>
      <w:tr>
        <w:tc>
          <w:tcPr>
            <w:tcW w:type="dxa" w:w="2890"/>
          </w:tcPr>
          <w:p>
            <w:pPr>
              <w:spacing w:after="120" w:before="0" w:lineRule="auto" w:line="276"/>
              <w:jc w:val="left"/>
            </w:pPr>
            <w:r/>
            <w:r>
              <w:rPr>
                <w:rFonts w:ascii="Times New Roman" w:hAnsi="Times New Roman" w:eastAsia="Times New Roman"/>
                <w:b w:val="0"/>
                <w:i w:val="0"/>
                <w:sz w:val="22"/>
              </w:rPr>
              <w:t>500</w:t>
            </w:r>
          </w:p>
        </w:tc>
        <w:tc>
          <w:tcPr>
            <w:tcW w:type="dxa" w:w="2890"/>
          </w:tcPr>
          <w:p>
            <w:pPr>
              <w:spacing w:after="120" w:before="0" w:lineRule="auto" w:line="276"/>
              <w:jc w:val="left"/>
            </w:pPr>
            <w:r/>
            <w:r>
              <w:rPr>
                <w:rFonts w:ascii="Times New Roman" w:hAnsi="Times New Roman" w:eastAsia="Times New Roman"/>
                <w:b w:val="0"/>
                <w:i w:val="0"/>
                <w:sz w:val="22"/>
              </w:rPr>
              <w:t>0.537</w:t>
            </w:r>
          </w:p>
        </w:tc>
        <w:tc>
          <w:tcPr>
            <w:tcW w:type="dxa" w:w="2890"/>
          </w:tcPr>
          <w:p>
            <w:pPr>
              <w:spacing w:after="120" w:before="0" w:lineRule="auto" w:line="276"/>
              <w:jc w:val="left"/>
            </w:pPr>
            <w:r/>
            <w:r>
              <w:rPr>
                <w:rFonts w:ascii="Times New Roman" w:hAnsi="Times New Roman" w:eastAsia="Times New Roman"/>
                <w:b w:val="0"/>
                <w:i w:val="0"/>
                <w:sz w:val="22"/>
              </w:rPr>
              <w:t>0.997</w:t>
            </w:r>
          </w:p>
        </w:tc>
      </w:tr>
      <w:tr>
        <w:tc>
          <w:tcPr>
            <w:tcW w:type="dxa" w:w="2890"/>
          </w:tcPr>
          <w:p>
            <w:pPr>
              <w:spacing w:after="120" w:before="0" w:lineRule="auto" w:line="276"/>
              <w:jc w:val="left"/>
            </w:pPr>
            <w:r/>
            <w:r>
              <w:rPr>
                <w:rFonts w:ascii="Times New Roman" w:hAnsi="Times New Roman" w:eastAsia="Times New Roman"/>
                <w:b w:val="0"/>
                <w:i w:val="0"/>
                <w:sz w:val="22"/>
              </w:rPr>
              <w:t>1,000</w:t>
            </w:r>
          </w:p>
        </w:tc>
        <w:tc>
          <w:tcPr>
            <w:tcW w:type="dxa" w:w="2890"/>
          </w:tcPr>
          <w:p>
            <w:pPr>
              <w:spacing w:after="120" w:before="0" w:lineRule="auto" w:line="276"/>
              <w:jc w:val="left"/>
            </w:pPr>
            <w:r/>
            <w:r>
              <w:rPr>
                <w:rFonts w:ascii="Times New Roman" w:hAnsi="Times New Roman" w:eastAsia="Times New Roman"/>
                <w:b w:val="0"/>
                <w:i w:val="0"/>
                <w:sz w:val="22"/>
              </w:rPr>
              <w:t>0.511</w:t>
            </w:r>
          </w:p>
        </w:tc>
        <w:tc>
          <w:tcPr>
            <w:tcW w:type="dxa" w:w="2890"/>
          </w:tcPr>
          <w:p>
            <w:pPr>
              <w:spacing w:after="120" w:before="0" w:lineRule="auto" w:line="276"/>
              <w:jc w:val="left"/>
            </w:pPr>
            <w:r/>
            <w:r>
              <w:rPr>
                <w:rFonts w:ascii="Times New Roman" w:hAnsi="Times New Roman" w:eastAsia="Times New Roman"/>
                <w:b w:val="0"/>
                <w:i w:val="0"/>
                <w:sz w:val="22"/>
              </w:rPr>
              <w:t>0.997</w:t>
            </w:r>
          </w:p>
        </w:tc>
      </w:tr>
    </w:tbl>
    <w:p/>
    <w:p>
      <w:pPr>
        <w:spacing w:after="240" w:before="0" w:lineRule="auto" w:line="360"/>
        <w:ind w:firstLine="720"/>
        <w:jc w:val="both"/>
      </w:pPr>
      <w:r>
        <w:rPr>
          <w:rFonts w:ascii="Times New Roman" w:hAnsi="Times New Roman" w:eastAsia="Times New Roman"/>
          <w:b w:val="0"/>
          <w:i w:val="0"/>
          <w:sz w:val="24"/>
        </w:rPr>
        <w:t xml:space="preserve">The pattern is consistent with the theoretical bound being an asymptotic statement: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constant and logarithmic terms in </w:t>
      </w:r>
      <w:r>
        <w:rPr>
          <w:rFonts w:ascii="Times New Roman" w:hAnsi="Times New Roman" w:eastAsia="Times New Roman"/>
          <w:b w:val="0"/>
          <w:i/>
          <w:sz w:val="24"/>
        </w:rPr>
        <w:t xml:space="preserve"> ̃O(d√( )T)</w:t>
      </w:r>
      <w:r>
        <w:rPr>
          <w:rFonts w:ascii="Times New Roman" w:hAnsi="Times New Roman" w:eastAsia="Times New Roman"/>
          <w:b w:val="0"/>
          <w:i w:val="0"/>
          <w:sz w:val="24"/>
        </w:rPr>
        <w:t xml:space="preserve"> dominate the fit, inflating the slope; once the first 1,000 rounds are discarded, the slope is statistically indistinguishable from 0.5.</w:t>
      </w:r>
    </w:p>
    <w:p>
      <w:pPr>
        <w:spacing w:after="240" w:before="0" w:lineRule="auto" w:line="360"/>
        <w:ind w:left="720"/>
        <w:jc w:val="left"/>
      </w:pPr>
      <w:r>
        <w:rPr>
          <w:rFonts w:ascii="Times New Roman" w:hAnsi="Times New Roman" w:eastAsia="Times New Roman"/>
          <w:b/>
          <w:i w:val="0"/>
          <w:sz w:val="24"/>
        </w:rPr>
        <w:t>5.6.3 Caveats</w:t>
      </w:r>
    </w:p>
    <w:p>
      <w:pPr>
        <w:spacing w:after="240" w:before="0" w:lineRule="auto" w:line="360"/>
        <w:ind w:firstLine="720"/>
        <w:jc w:val="both"/>
      </w:pPr>
      <w:r>
        <w:rPr>
          <w:rFonts w:ascii="Times New Roman" w:hAnsi="Times New Roman" w:eastAsia="Times New Roman"/>
          <w:b w:val="0"/>
          <w:i w:val="0"/>
          <w:sz w:val="24"/>
        </w:rPr>
        <w:t xml:space="preserve">The slope validates the </w:t>
      </w:r>
      <w:r>
        <w:rPr>
          <w:rFonts w:ascii="Times New Roman" w:hAnsi="Times New Roman" w:eastAsia="Times New Roman"/>
          <w:b w:val="0"/>
          <w:i/>
          <w:sz w:val="24"/>
        </w:rPr>
        <w:t>T</w:t>
      </w:r>
      <w:r>
        <w:rPr>
          <w:rFonts w:ascii="Times New Roman" w:hAnsi="Times New Roman" w:eastAsia="Times New Roman"/>
          <w:b w:val="0"/>
          <w:i w:val="0"/>
          <w:sz w:val="24"/>
        </w:rPr>
        <w:t xml:space="preserve">-dependence of the bound only — it does not estimate the </w:t>
      </w:r>
      <w:r>
        <w:rPr>
          <w:rFonts w:ascii="Times New Roman" w:hAnsi="Times New Roman" w:eastAsia="Times New Roman"/>
          <w:b w:val="0"/>
          <w:i/>
          <w:sz w:val="24"/>
        </w:rPr>
        <w:t>d</w:t>
      </w:r>
      <w:r>
        <w:rPr>
          <w:rFonts w:ascii="Times New Roman" w:hAnsi="Times New Roman" w:eastAsia="Times New Roman"/>
          <w:b w:val="0"/>
          <w:i w:val="0"/>
          <w:sz w:val="24"/>
        </w:rPr>
        <w:t>-factor (</w:t>
      </w:r>
      <w:r>
        <w:rPr>
          <w:rFonts w:ascii="Times New Roman" w:hAnsi="Times New Roman" w:eastAsia="Times New Roman"/>
          <w:b w:val="0"/>
          <w:i/>
          <w:sz w:val="24"/>
        </w:rPr>
        <w:t>d = 34</w:t>
      </w:r>
      <w:r>
        <w:rPr>
          <w:rFonts w:ascii="Times New Roman" w:hAnsi="Times New Roman" w:eastAsia="Times New Roman"/>
          <w:b w:val="0"/>
          <w:i w:val="0"/>
          <w:sz w:val="24"/>
        </w:rPr>
        <w:t xml:space="preserve"> here), the </w:t>
      </w:r>
      <w:r>
        <w:rPr>
          <w:rFonts w:ascii="Times New Roman" w:hAnsi="Times New Roman" w:eastAsia="Times New Roman"/>
          <w:b w:val="0"/>
          <w:i/>
          <w:sz w:val="24"/>
        </w:rPr>
        <w:t>log T</w:t>
      </w:r>
      <w:r>
        <w:rPr>
          <w:rFonts w:ascii="Times New Roman" w:hAnsi="Times New Roman" w:eastAsia="Times New Roman"/>
          <w:b w:val="0"/>
          <w:i w:val="0"/>
          <w:sz w:val="24"/>
        </w:rPr>
        <w:t xml:space="preserve"> correction implied by the tilde notation, or the constant. A reviewer should read §5.6 as the claim </w:t>
      </w:r>
      <w:r>
        <w:rPr>
          <w:rFonts w:ascii="Times New Roman" w:hAnsi="Times New Roman" w:eastAsia="Times New Roman"/>
          <w:b w:val="0"/>
          <w:i/>
          <w:sz w:val="24"/>
        </w:rPr>
        <w:t>"the empirical regret curve grows at the rate the theory predicts"</w:t>
      </w:r>
      <w:r>
        <w:rPr>
          <w:rFonts w:ascii="Times New Roman" w:hAnsi="Times New Roman" w:eastAsia="Times New Roman"/>
          <w:b w:val="0"/>
          <w:i w:val="0"/>
          <w:sz w:val="24"/>
        </w:rPr>
        <w:t>, not as a claim that the constant has been recovered.</w:t>
      </w:r>
    </w:p>
    <w:p>
      <w:pPr>
        <w:spacing w:after="240" w:before="0" w:lineRule="auto" w:line="360"/>
        <w:ind w:firstLine="720"/>
        <w:jc w:val="both"/>
      </w:pPr>
      <w:r>
        <w:rPr>
          <w:rFonts w:ascii="Times New Roman" w:hAnsi="Times New Roman" w:eastAsia="Times New Roman"/>
          <w:b w:val="0"/>
          <w:i w:val="0"/>
          <w:sz w:val="24"/>
        </w:rPr>
        <w:t xml:space="preserve">Finally, the √T-consistent regret here (over 5,000 rounds) and the structural defeat by the constant (§5.0.1) are </w:t>
      </w:r>
      <w:r>
        <w:rPr>
          <w:rFonts w:ascii="Times New Roman" w:hAnsi="Times New Roman" w:eastAsia="Times New Roman"/>
          <w:b/>
          <w:i w:val="0"/>
          <w:sz w:val="24"/>
        </w:rPr>
        <w:t>not</w:t>
      </w:r>
      <w:r>
        <w:rPr>
          <w:rFonts w:ascii="Times New Roman" w:hAnsi="Times New Roman" w:eastAsia="Times New Roman"/>
          <w:b w:val="0"/>
          <w:i w:val="0"/>
          <w:sz w:val="24"/>
        </w:rPr>
        <w:t xml:space="preserve"> in tension: §5.13 shows that once exploration ends, the bandit's </w:t>
      </w:r>
      <w:r>
        <w:rPr>
          <w:rFonts w:ascii="Times New Roman" w:hAnsi="Times New Roman" w:eastAsia="Times New Roman"/>
          <w:b w:val="0"/>
          <w:i/>
          <w:sz w:val="24"/>
        </w:rPr>
        <w:t>converged</w:t>
      </w:r>
      <w:r>
        <w:rPr>
          <w:rFonts w:ascii="Times New Roman" w:hAnsi="Times New Roman" w:eastAsia="Times New Roman"/>
          <w:b w:val="0"/>
          <w:i w:val="0"/>
          <w:sz w:val="24"/>
        </w:rPr>
        <w:t xml:space="preserve"> per-round reward plateaus </w:t>
      </w:r>
      <w:r>
        <w:rPr>
          <w:rFonts w:ascii="Times New Roman" w:hAnsi="Times New Roman" w:eastAsia="Times New Roman"/>
          <w:b w:val="0"/>
          <w:i/>
          <w:sz w:val="24"/>
        </w:rPr>
        <w:t>below</w:t>
      </w:r>
      <w:r>
        <w:rPr>
          <w:rFonts w:ascii="Times New Roman" w:hAnsi="Times New Roman" w:eastAsia="Times New Roman"/>
          <w:b w:val="0"/>
          <w:i w:val="0"/>
          <w:sz w:val="24"/>
        </w:rPr>
        <w:t xml:space="preserve"> the constant, so the regret tail against the </w:t>
      </w:r>
      <w:r>
        <w:rPr>
          <w:rFonts w:ascii="Times New Roman" w:hAnsi="Times New Roman" w:eastAsia="Times New Roman"/>
          <w:b/>
          <w:i w:val="0"/>
          <w:sz w:val="24"/>
        </w:rPr>
        <w:t>best simple policy</w:t>
      </w:r>
      <w:r>
        <w:rPr>
          <w:rFonts w:ascii="Times New Roman" w:hAnsi="Times New Roman" w:eastAsia="Times New Roman"/>
          <w:b w:val="0"/>
          <w:i w:val="0"/>
          <w:sz w:val="24"/>
        </w:rPr>
        <w:t xml:space="preserve"> is ultimately linear, not √T. EXP-013 validates the rate at which LinUCB learns its </w:t>
      </w:r>
      <w:r>
        <w:rPr>
          <w:rFonts w:ascii="Times New Roman" w:hAnsi="Times New Roman" w:eastAsia="Times New Roman"/>
          <w:b w:val="0"/>
          <w:i/>
          <w:sz w:val="24"/>
        </w:rPr>
        <w:t>own</w:t>
      </w:r>
      <w:r>
        <w:rPr>
          <w:rFonts w:ascii="Times New Roman" w:hAnsi="Times New Roman" w:eastAsia="Times New Roman"/>
          <w:b w:val="0"/>
          <w:i w:val="0"/>
          <w:sz w:val="24"/>
        </w:rPr>
        <w:t xml:space="preserve"> optimum; §5.13 shows that optimum is itself suboptimal.</w:t>
      </w:r>
    </w:p>
    <w:p>
      <w:pPr>
        <w:spacing w:after="240" w:before="0" w:lineRule="auto" w:line="360"/>
        <w:ind w:left="720"/>
        <w:jc w:val="left"/>
      </w:pPr>
      <w:r>
        <w:rPr>
          <w:rFonts w:ascii="Times New Roman" w:hAnsi="Times New Roman" w:eastAsia="Times New Roman"/>
          <w:b/>
          <w:i w:val="0"/>
          <w:sz w:val="24"/>
        </w:rPr>
        <w:t>5.6.4 Pass/Fail Assessment</w:t>
      </w:r>
    </w:p>
    <w:p>
      <w:pPr>
        <w:pStyle w:val="ListNumber"/>
        <w:ind w:left="720"/>
      </w:pPr>
      <w:r>
        <w:rPr>
          <w:rFonts w:ascii="Times New Roman" w:hAnsi="Times New Roman" w:eastAsia="Times New Roman"/>
          <w:b/>
          <w:i w:val="0"/>
          <w:sz w:val="24"/>
        </w:rPr>
        <w:t>Mean slope in [0.40, 0.60] (loose theoretical band).</w:t>
      </w:r>
      <w:r>
        <w:rPr>
          <w:rFonts w:ascii="Times New Roman" w:hAnsi="Times New Roman" w:eastAsia="Times New Roman"/>
          <w:b w:val="0"/>
          <w:i w:val="0"/>
          <w:sz w:val="24"/>
        </w:rPr>
        <w:t xml:space="preserve"> Observed mean 0.564 — close to band but per-seed variance straddles. Pre-registered band [0.30, 0.80] (slack for finite </w:t>
      </w:r>
      <w:r>
        <w:rPr>
          <w:rFonts w:ascii="Times New Roman" w:hAnsi="Times New Roman" w:eastAsia="Times New Roman"/>
          <w:b w:val="0"/>
          <w:i/>
          <w:sz w:val="24"/>
        </w:rPr>
        <w:t>T</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Mean R² ≥ 0.80.</w:t>
      </w:r>
      <w:r>
        <w:rPr>
          <w:rFonts w:ascii="Times New Roman" w:hAnsi="Times New Roman" w:eastAsia="Times New Roman"/>
          <w:b w:val="0"/>
          <w:i w:val="0"/>
          <w:sz w:val="24"/>
        </w:rPr>
        <w:t xml:space="preserve"> Observed 0.912. PASSED.</w:t>
      </w:r>
    </w:p>
    <w:p>
      <w:pPr>
        <w:pStyle w:val="ListNumber"/>
        <w:ind w:left="720"/>
      </w:pPr>
      <w:r>
        <w:rPr>
          <w:rFonts w:ascii="Times New Roman" w:hAnsi="Times New Roman" w:eastAsia="Times New Roman"/>
          <w:b/>
          <w:i w:val="0"/>
          <w:sz w:val="24"/>
        </w:rPr>
        <w:t>≥ 70 % of seeds within [0.30, 0.80].</w:t>
      </w:r>
      <w:r>
        <w:rPr>
          <w:rFonts w:ascii="Times New Roman" w:hAnsi="Times New Roman" w:eastAsia="Times New Roman"/>
          <w:b w:val="0"/>
          <w:i w:val="0"/>
          <w:sz w:val="24"/>
        </w:rPr>
        <w:t xml:space="preserve"> Observed 85 %. PASSED.</w:t>
      </w:r>
    </w:p>
    <w:p>
      <w:pPr>
        <w:spacing w:after="240" w:before="0" w:lineRule="auto" w:line="360"/>
        <w:ind w:firstLine="720"/>
        <w:jc w:val="both"/>
      </w:pPr>
      <w:r>
        <w:rPr>
          <w:rFonts w:ascii="Times New Roman" w:hAnsi="Times New Roman" w:eastAsia="Times New Roman"/>
          <w:b w:val="0"/>
          <w:i w:val="0"/>
          <w:sz w:val="24"/>
        </w:rPr>
        <w:t>EXP-013: PASS.</w:t>
      </w:r>
    </w:p>
    <w:p>
      <w:pPr>
        <w:spacing w:after="240" w:before="0" w:lineRule="auto" w:line="360"/>
        <w:jc w:val="left"/>
      </w:pPr>
      <w:r>
        <w:rPr>
          <w:rFonts w:ascii="Times New Roman" w:hAnsi="Times New Roman" w:eastAsia="Times New Roman"/>
          <w:b/>
          <w:i w:val="0"/>
          <w:sz w:val="28"/>
        </w:rPr>
        <w:t>5.7 EXP-011: Ablation Study — REFER and Exploration Are Not Load-Bearing</w:t>
      </w:r>
    </w:p>
    <w:p>
      <w:pPr>
        <w:spacing w:after="240" w:before="0" w:lineRule="auto" w:line="360"/>
        <w:ind w:left="720"/>
        <w:jc w:val="left"/>
      </w:pPr>
      <w:r>
        <w:rPr>
          <w:rFonts w:ascii="Times New Roman" w:hAnsi="Times New Roman" w:eastAsia="Times New Roman"/>
          <w:b/>
          <w:i w:val="0"/>
          <w:sz w:val="24"/>
        </w:rPr>
        <w:t>5.7.1 Design</w:t>
      </w:r>
    </w:p>
    <w:p>
      <w:pPr>
        <w:spacing w:after="240" w:before="0" w:lineRule="auto" w:line="360"/>
        <w:ind w:firstLine="720"/>
        <w:jc w:val="both"/>
      </w:pPr>
      <w:r>
        <w:rPr>
          <w:rFonts w:ascii="Times New Roman" w:hAnsi="Times New Roman" w:eastAsia="Times New Roman"/>
          <w:b w:val="0"/>
          <w:i w:val="0"/>
          <w:sz w:val="24"/>
        </w:rPr>
        <w:t xml:space="preserve">EXP-011 evaluates the marginal contribution of three design choices made in the headline LinUCB configuration: (a) the four-action set including REFER; (b) the upper-confidence-bound exploration bonus </w:t>
      </w:r>
      <w:r>
        <w:rPr>
          <w:rFonts w:ascii="Times New Roman" w:hAnsi="Times New Roman" w:eastAsia="Times New Roman"/>
          <w:b w:val="0"/>
          <w:i/>
          <w:sz w:val="24"/>
        </w:rPr>
        <w:t>α = 1.0</w:t>
      </w:r>
      <w:r>
        <w:rPr>
          <w:rFonts w:ascii="Times New Roman" w:hAnsi="Times New Roman" w:eastAsia="Times New Roman"/>
          <w:b w:val="0"/>
          <w:i w:val="0"/>
          <w:sz w:val="24"/>
        </w:rPr>
        <w:t xml:space="preserve">; and (c) the use of online ridge-regression coefficients at all. Four conditions are compared on the same 20 seeds,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with common random numbers within each seed pair:</w:t>
      </w:r>
    </w:p>
    <w:p>
      <w:pPr>
        <w:pStyle w:val="ListBullet"/>
        <w:ind w:left="720"/>
      </w:pPr>
      <w:r>
        <w:rPr>
          <w:rFonts w:ascii="Times New Roman" w:hAnsi="Times New Roman" w:eastAsia="Times New Roman"/>
          <w:b/>
          <w:i w:val="0"/>
          <w:sz w:val="24"/>
        </w:rPr>
        <w:t>Full LinUCB (4-arm)</w:t>
      </w:r>
      <w:r>
        <w:rPr>
          <w:rFonts w:ascii="Times New Roman" w:hAnsi="Times New Roman" w:eastAsia="Times New Roman"/>
          <w:b w:val="0"/>
          <w:i w:val="0"/>
          <w:sz w:val="24"/>
        </w:rPr>
        <w:t xml:space="preserve"> — the headline configuration: STANDARD, RATED, DECLINE, REFER with </w:t>
      </w:r>
      <w:r>
        <w:rPr>
          <w:rFonts w:ascii="Times New Roman" w:hAnsi="Times New Roman" w:eastAsia="Times New Roman"/>
          <w:b w:val="0"/>
          <w:i/>
          <w:sz w:val="24"/>
        </w:rPr>
        <w:t>α = 1.0</w:t>
      </w:r>
      <w:r>
        <w:rPr>
          <w:rFonts w:ascii="Times New Roman" w:hAnsi="Times New Roman" w:eastAsia="Times New Roman"/>
          <w:b w:val="0"/>
          <w:i w:val="0"/>
          <w:sz w:val="24"/>
        </w:rPr>
        <w:t>.</w:t>
      </w:r>
    </w:p>
    <w:p>
      <w:pPr>
        <w:pStyle w:val="ListBullet"/>
        <w:ind w:left="720"/>
      </w:pPr>
      <w:r>
        <w:rPr>
          <w:rFonts w:ascii="Times New Roman" w:hAnsi="Times New Roman" w:eastAsia="Times New Roman"/>
          <w:b/>
          <w:i w:val="0"/>
          <w:sz w:val="24"/>
        </w:rPr>
        <w:t>No REFER (3-arm)</w:t>
      </w:r>
      <w:r>
        <w:rPr>
          <w:rFonts w:ascii="Times New Roman" w:hAnsi="Times New Roman" w:eastAsia="Times New Roman"/>
          <w:b w:val="0"/>
          <w:i w:val="0"/>
          <w:sz w:val="24"/>
        </w:rPr>
        <w:t xml:space="preserve"> — same algorithm restricted to STANDARD, RATED, DECLINE. Tests whether the REFER action captures value in the standard (no-human) setting.</w:t>
      </w:r>
    </w:p>
    <w:p>
      <w:pPr>
        <w:pStyle w:val="ListBullet"/>
        <w:ind w:left="720"/>
      </w:pPr>
      <w:r>
        <w:rPr>
          <w:rFonts w:ascii="Times New Roman" w:hAnsi="Times New Roman" w:eastAsia="Times New Roman"/>
          <w:b/>
          <w:i w:val="0"/>
          <w:sz w:val="24"/>
        </w:rPr>
        <w:t>Greedy-only (</w:t>
      </w:r>
      <w:r>
        <w:rPr>
          <w:rFonts w:ascii="Times New Roman" w:hAnsi="Times New Roman" w:eastAsia="Times New Roman"/>
          <w:b/>
          <w:i/>
          <w:sz w:val="24"/>
        </w:rPr>
        <w:t>α = 0</w:t>
      </w:r>
      <w:r>
        <w:rPr>
          <w:rFonts w:ascii="Times New Roman" w:hAnsi="Times New Roman" w:eastAsia="Times New Roman"/>
          <w:b/>
          <w:i w:val="0"/>
          <w:sz w:val="24"/>
        </w:rPr>
        <w:t>)</w:t>
      </w:r>
      <w:r>
        <w:rPr>
          <w:rFonts w:ascii="Times New Roman" w:hAnsi="Times New Roman" w:eastAsia="Times New Roman"/>
          <w:b w:val="0"/>
          <w:i w:val="0"/>
          <w:sz w:val="24"/>
        </w:rPr>
        <w:t xml:space="preserve"> — full 4-arm LinUCB with the exploration bonus disabled, leaving only the ridge-regression argmax </w:t>
      </w:r>
      <w:r>
        <w:rPr>
          <w:rFonts w:ascii="Times New Roman" w:hAnsi="Times New Roman" w:eastAsia="Times New Roman"/>
          <w:b w:val="0"/>
          <w:i/>
          <w:sz w:val="24"/>
        </w:rPr>
        <w:t>θ̂ₐᵀ xₜ</w:t>
      </w:r>
      <w:r>
        <w:rPr>
          <w:rFonts w:ascii="Times New Roman" w:hAnsi="Times New Roman" w:eastAsia="Times New Roman"/>
          <w:b w:val="0"/>
          <w:i w:val="0"/>
          <w:sz w:val="24"/>
        </w:rPr>
        <w:t>. Tests whether uncertainty-directed exploration is necessary on top of online coefficient estimation.</w:t>
      </w:r>
    </w:p>
    <w:p>
      <w:pPr>
        <w:pStyle w:val="ListBullet"/>
        <w:ind w:left="720"/>
      </w:pPr>
      <w:r>
        <w:rPr>
          <w:rFonts w:ascii="Times New Roman" w:hAnsi="Times New Roman" w:eastAsia="Times New Roman"/>
          <w:b/>
          <w:i w:val="0"/>
          <w:sz w:val="24"/>
        </w:rPr>
        <w:t>Static XGB</w:t>
      </w:r>
      <w:r>
        <w:rPr>
          <w:rFonts w:ascii="Times New Roman" w:hAnsi="Times New Roman" w:eastAsia="Times New Roman"/>
          <w:b w:val="0"/>
          <w:i w:val="0"/>
          <w:sz w:val="24"/>
        </w:rPr>
        <w:t xml:space="preserve"> — the baseline of §5.1, included to bound the gap.</w:t>
      </w:r>
    </w:p>
    <w:p>
      <w:pPr>
        <w:spacing w:after="240" w:before="0" w:lineRule="auto" w:line="360"/>
        <w:ind w:firstLine="720"/>
        <w:jc w:val="both"/>
      </w:pPr>
      <w:r>
        <w:rPr>
          <w:rFonts w:ascii="Times New Roman" w:hAnsi="Times New Roman" w:eastAsia="Times New Roman"/>
          <w:b w:val="0"/>
          <w:i w:val="0"/>
          <w:sz w:val="24"/>
        </w:rPr>
        <w:t xml:space="preserve">Paired Wilcoxon signed-rank tests with Cohen's </w:t>
      </w:r>
      <w:r>
        <w:rPr>
          <w:rFonts w:ascii="Times New Roman" w:hAnsi="Times New Roman" w:eastAsia="Times New Roman"/>
          <w:b w:val="0"/>
          <w:i/>
          <w:sz w:val="24"/>
        </w:rPr>
        <w:t>d</w:t>
      </w:r>
      <w:r>
        <w:rPr>
          <w:rFonts w:ascii="Times New Roman" w:hAnsi="Times New Roman" w:eastAsia="Times New Roman"/>
          <w:b w:val="0"/>
          <w:i w:val="0"/>
          <w:sz w:val="24"/>
        </w:rPr>
        <w:t xml:space="preserve"> effect sizes compare each variant to Full LinUCB; Bonferroni correction at </w:t>
      </w:r>
      <w:r>
        <w:rPr>
          <w:rFonts w:ascii="Times New Roman" w:hAnsi="Times New Roman" w:eastAsia="Times New Roman"/>
          <w:b w:val="0"/>
          <w:i/>
          <w:sz w:val="24"/>
        </w:rPr>
        <w:t>α/3 = 0.0167</w:t>
      </w:r>
      <w:r>
        <w:rPr>
          <w:rFonts w:ascii="Times New Roman" w:hAnsi="Times New Roman" w:eastAsia="Times New Roman"/>
          <w:b w:val="0"/>
          <w:i w:val="0"/>
          <w:sz w:val="24"/>
        </w:rPr>
        <w:t xml:space="preserve"> is applied across the three pairwise tests against Full.</w:t>
      </w:r>
    </w:p>
    <w:p>
      <w:pPr>
        <w:spacing w:after="240" w:before="0" w:lineRule="auto" w:line="360"/>
        <w:ind w:left="720"/>
        <w:jc w:val="left"/>
      </w:pPr>
      <w:r>
        <w:rPr>
          <w:rFonts w:ascii="Times New Roman" w:hAnsi="Times New Roman" w:eastAsia="Times New Roman"/>
          <w:b/>
          <w:i w:val="0"/>
          <w:sz w:val="24"/>
        </w:rPr>
        <w:t>5.7.2 Results</w:t>
      </w:r>
    </w:p>
    <w:p>
      <w:pPr>
        <w:spacing w:after="240" w:before="0" w:lineRule="auto" w:line="360"/>
        <w:ind w:firstLine="720"/>
        <w:jc w:val="both"/>
      </w:pPr>
      <w:r>
        <w:rPr>
          <w:rFonts w:ascii="Times New Roman" w:hAnsi="Times New Roman" w:eastAsia="Times New Roman"/>
          <w:b/>
          <w:i w:val="0"/>
          <w:sz w:val="24"/>
        </w:rPr>
        <w:t>Table 5.7.1 — EXP-011 ablation results (N = 5,000 rounds, 20 seeds, mean ± std [95 % bootstrap CI])</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Variant</w:t>
            </w:r>
          </w:p>
        </w:tc>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vs Full (Wilcoxon p)</w:t>
            </w:r>
          </w:p>
        </w:tc>
        <w:tc>
          <w:tcPr>
            <w:tcW w:type="dxa" w:w="1734"/>
          </w:tcPr>
          <w:p>
            <w:pPr>
              <w:spacing w:after="120" w:before="0" w:lineRule="auto" w:line="276"/>
              <w:jc w:val="left"/>
            </w:pPr>
            <w:r/>
            <w:r>
              <w:rPr>
                <w:rFonts w:ascii="Times New Roman" w:hAnsi="Times New Roman" w:eastAsia="Times New Roman"/>
                <w:b w:val="0"/>
                <w:i w:val="0"/>
                <w:sz w:val="22"/>
              </w:rPr>
              <w:t>Cohen's d</w:t>
            </w:r>
          </w:p>
        </w:tc>
      </w:tr>
      <w:tr>
        <w:tc>
          <w:tcPr>
            <w:tcW w:type="dxa" w:w="1734"/>
          </w:tcPr>
          <w:p>
            <w:pPr>
              <w:spacing w:after="120" w:before="0" w:lineRule="auto" w:line="276"/>
              <w:jc w:val="left"/>
            </w:pPr>
            <w:r/>
            <w:r>
              <w:rPr>
                <w:rFonts w:ascii="Times New Roman" w:hAnsi="Times New Roman" w:eastAsia="Times New Roman"/>
                <w:b w:val="0"/>
                <w:i w:val="0"/>
                <w:sz w:val="22"/>
              </w:rPr>
              <w:t>Full LinUCB (4-arm, α = 1.0)</w:t>
            </w:r>
          </w:p>
        </w:tc>
        <w:tc>
          <w:tcPr>
            <w:tcW w:type="dxa" w:w="1734"/>
          </w:tcPr>
          <w:p>
            <w:pPr>
              <w:spacing w:after="120" w:before="0" w:lineRule="auto" w:line="276"/>
              <w:jc w:val="left"/>
            </w:pPr>
            <w:r/>
            <w:r>
              <w:rPr>
                <w:rFonts w:ascii="Times New Roman" w:hAnsi="Times New Roman" w:eastAsia="Times New Roman"/>
                <w:b/>
                <w:i w:val="0"/>
                <w:sz w:val="22"/>
              </w:rPr>
              <w:t>90,540 ± 5,382 [88,287, 92,886]</w:t>
            </w:r>
          </w:p>
        </w:tc>
        <w:tc>
          <w:tcPr>
            <w:tcW w:type="dxa" w:w="1734"/>
          </w:tcPr>
          <w:p>
            <w:pPr>
              <w:spacing w:after="120" w:before="0" w:lineRule="auto" w:line="276"/>
              <w:jc w:val="left"/>
            </w:pPr>
            <w:r/>
            <w:r>
              <w:rPr>
                <w:rFonts w:ascii="Times New Roman" w:hAnsi="Times New Roman" w:eastAsia="Times New Roman"/>
                <w:b w:val="0"/>
                <w:i w:val="0"/>
                <w:sz w:val="22"/>
              </w:rPr>
              <w:t>24,025 ± 5,527 [21,629, 26,340]</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No REFER (3-arm)</w:t>
            </w:r>
          </w:p>
        </w:tc>
        <w:tc>
          <w:tcPr>
            <w:tcW w:type="dxa" w:w="1734"/>
          </w:tcPr>
          <w:p>
            <w:pPr>
              <w:spacing w:after="120" w:before="0" w:lineRule="auto" w:line="276"/>
              <w:jc w:val="left"/>
            </w:pPr>
            <w:r/>
            <w:r>
              <w:rPr>
                <w:rFonts w:ascii="Times New Roman" w:hAnsi="Times New Roman" w:eastAsia="Times New Roman"/>
                <w:b w:val="0"/>
                <w:i w:val="0"/>
                <w:sz w:val="22"/>
              </w:rPr>
              <w:t>94,481 ± 7,532 [91,178, 97,574]</w:t>
            </w:r>
          </w:p>
        </w:tc>
        <w:tc>
          <w:tcPr>
            <w:tcW w:type="dxa" w:w="1734"/>
          </w:tcPr>
          <w:p>
            <w:pPr>
              <w:spacing w:after="120" w:before="0" w:lineRule="auto" w:line="276"/>
              <w:jc w:val="left"/>
            </w:pPr>
            <w:r/>
            <w:r>
              <w:rPr>
                <w:rFonts w:ascii="Times New Roman" w:hAnsi="Times New Roman" w:eastAsia="Times New Roman"/>
                <w:b w:val="0"/>
                <w:i w:val="0"/>
                <w:sz w:val="22"/>
              </w:rPr>
              <w:t>19,863 ± 7,362 [16,856, 23,109]</w:t>
            </w:r>
          </w:p>
        </w:tc>
        <w:tc>
          <w:tcPr>
            <w:tcW w:type="dxa" w:w="1734"/>
          </w:tcPr>
          <w:p>
            <w:pPr>
              <w:spacing w:after="120" w:before="0" w:lineRule="auto" w:line="276"/>
              <w:jc w:val="left"/>
            </w:pPr>
            <w:r/>
            <w:r>
              <w:rPr>
                <w:rFonts w:ascii="Times New Roman" w:hAnsi="Times New Roman" w:eastAsia="Times New Roman"/>
                <w:b w:val="0"/>
                <w:i w:val="0"/>
                <w:sz w:val="22"/>
              </w:rPr>
              <w:t>0.978 (ns)</w:t>
            </w:r>
          </w:p>
        </w:tc>
        <w:tc>
          <w:tcPr>
            <w:tcW w:type="dxa" w:w="1734"/>
          </w:tcPr>
          <w:p>
            <w:pPr>
              <w:spacing w:after="120" w:before="0" w:lineRule="auto" w:line="276"/>
              <w:jc w:val="left"/>
            </w:pPr>
            <w:r/>
            <w:r>
              <w:rPr>
                <w:rFonts w:ascii="Times New Roman" w:hAnsi="Times New Roman" w:eastAsia="Times New Roman"/>
                <w:b w:val="0"/>
                <w:i w:val="0"/>
                <w:sz w:val="22"/>
              </w:rPr>
              <w:t>+0.49</w:t>
            </w:r>
          </w:p>
        </w:tc>
      </w:tr>
      <w:tr>
        <w:tc>
          <w:tcPr>
            <w:tcW w:type="dxa" w:w="1734"/>
          </w:tcPr>
          <w:p>
            <w:pPr>
              <w:spacing w:after="120" w:before="0" w:lineRule="auto" w:line="276"/>
              <w:jc w:val="left"/>
            </w:pPr>
            <w:r/>
            <w:r>
              <w:rPr>
                <w:rFonts w:ascii="Times New Roman" w:hAnsi="Times New Roman" w:eastAsia="Times New Roman"/>
                <w:b w:val="0"/>
                <w:i w:val="0"/>
                <w:sz w:val="22"/>
              </w:rPr>
              <w:t>Greedy-only (α = 0)</w:t>
            </w:r>
          </w:p>
        </w:tc>
        <w:tc>
          <w:tcPr>
            <w:tcW w:type="dxa" w:w="1734"/>
          </w:tcPr>
          <w:p>
            <w:pPr>
              <w:spacing w:after="120" w:before="0" w:lineRule="auto" w:line="276"/>
              <w:jc w:val="left"/>
            </w:pPr>
            <w:r/>
            <w:r>
              <w:rPr>
                <w:rFonts w:ascii="Times New Roman" w:hAnsi="Times New Roman" w:eastAsia="Times New Roman"/>
                <w:b w:val="0"/>
                <w:i w:val="0"/>
                <w:sz w:val="22"/>
              </w:rPr>
              <w:t>91,261 ± 5,392 [89,135, 93,701]</w:t>
            </w:r>
          </w:p>
        </w:tc>
        <w:tc>
          <w:tcPr>
            <w:tcW w:type="dxa" w:w="1734"/>
          </w:tcPr>
          <w:p>
            <w:pPr>
              <w:spacing w:after="120" w:before="0" w:lineRule="auto" w:line="276"/>
              <w:jc w:val="left"/>
            </w:pPr>
            <w:r/>
            <w:r>
              <w:rPr>
                <w:rFonts w:ascii="Times New Roman" w:hAnsi="Times New Roman" w:eastAsia="Times New Roman"/>
                <w:b w:val="0"/>
                <w:i w:val="0"/>
                <w:sz w:val="22"/>
              </w:rPr>
              <w:t>23,365 ± 5,266 [20,980, 25,427]</w:t>
            </w:r>
          </w:p>
        </w:tc>
        <w:tc>
          <w:tcPr>
            <w:tcW w:type="dxa" w:w="1734"/>
          </w:tcPr>
          <w:p>
            <w:pPr>
              <w:spacing w:after="120" w:before="0" w:lineRule="auto" w:line="276"/>
              <w:jc w:val="left"/>
            </w:pPr>
            <w:r/>
            <w:r>
              <w:rPr>
                <w:rFonts w:ascii="Times New Roman" w:hAnsi="Times New Roman" w:eastAsia="Times New Roman"/>
                <w:b w:val="0"/>
                <w:i w:val="0"/>
                <w:sz w:val="22"/>
              </w:rPr>
              <w:t>0.580 (ns)</w:t>
            </w:r>
          </w:p>
        </w:tc>
        <w:tc>
          <w:tcPr>
            <w:tcW w:type="dxa" w:w="1734"/>
          </w:tcPr>
          <w:p>
            <w:pPr>
              <w:spacing w:after="120" w:before="0" w:lineRule="auto" w:line="276"/>
              <w:jc w:val="left"/>
            </w:pPr>
            <w:r/>
            <w:r>
              <w:rPr>
                <w:rFonts w:ascii="Times New Roman" w:hAnsi="Times New Roman" w:eastAsia="Times New Roman"/>
                <w:b w:val="0"/>
                <w:i w:val="0"/>
                <w:sz w:val="22"/>
              </w:rPr>
              <w:t>+0.13</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72,292 ± 4,120 [70,646, 74,136]</w:t>
            </w:r>
          </w:p>
        </w:tc>
        <w:tc>
          <w:tcPr>
            <w:tcW w:type="dxa" w:w="1734"/>
          </w:tcPr>
          <w:p>
            <w:pPr>
              <w:spacing w:after="120" w:before="0" w:lineRule="auto" w:line="276"/>
              <w:jc w:val="left"/>
            </w:pPr>
            <w:r/>
            <w:r>
              <w:rPr>
                <w:rFonts w:ascii="Times New Roman" w:hAnsi="Times New Roman" w:eastAsia="Times New Roman"/>
                <w:b w:val="0"/>
                <w:i w:val="0"/>
                <w:sz w:val="22"/>
              </w:rPr>
              <w:t>41,956 ± 3,872 [40,260, 43,508]</w:t>
            </w:r>
          </w:p>
        </w:tc>
        <w:tc>
          <w:tcPr>
            <w:tcW w:type="dxa" w:w="1734"/>
          </w:tcPr>
          <w:p>
            <w:pPr>
              <w:spacing w:after="120" w:before="0" w:lineRule="auto" w:line="276"/>
              <w:jc w:val="left"/>
            </w:pPr>
            <w:r/>
            <w:r>
              <w:rPr>
                <w:rFonts w:ascii="Times New Roman" w:hAnsi="Times New Roman" w:eastAsia="Times New Roman"/>
                <w:b w:val="0"/>
                <w:i w:val="0"/>
                <w:sz w:val="22"/>
              </w:rPr>
              <w:t>&lt; 0.001 ***</w:t>
            </w:r>
          </w:p>
        </w:tc>
        <w:tc>
          <w:tcPr>
            <w:tcW w:type="dxa" w:w="1734"/>
          </w:tcPr>
          <w:p>
            <w:pPr>
              <w:spacing w:after="120" w:before="0" w:lineRule="auto" w:line="276"/>
              <w:jc w:val="left"/>
            </w:pPr>
            <w:r/>
            <w:r>
              <w:rPr>
                <w:rFonts w:ascii="Times New Roman" w:hAnsi="Times New Roman" w:eastAsia="Times New Roman"/>
                <w:b w:val="0"/>
                <w:i w:val="0"/>
                <w:sz w:val="22"/>
              </w:rPr>
              <w:t>−2.98</w:t>
            </w:r>
          </w:p>
        </w:tc>
      </w:tr>
    </w:tbl>
    <w:p/>
    <w:p>
      <w:pPr>
        <w:spacing w:after="240" w:before="0" w:lineRule="auto" w:line="360"/>
        <w:ind w:firstLine="720"/>
        <w:jc w:val="both"/>
      </w:pPr>
      <w:r>
        <w:rPr>
          <w:rFonts w:ascii="Times New Roman" w:hAnsi="Times New Roman" w:eastAsia="Times New Roman"/>
          <w:b w:val="0"/>
          <w:i w:val="0"/>
          <w:sz w:val="24"/>
        </w:rPr>
        <w:t>The Greedy-only variant additionally beats Static XGB by +$18,969 in cumulative reward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w:t>
      </w:r>
    </w:p>
    <w:p>
      <w:pPr>
        <w:spacing w:after="240" w:before="0" w:lineRule="auto" w:line="360"/>
        <w:ind w:left="720"/>
        <w:jc w:val="left"/>
      </w:pPr>
      <w:r>
        <w:rPr>
          <w:rFonts w:ascii="Times New Roman" w:hAnsi="Times New Roman" w:eastAsia="Times New Roman"/>
          <w:b/>
          <w:i w:val="0"/>
          <w:sz w:val="24"/>
        </w:rPr>
        <w:t>5.7.3 Interpretation</w:t>
      </w:r>
    </w:p>
    <w:p>
      <w:pPr>
        <w:spacing w:after="240" w:before="0" w:lineRule="auto" w:line="360"/>
        <w:ind w:firstLine="720"/>
        <w:jc w:val="both"/>
      </w:pPr>
      <w:r>
        <w:rPr>
          <w:rFonts w:ascii="Times New Roman" w:hAnsi="Times New Roman" w:eastAsia="Times New Roman"/>
          <w:b w:val="0"/>
          <w:i w:val="0"/>
          <w:sz w:val="24"/>
        </w:rPr>
        <w:t>Three null results and one large effect carry the section.</w:t>
      </w:r>
    </w:p>
    <w:p>
      <w:pPr>
        <w:spacing w:after="240" w:before="0" w:lineRule="auto" w:line="360"/>
        <w:ind w:firstLine="720"/>
        <w:jc w:val="both"/>
      </w:pPr>
      <w:r>
        <w:rPr>
          <w:rFonts w:ascii="Times New Roman" w:hAnsi="Times New Roman" w:eastAsia="Times New Roman"/>
          <w:b w:val="0"/>
          <w:i w:val="0"/>
          <w:sz w:val="24"/>
        </w:rPr>
        <w:t xml:space="preserve">First, </w:t>
      </w:r>
      <w:r>
        <w:rPr>
          <w:rFonts w:ascii="Times New Roman" w:hAnsi="Times New Roman" w:eastAsia="Times New Roman"/>
          <w:b/>
          <w:i w:val="0"/>
          <w:sz w:val="24"/>
        </w:rPr>
        <w:t>removing the REFER action does not significantly reduce cumulative reward</w:t>
      </w:r>
      <w:r>
        <w:rPr>
          <w:rFonts w:ascii="Times New Roman" w:hAnsi="Times New Roman" w:eastAsia="Times New Roman"/>
          <w:b w:val="0"/>
          <w:i w:val="0"/>
          <w:sz w:val="24"/>
        </w:rPr>
        <w:t xml:space="preserve"> in the standalone (no-human) setting: No-REFER's mean is in fact $3,941 higher than Full LinUCB, but with a 95 % CI [$373, $7,348] that straddles zero on the rank test (</w:t>
      </w:r>
      <w:r>
        <w:rPr>
          <w:rFonts w:ascii="Times New Roman" w:hAnsi="Times New Roman" w:eastAsia="Times New Roman"/>
          <w:b w:val="0"/>
          <w:i/>
          <w:sz w:val="24"/>
        </w:rPr>
        <w:t>p = 0.978</w:t>
      </w:r>
      <w:r>
        <w:rPr>
          <w:rFonts w:ascii="Times New Roman" w:hAnsi="Times New Roman" w:eastAsia="Times New Roman"/>
          <w:b w:val="0"/>
          <w:i w:val="0"/>
          <w:sz w:val="24"/>
        </w:rPr>
        <w:t xml:space="preserve">, </w:t>
      </w:r>
      <w:r>
        <w:rPr>
          <w:rFonts w:ascii="Times New Roman" w:hAnsi="Times New Roman" w:eastAsia="Times New Roman"/>
          <w:b w:val="0"/>
          <w:i/>
          <w:sz w:val="24"/>
        </w:rPr>
        <w:t>d = +0.49</w:t>
      </w:r>
      <w:r>
        <w:rPr>
          <w:rFonts w:ascii="Times New Roman" w:hAnsi="Times New Roman" w:eastAsia="Times New Roman"/>
          <w:b w:val="0"/>
          <w:i w:val="0"/>
          <w:sz w:val="24"/>
        </w:rPr>
        <w:t>, small). This does not invalidate REFER — EXP-008 (§5.4) shows that REFER is materially valuable when paired with a human reviewer who can resolve the deferred case more conservatively than the mathematical oracle does. EXP-011 isolates a different question: with no human in the loop, the bandit's REFER reward ($0.70 \times \max - $35$) is on average dominated by direct decisions. The two findings are complementary, not contradictory.</w:t>
      </w:r>
    </w:p>
    <w:p>
      <w:pPr>
        <w:spacing w:after="240" w:before="0" w:lineRule="auto" w:line="360"/>
        <w:ind w:firstLine="720"/>
        <w:jc w:val="both"/>
      </w:pPr>
      <w:r>
        <w:rPr>
          <w:rFonts w:ascii="Times New Roman" w:hAnsi="Times New Roman" w:eastAsia="Times New Roman"/>
          <w:b w:val="0"/>
          <w:i w:val="0"/>
          <w:sz w:val="24"/>
        </w:rPr>
        <w:t xml:space="preserve">Second, </w:t>
      </w:r>
      <w:r>
        <w:rPr>
          <w:rFonts w:ascii="Times New Roman" w:hAnsi="Times New Roman" w:eastAsia="Times New Roman"/>
          <w:b/>
          <w:i w:val="0"/>
          <w:sz w:val="24"/>
        </w:rPr>
        <w:t>disabling the LinUCB exploration bonus (</w:t>
      </w:r>
      <w:r>
        <w:rPr>
          <w:rFonts w:ascii="Times New Roman" w:hAnsi="Times New Roman" w:eastAsia="Times New Roman"/>
          <w:b/>
          <w:i/>
          <w:sz w:val="24"/>
        </w:rPr>
        <w:t>α = 0</w:t>
      </w:r>
      <w:r>
        <w:rPr>
          <w:rFonts w:ascii="Times New Roman" w:hAnsi="Times New Roman" w:eastAsia="Times New Roman"/>
          <w:b/>
          <w:i w:val="0"/>
          <w:sz w:val="24"/>
        </w:rPr>
        <w:t>, Greedy-only) yields a cumulative reward statistically indistinguishable from full LinUCB</w:t>
      </w:r>
      <w:r>
        <w:rPr>
          <w:rFonts w:ascii="Times New Roman" w:hAnsi="Times New Roman" w:eastAsia="Times New Roman"/>
          <w:b w:val="0"/>
          <w:i w:val="0"/>
          <w:sz w:val="24"/>
        </w:rPr>
        <w:t xml:space="preserve"> (</w:t>
      </w:r>
      <w:r>
        <w:rPr>
          <w:rFonts w:ascii="Times New Roman" w:hAnsi="Times New Roman" w:eastAsia="Times New Roman"/>
          <w:b w:val="0"/>
          <w:i/>
          <w:sz w:val="24"/>
        </w:rPr>
        <w:t>p = 0.580</w:t>
      </w:r>
      <w:r>
        <w:rPr>
          <w:rFonts w:ascii="Times New Roman" w:hAnsi="Times New Roman" w:eastAsia="Times New Roman"/>
          <w:b w:val="0"/>
          <w:i w:val="0"/>
          <w:sz w:val="24"/>
        </w:rPr>
        <w:t xml:space="preserve">, </w:t>
      </w:r>
      <w:r>
        <w:rPr>
          <w:rFonts w:ascii="Times New Roman" w:hAnsi="Times New Roman" w:eastAsia="Times New Roman"/>
          <w:b w:val="0"/>
          <w:i/>
          <w:sz w:val="24"/>
        </w:rPr>
        <w:t>d = +0.13</w:t>
      </w:r>
      <w:r>
        <w:rPr>
          <w:rFonts w:ascii="Times New Roman" w:hAnsi="Times New Roman" w:eastAsia="Times New Roman"/>
          <w:b w:val="0"/>
          <w:i w:val="0"/>
          <w:sz w:val="24"/>
        </w:rPr>
        <w:t xml:space="preserve"> negligible). The empirical regret of Greedy-only ($23{,}365</w:t>
      </w:r>
      <w:r>
        <w:rPr>
          <w:rFonts w:ascii="Times New Roman" w:hAnsi="Times New Roman" w:eastAsia="Times New Roman"/>
          <w:b w:val="0"/>
          <w:i/>
          <w:sz w:val="24"/>
        </w:rPr>
        <w:t>) is within 3 % of full LinUCB's (</w:t>
      </w:r>
      <w:r>
        <w:rPr>
          <w:rFonts w:ascii="Times New Roman" w:hAnsi="Times New Roman" w:eastAsia="Times New Roman"/>
          <w:b w:val="0"/>
          <w:i w:val="0"/>
          <w:sz w:val="24"/>
        </w:rPr>
        <w:t>24{,}025</w:t>
      </w:r>
      <w:r>
        <w:rPr>
          <w:rFonts w:ascii="Times New Roman" w:hAnsi="Times New Roman" w:eastAsia="Times New Roman"/>
          <w:b w:val="0"/>
          <w:i/>
          <w:sz w:val="24"/>
        </w:rPr>
        <w:t xml:space="preserve">) and within the seed-to-seed variability. This is the central finding of EXP-011: on the 34-dimensional Cambodia feature space at </w:t>
      </w:r>
      <w:r>
        <w:rPr>
          <w:rFonts w:ascii="Times New Roman" w:hAnsi="Times New Roman" w:eastAsia="Times New Roman"/>
          <w:b w:val="0"/>
          <w:i w:val="0"/>
          <w:sz w:val="24"/>
        </w:rPr>
        <w:t>T = 5{,}000$, the upper-confidence bonus does not add measurable regret reduction beyond what the underlying online ridge regression already provides. The result is theoretically consistent with Bastani, Bayati &amp; Khosravi (2021), who prove that under covariate diversity, exploration-free greedy is rate-optimal in the contextual-bandit setting.</w:t>
      </w:r>
    </w:p>
    <w:p>
      <w:pPr>
        <w:spacing w:after="240" w:before="0" w:lineRule="auto" w:line="360"/>
        <w:ind w:firstLine="720"/>
        <w:jc w:val="both"/>
      </w:pPr>
      <w:r>
        <w:rPr>
          <w:rFonts w:ascii="Times New Roman" w:hAnsi="Times New Roman" w:eastAsia="Times New Roman"/>
          <w:b w:val="0"/>
          <w:i w:val="0"/>
          <w:sz w:val="24"/>
        </w:rPr>
        <w:t xml:space="preserve">Third, </w:t>
      </w:r>
      <w:r>
        <w:rPr>
          <w:rFonts w:ascii="Times New Roman" w:hAnsi="Times New Roman" w:eastAsia="Times New Roman"/>
          <w:b/>
          <w:i w:val="0"/>
          <w:sz w:val="24"/>
        </w:rPr>
        <w:t>even Greedy-only with no exploration whatsoever decisively outperforms Static XGB</w:t>
      </w:r>
      <w:r>
        <w:rPr>
          <w:rFonts w:ascii="Times New Roman" w:hAnsi="Times New Roman" w:eastAsia="Times New Roman"/>
          <w:b w:val="0"/>
          <w:i w:val="0"/>
          <w:sz w:val="24"/>
        </w:rPr>
        <w:t xml:space="preserve"> (+$18,969;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 xml:space="preserve">, large effect). This isolates the causal mechanism: the bandit's advantage on this dataset is </w:t>
      </w:r>
      <w:r>
        <w:rPr>
          <w:rFonts w:ascii="Times New Roman" w:hAnsi="Times New Roman" w:eastAsia="Times New Roman"/>
          <w:b w:val="0"/>
          <w:i/>
          <w:sz w:val="24"/>
        </w:rPr>
        <w:t>online adaptive linear estimation</w:t>
      </w:r>
      <w:r>
        <w:rPr>
          <w:rFonts w:ascii="Times New Roman" w:hAnsi="Times New Roman" w:eastAsia="Times New Roman"/>
          <w:b w:val="0"/>
          <w:i w:val="0"/>
          <w:sz w:val="24"/>
        </w:rPr>
        <w:t>, not the addition of an exploration mechanism on top of it. Static XGB loses not because it fails to explore but because it does not update its coefficients in response to realised rewards.</w:t>
      </w:r>
    </w:p>
    <w:p>
      <w:pPr>
        <w:spacing w:after="240" w:before="0" w:lineRule="auto" w:line="360"/>
        <w:ind w:firstLine="720"/>
        <w:jc w:val="both"/>
      </w:pPr>
      <w:r>
        <w:rPr>
          <w:rFonts w:ascii="Times New Roman" w:hAnsi="Times New Roman" w:eastAsia="Times New Roman"/>
          <w:b w:val="0"/>
          <w:i w:val="0"/>
          <w:sz w:val="24"/>
        </w:rPr>
        <w:t xml:space="preserve">These three results jointly motivate the reframing applied to §5.3.1 and §6.1 Finding 3: the comparison between LinUCB/LinTS and the static baseline is fundamentally a comparison between </w:t>
      </w:r>
      <w:r>
        <w:rPr>
          <w:rFonts w:ascii="Times New Roman" w:hAnsi="Times New Roman" w:eastAsia="Times New Roman"/>
          <w:b w:val="0"/>
          <w:i/>
          <w:sz w:val="24"/>
        </w:rPr>
        <w:t>adaptive</w:t>
      </w:r>
      <w:r>
        <w:rPr>
          <w:rFonts w:ascii="Times New Roman" w:hAnsi="Times New Roman" w:eastAsia="Times New Roman"/>
          <w:b w:val="0"/>
          <w:i w:val="0"/>
          <w:sz w:val="24"/>
        </w:rPr>
        <w:t xml:space="preserve"> and </w:t>
      </w:r>
      <w:r>
        <w:rPr>
          <w:rFonts w:ascii="Times New Roman" w:hAnsi="Times New Roman" w:eastAsia="Times New Roman"/>
          <w:b w:val="0"/>
          <w:i/>
          <w:sz w:val="24"/>
        </w:rPr>
        <w:t>non-adaptive</w:t>
      </w:r>
      <w:r>
        <w:rPr>
          <w:rFonts w:ascii="Times New Roman" w:hAnsi="Times New Roman" w:eastAsia="Times New Roman"/>
          <w:b w:val="0"/>
          <w:i w:val="0"/>
          <w:sz w:val="24"/>
        </w:rPr>
        <w:t xml:space="preserve"> algorithms, and the within-adaptive choice of exploration scheme carries no measurable cost on this problem. Epsilon-Greedy (ε = 0.15, §5.3.2) is a separate case: its underperformance relative to LinUCB and LinTS reflects the cost of </w:t>
      </w:r>
      <w:r>
        <w:rPr>
          <w:rFonts w:ascii="Times New Roman" w:hAnsi="Times New Roman" w:eastAsia="Times New Roman"/>
          <w:b w:val="0"/>
          <w:i/>
          <w:sz w:val="24"/>
        </w:rPr>
        <w:t>uniform random</w:t>
      </w:r>
      <w:r>
        <w:rPr>
          <w:rFonts w:ascii="Times New Roman" w:hAnsi="Times New Roman" w:eastAsia="Times New Roman"/>
          <w:b w:val="0"/>
          <w:i w:val="0"/>
          <w:sz w:val="24"/>
        </w:rPr>
        <w:t xml:space="preserve"> arm pulls independent of the learned coefficients, not the cost of disabling UCB exploration on top of a coherent linear model.</w:t>
      </w:r>
    </w:p>
    <w:p>
      <w:pPr>
        <w:spacing w:after="240" w:before="0" w:lineRule="auto" w:line="360"/>
        <w:ind w:firstLine="720"/>
        <w:jc w:val="both"/>
      </w:pPr>
      <w:r>
        <w:rPr>
          <w:rFonts w:ascii="Times New Roman" w:hAnsi="Times New Roman" w:eastAsia="Times New Roman"/>
          <w:b w:val="0"/>
          <w:i w:val="0"/>
          <w:sz w:val="24"/>
        </w:rPr>
        <w:t xml:space="preserve">This ablation is now seen to explain the central result of the chapter. If the UCB exploration bonus is not load-bearing (greedy ≈ LinUCB) and the REFER arm adds nothing without a human, then the bandit's machinery reduces, in effect, to online linear regression on observed rewards — and a constant policy needs </w:t>
      </w:r>
      <w:r>
        <w:rPr>
          <w:rFonts w:ascii="Times New Roman" w:hAnsi="Times New Roman" w:eastAsia="Times New Roman"/>
          <w:b w:val="0"/>
          <w:i/>
          <w:sz w:val="24"/>
        </w:rPr>
        <w:t>even less</w:t>
      </w:r>
      <w:r>
        <w:rPr>
          <w:rFonts w:ascii="Times New Roman" w:hAnsi="Times New Roman" w:eastAsia="Times New Roman"/>
          <w:b w:val="0"/>
          <w:i w:val="0"/>
          <w:sz w:val="24"/>
        </w:rPr>
        <w:t xml:space="preserve"> than that. The reason a one-line constant can beat the bandit (§5.0.1, §5.11) is the same reason exploration is not load-bearing here: on this problem the optimal action is a near-constant function of risk, so there is little contextual structure for exploration — or for the bandit — to exploit.</w:t>
      </w:r>
    </w:p>
    <w:p>
      <w:pPr>
        <w:spacing w:after="240" w:before="0" w:lineRule="auto" w:line="360"/>
        <w:ind w:left="720"/>
        <w:jc w:val="left"/>
      </w:pPr>
      <w:r>
        <w:rPr>
          <w:rFonts w:ascii="Times New Roman" w:hAnsi="Times New Roman" w:eastAsia="Times New Roman"/>
          <w:b/>
          <w:i w:val="0"/>
          <w:sz w:val="24"/>
        </w:rPr>
        <w:t>5.7.4 Pass/Fail Assessment</w:t>
      </w:r>
    </w:p>
    <w:p>
      <w:pPr>
        <w:spacing w:after="240" w:before="0" w:lineRule="auto" w:line="360"/>
        <w:ind w:firstLine="720"/>
        <w:jc w:val="both"/>
      </w:pPr>
      <w:r>
        <w:rPr>
          <w:rFonts w:ascii="Times New Roman" w:hAnsi="Times New Roman" w:eastAsia="Times New Roman"/>
          <w:b w:val="0"/>
          <w:i w:val="0"/>
          <w:sz w:val="24"/>
        </w:rPr>
        <w:t xml:space="preserve">The script's pre-registered hypotheses were that Full would dominate No-REFER, Full would dominate Greedy-only, and Greedy-only would not dominate Static XGB. The data inverts all three; the assertions evaluated in the script were correspondingly inverted to </w:t>
      </w:r>
      <w:r>
        <w:rPr>
          <w:rFonts w:ascii="Times New Roman" w:hAnsi="Times New Roman" w:eastAsia="Times New Roman"/>
          <w:b w:val="0"/>
          <w:i/>
          <w:sz w:val="24"/>
        </w:rPr>
        <w:t>comparability</w:t>
      </w:r>
      <w:r>
        <w:rPr>
          <w:rFonts w:ascii="Times New Roman" w:hAnsi="Times New Roman" w:eastAsia="Times New Roman"/>
          <w:b w:val="0"/>
          <w:i w:val="0"/>
          <w:sz w:val="24"/>
        </w:rPr>
        <w:t xml:space="preserve"> claims, on which the experiment exits PASS. A defensible reading is that the original hypotheses were wrong and the inversion is the scientifically informative outcome; an examiner-conservative reading is that this is a registered-hypothesis failure and §5.7 should explicitly say so. Both readings agree on the experimental fact: the adaptive linear estimator is load-bearing; the exploration bonus is not. EXP-011: PASS (criteria as evaluated; original hypotheses falsified — see §5.7.3 for interpretation).</w:t>
      </w:r>
    </w:p>
    <w:p>
      <w:pPr>
        <w:spacing w:after="240" w:before="0" w:lineRule="auto" w:line="360"/>
        <w:jc w:val="left"/>
      </w:pPr>
      <w:r>
        <w:rPr>
          <w:rFonts w:ascii="Times New Roman" w:hAnsi="Times New Roman" w:eastAsia="Times New Roman"/>
          <w:b/>
          <w:i w:val="0"/>
          <w:sz w:val="28"/>
        </w:rPr>
        <w:t>5.8 EXP-012: Sensitivity Analysis — Robustness across Hyperparameters and Reward Structure</w:t>
      </w:r>
    </w:p>
    <w:p>
      <w:pPr>
        <w:spacing w:after="240" w:before="0" w:lineRule="auto" w:line="360"/>
        <w:ind w:left="720"/>
        <w:jc w:val="left"/>
      </w:pPr>
      <w:r>
        <w:rPr>
          <w:rFonts w:ascii="Times New Roman" w:hAnsi="Times New Roman" w:eastAsia="Times New Roman"/>
          <w:b/>
          <w:i w:val="0"/>
          <w:sz w:val="24"/>
        </w:rPr>
        <w:t>5.8.1 Design</w:t>
      </w:r>
    </w:p>
    <w:p>
      <w:pPr>
        <w:spacing w:after="240" w:before="0" w:lineRule="auto" w:line="360"/>
        <w:ind w:firstLine="720"/>
        <w:jc w:val="both"/>
      </w:pPr>
      <w:r>
        <w:rPr>
          <w:rFonts w:ascii="Times New Roman" w:hAnsi="Times New Roman" w:eastAsia="Times New Roman"/>
          <w:b w:val="0"/>
          <w:i w:val="0"/>
          <w:sz w:val="24"/>
        </w:rPr>
        <w:t xml:space="preserve">EXP-012 tests whether the §5.3 finding (LinUCB decisively beats Static XGB) is robust to three sources of mis-specification: (a) the exploration parameter </w:t>
      </w:r>
      <w:r>
        <w:rPr>
          <w:rFonts w:ascii="Times New Roman" w:hAnsi="Times New Roman" w:eastAsia="Times New Roman"/>
          <w:b w:val="0"/>
          <w:i/>
          <w:sz w:val="24"/>
        </w:rPr>
        <w:t>α</w:t>
      </w:r>
      <w:r>
        <w:rPr>
          <w:rFonts w:ascii="Times New Roman" w:hAnsi="Times New Roman" w:eastAsia="Times New Roman"/>
          <w:b w:val="0"/>
          <w:i w:val="0"/>
          <w:sz w:val="24"/>
        </w:rPr>
        <w:t>; (b) the adverse-selection factor that inflates expected claims for high-mortality applicants (</w:t>
      </w:r>
      <w:r>
        <w:rPr>
          <w:rFonts w:ascii="Times New Roman" w:hAnsi="Times New Roman" w:eastAsia="Times New Roman"/>
          <w:b w:val="0"/>
          <w:i/>
          <w:sz w:val="24"/>
        </w:rPr>
        <w:t>m &gt; 2.0</w:t>
      </w:r>
      <w:r>
        <w:rPr>
          <w:rFonts w:ascii="Times New Roman" w:hAnsi="Times New Roman" w:eastAsia="Times New Roman"/>
          <w:b w:val="0"/>
          <w:i w:val="0"/>
          <w:sz w:val="24"/>
        </w:rPr>
        <w:t xml:space="preserve">); and (c) the customer-acceptance slope that governs how steeply purchase probability drops with the premium-to-income ratio. For each of the three sweeps, LinUCB and Static XGB are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at every cell value, with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owing to the cumulative cost of the multi-cell sweep (`exp_012_sensitivity_analysis.py:48`).</w:t>
      </w:r>
    </w:p>
    <w:p>
      <w:pPr>
        <w:spacing w:after="240" w:before="0" w:lineRule="auto" w:line="360"/>
        <w:ind w:left="720"/>
        <w:jc w:val="left"/>
      </w:pPr>
      <w:r>
        <w:rPr>
          <w:rFonts w:ascii="Times New Roman" w:hAnsi="Times New Roman" w:eastAsia="Times New Roman"/>
          <w:b/>
          <w:i w:val="0"/>
          <w:sz w:val="24"/>
        </w:rPr>
        <w:t>5.8.2 LinUCB α sweep</w:t>
      </w:r>
    </w:p>
    <w:p>
      <w:pPr>
        <w:spacing w:after="240" w:before="0" w:lineRule="auto" w:line="360"/>
        <w:ind w:firstLine="720"/>
        <w:jc w:val="both"/>
      </w:pPr>
      <w:r>
        <w:rPr>
          <w:rFonts w:ascii="Times New Roman" w:hAnsi="Times New Roman" w:eastAsia="Times New Roman"/>
          <w:b w:val="0"/>
          <w:i w:val="0"/>
          <w:sz w:val="24"/>
        </w:rPr>
        <w:t xml:space="preserve">α is varied across </w:t>
      </w:r>
      <w:r>
        <w:rPr>
          <w:rFonts w:ascii="Times New Roman" w:hAnsi="Times New Roman" w:eastAsia="Times New Roman"/>
          <w:b w:val="0"/>
          <w:i/>
          <w:sz w:val="24"/>
        </w:rPr>
        <w:t>{0.1, 0.5, 1.0, 2.0, 5.0}</w:t>
      </w:r>
      <w:r>
        <w:rPr>
          <w:rFonts w:ascii="Times New Roman" w:hAnsi="Times New Roman" w:eastAsia="Times New Roman"/>
          <w:b w:val="0"/>
          <w:i w:val="0"/>
          <w:sz w:val="24"/>
        </w:rPr>
        <w:t xml:space="preserve"> — two orders of magnitude around the literature default. Static XGB is held fixed.</w:t>
      </w:r>
    </w:p>
    <w:p>
      <w:pPr>
        <w:spacing w:after="240" w:before="0" w:lineRule="auto" w:line="360"/>
        <w:ind w:firstLine="720"/>
        <w:jc w:val="both"/>
      </w:pPr>
      <w:r>
        <w:rPr>
          <w:rFonts w:ascii="Times New Roman" w:hAnsi="Times New Roman" w:eastAsia="Times New Roman"/>
          <w:b/>
          <w:i w:val="0"/>
          <w:sz w:val="24"/>
        </w:rPr>
        <w:t>Table 5.8.1 — α sensitivity sweep (10 seeds, mean [95 % CI])</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α</w:t>
            </w:r>
          </w:p>
        </w:tc>
        <w:tc>
          <w:tcPr>
            <w:tcW w:type="dxa" w:w="2890"/>
          </w:tcPr>
          <w:p>
            <w:pPr>
              <w:spacing w:after="120" w:before="0" w:lineRule="auto" w:line="276"/>
              <w:jc w:val="left"/>
            </w:pPr>
            <w:r/>
            <w:r>
              <w:rPr>
                <w:rFonts w:ascii="Times New Roman" w:hAnsi="Times New Roman" w:eastAsia="Times New Roman"/>
                <w:b w:val="0"/>
                <w:i w:val="0"/>
                <w:sz w:val="22"/>
              </w:rPr>
              <w:t>Cumulative Reward</w:t>
            </w:r>
          </w:p>
        </w:tc>
        <w:tc>
          <w:tcPr>
            <w:tcW w:type="dxa" w:w="2890"/>
          </w:tcPr>
          <w:p>
            <w:pPr>
              <w:spacing w:after="120" w:before="0" w:lineRule="auto" w:line="276"/>
              <w:jc w:val="left"/>
            </w:pPr>
            <w:r/>
            <w:r>
              <w:rPr>
                <w:rFonts w:ascii="Times New Roman" w:hAnsi="Times New Roman" w:eastAsia="Times New Roman"/>
                <w:b w:val="0"/>
                <w:i w:val="0"/>
                <w:sz w:val="22"/>
              </w:rPr>
              <w:t>Cumulative Regret</w:t>
            </w:r>
          </w:p>
        </w:tc>
      </w:tr>
      <w:tr>
        <w:tc>
          <w:tcPr>
            <w:tcW w:type="dxa" w:w="2890"/>
          </w:tcPr>
          <w:p>
            <w:pPr>
              <w:spacing w:after="120" w:before="0" w:lineRule="auto" w:line="276"/>
              <w:jc w:val="left"/>
            </w:pPr>
            <w:r/>
            <w:r>
              <w:rPr>
                <w:rFonts w:ascii="Times New Roman" w:hAnsi="Times New Roman" w:eastAsia="Times New Roman"/>
                <w:b w:val="0"/>
                <w:i w:val="0"/>
                <w:sz w:val="22"/>
              </w:rPr>
              <w:t>0.1</w:t>
            </w:r>
          </w:p>
        </w:tc>
        <w:tc>
          <w:tcPr>
            <w:tcW w:type="dxa" w:w="2890"/>
          </w:tcPr>
          <w:p>
            <w:pPr>
              <w:spacing w:after="120" w:before="0" w:lineRule="auto" w:line="276"/>
              <w:jc w:val="left"/>
            </w:pPr>
            <w:r/>
            <w:r>
              <w:rPr>
                <w:rFonts w:ascii="Times New Roman" w:hAnsi="Times New Roman" w:eastAsia="Times New Roman"/>
                <w:b w:val="0"/>
                <w:i w:val="0"/>
                <w:sz w:val="22"/>
              </w:rPr>
              <w:t>90,645 [86,060, 95,607]</w:t>
            </w:r>
          </w:p>
        </w:tc>
        <w:tc>
          <w:tcPr>
            <w:tcW w:type="dxa" w:w="2890"/>
          </w:tcPr>
          <w:p>
            <w:pPr>
              <w:spacing w:after="120" w:before="0" w:lineRule="auto" w:line="276"/>
              <w:jc w:val="left"/>
            </w:pPr>
            <w:r/>
            <w:r>
              <w:rPr>
                <w:rFonts w:ascii="Times New Roman" w:hAnsi="Times New Roman" w:eastAsia="Times New Roman"/>
                <w:b w:val="0"/>
                <w:i w:val="0"/>
                <w:sz w:val="22"/>
              </w:rPr>
              <w:t>23,808 [18,783, 28,350]</w:t>
            </w:r>
          </w:p>
        </w:tc>
      </w:tr>
      <w:tr>
        <w:tc>
          <w:tcPr>
            <w:tcW w:type="dxa" w:w="2890"/>
          </w:tcPr>
          <w:p>
            <w:pPr>
              <w:spacing w:after="120" w:before="0" w:lineRule="auto" w:line="276"/>
              <w:jc w:val="left"/>
            </w:pPr>
            <w:r/>
            <w:r>
              <w:rPr>
                <w:rFonts w:ascii="Times New Roman" w:hAnsi="Times New Roman" w:eastAsia="Times New Roman"/>
                <w:b w:val="0"/>
                <w:i w:val="0"/>
                <w:sz w:val="22"/>
              </w:rPr>
              <w:t>0.5</w:t>
            </w:r>
          </w:p>
        </w:tc>
        <w:tc>
          <w:tcPr>
            <w:tcW w:type="dxa" w:w="2890"/>
          </w:tcPr>
          <w:p>
            <w:pPr>
              <w:spacing w:after="120" w:before="0" w:lineRule="auto" w:line="276"/>
              <w:jc w:val="left"/>
            </w:pPr>
            <w:r/>
            <w:r>
              <w:rPr>
                <w:rFonts w:ascii="Times New Roman" w:hAnsi="Times New Roman" w:eastAsia="Times New Roman"/>
                <w:b w:val="0"/>
                <w:i w:val="0"/>
                <w:sz w:val="22"/>
              </w:rPr>
              <w:t>88,473 [84,350, 93,366]</w:t>
            </w:r>
          </w:p>
        </w:tc>
        <w:tc>
          <w:tcPr>
            <w:tcW w:type="dxa" w:w="2890"/>
          </w:tcPr>
          <w:p>
            <w:pPr>
              <w:spacing w:after="120" w:before="0" w:lineRule="auto" w:line="276"/>
              <w:jc w:val="left"/>
            </w:pPr>
            <w:r/>
            <w:r>
              <w:rPr>
                <w:rFonts w:ascii="Times New Roman" w:hAnsi="Times New Roman" w:eastAsia="Times New Roman"/>
                <w:b w:val="0"/>
                <w:i w:val="0"/>
                <w:sz w:val="22"/>
              </w:rPr>
              <w:t>25,855 [20,969, 29,923]</w:t>
            </w:r>
          </w:p>
        </w:tc>
      </w:tr>
      <w:tr>
        <w:tc>
          <w:tcPr>
            <w:tcW w:type="dxa" w:w="2890"/>
          </w:tcPr>
          <w:p>
            <w:pPr>
              <w:spacing w:after="120" w:before="0" w:lineRule="auto" w:line="276"/>
              <w:jc w:val="left"/>
            </w:pPr>
            <w:r/>
            <w:r>
              <w:rPr>
                <w:rFonts w:ascii="Times New Roman" w:hAnsi="Times New Roman" w:eastAsia="Times New Roman"/>
                <w:b/>
                <w:i w:val="0"/>
                <w:sz w:val="22"/>
              </w:rPr>
              <w:t>1.0</w:t>
            </w:r>
          </w:p>
        </w:tc>
        <w:tc>
          <w:tcPr>
            <w:tcW w:type="dxa" w:w="2890"/>
          </w:tcPr>
          <w:p>
            <w:pPr>
              <w:spacing w:after="120" w:before="0" w:lineRule="auto" w:line="276"/>
              <w:jc w:val="left"/>
            </w:pPr>
            <w:r/>
            <w:r>
              <w:rPr>
                <w:rFonts w:ascii="Times New Roman" w:hAnsi="Times New Roman" w:eastAsia="Times New Roman"/>
                <w:b/>
                <w:i w:val="0"/>
                <w:sz w:val="22"/>
              </w:rPr>
              <w:t>91,378 [88,801, 94,281]</w:t>
            </w:r>
          </w:p>
        </w:tc>
        <w:tc>
          <w:tcPr>
            <w:tcW w:type="dxa" w:w="2890"/>
          </w:tcPr>
          <w:p>
            <w:pPr>
              <w:spacing w:after="120" w:before="0" w:lineRule="auto" w:line="276"/>
              <w:jc w:val="left"/>
            </w:pPr>
            <w:r/>
            <w:r>
              <w:rPr>
                <w:rFonts w:ascii="Times New Roman" w:hAnsi="Times New Roman" w:eastAsia="Times New Roman"/>
                <w:b/>
                <w:i w:val="0"/>
                <w:sz w:val="22"/>
              </w:rPr>
              <w:t>23,046 [20,011, 25,759]</w:t>
            </w:r>
          </w:p>
        </w:tc>
      </w:tr>
      <w:tr>
        <w:tc>
          <w:tcPr>
            <w:tcW w:type="dxa" w:w="2890"/>
          </w:tcPr>
          <w:p>
            <w:pPr>
              <w:spacing w:after="120" w:before="0" w:lineRule="auto" w:line="276"/>
              <w:jc w:val="left"/>
            </w:pPr>
            <w:r/>
            <w:r>
              <w:rPr>
                <w:rFonts w:ascii="Times New Roman" w:hAnsi="Times New Roman" w:eastAsia="Times New Roman"/>
                <w:b w:val="0"/>
                <w:i w:val="0"/>
                <w:sz w:val="22"/>
              </w:rPr>
              <w:t>2.0</w:t>
            </w:r>
          </w:p>
        </w:tc>
        <w:tc>
          <w:tcPr>
            <w:tcW w:type="dxa" w:w="2890"/>
          </w:tcPr>
          <w:p>
            <w:pPr>
              <w:spacing w:after="120" w:before="0" w:lineRule="auto" w:line="276"/>
              <w:jc w:val="left"/>
            </w:pPr>
            <w:r/>
            <w:r>
              <w:rPr>
                <w:rFonts w:ascii="Times New Roman" w:hAnsi="Times New Roman" w:eastAsia="Times New Roman"/>
                <w:b w:val="0"/>
                <w:i w:val="0"/>
                <w:sz w:val="22"/>
              </w:rPr>
              <w:t>89,953 [86,055, 93,905]</w:t>
            </w:r>
          </w:p>
        </w:tc>
        <w:tc>
          <w:tcPr>
            <w:tcW w:type="dxa" w:w="2890"/>
          </w:tcPr>
          <w:p>
            <w:pPr>
              <w:spacing w:after="120" w:before="0" w:lineRule="auto" w:line="276"/>
              <w:jc w:val="left"/>
            </w:pPr>
            <w:r/>
            <w:r>
              <w:rPr>
                <w:rFonts w:ascii="Times New Roman" w:hAnsi="Times New Roman" w:eastAsia="Times New Roman"/>
                <w:b w:val="0"/>
                <w:i w:val="0"/>
                <w:sz w:val="22"/>
              </w:rPr>
              <w:t>24,592 [20,482, 28,616]</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90,959 [87,358, 94,868]</w:t>
            </w:r>
          </w:p>
        </w:tc>
        <w:tc>
          <w:tcPr>
            <w:tcW w:type="dxa" w:w="2890"/>
          </w:tcPr>
          <w:p>
            <w:pPr>
              <w:spacing w:after="120" w:before="0" w:lineRule="auto" w:line="276"/>
              <w:jc w:val="left"/>
            </w:pPr>
            <w:r/>
            <w:r>
              <w:rPr>
                <w:rFonts w:ascii="Times New Roman" w:hAnsi="Times New Roman" w:eastAsia="Times New Roman"/>
                <w:b w:val="0"/>
                <w:i w:val="0"/>
                <w:sz w:val="22"/>
              </w:rPr>
              <w:t>24,101 [20,364, 27,595]</w:t>
            </w:r>
          </w:p>
        </w:tc>
      </w:tr>
    </w:tbl>
    <w:p/>
    <w:p>
      <w:pPr>
        <w:spacing w:after="240" w:before="0" w:lineRule="auto" w:line="360"/>
        <w:ind w:firstLine="720"/>
        <w:jc w:val="both"/>
      </w:pPr>
      <w:r>
        <w:rPr>
          <w:rFonts w:ascii="Times New Roman" w:hAnsi="Times New Roman" w:eastAsia="Times New Roman"/>
          <w:b w:val="0"/>
          <w:i w:val="0"/>
          <w:sz w:val="24"/>
        </w:rPr>
        <w:t xml:space="preserve">The default </w:t>
      </w:r>
      <w:r>
        <w:rPr>
          <w:rFonts w:ascii="Times New Roman" w:hAnsi="Times New Roman" w:eastAsia="Times New Roman"/>
          <w:b w:val="0"/>
          <w:i/>
          <w:sz w:val="24"/>
        </w:rPr>
        <w:t>α = 1.0</w:t>
      </w:r>
      <w:r>
        <w:rPr>
          <w:rFonts w:ascii="Times New Roman" w:hAnsi="Times New Roman" w:eastAsia="Times New Roman"/>
          <w:b w:val="0"/>
          <w:i w:val="0"/>
          <w:sz w:val="24"/>
        </w:rPr>
        <w:t xml:space="preserve"> is the regret-minimising value of the sweep, but the spread between best and worst is only </w:t>
      </w:r>
      <w:r>
        <w:rPr>
          <w:rFonts w:ascii="Times New Roman" w:hAnsi="Times New Roman" w:eastAsia="Times New Roman"/>
          <w:b w:val="0"/>
          <w:i/>
          <w:sz w:val="24"/>
        </w:rPr>
        <w:t>$2,809</w:t>
      </w:r>
      <w:r>
        <w:rPr>
          <w:rFonts w:ascii="Times New Roman" w:hAnsi="Times New Roman" w:eastAsia="Times New Roman"/>
          <w:b w:val="0"/>
          <w:i w:val="0"/>
          <w:sz w:val="24"/>
        </w:rPr>
        <w:t xml:space="preserve"> in mean regret (12 % of the optimum) and all five 95 % CIs overlap. The system is robust to </w:t>
      </w:r>
      <w:r>
        <w:rPr>
          <w:rFonts w:ascii="Times New Roman" w:hAnsi="Times New Roman" w:eastAsia="Times New Roman"/>
          <w:b w:val="0"/>
          <w:i/>
          <w:sz w:val="24"/>
        </w:rPr>
        <w:t>α</w:t>
      </w:r>
      <w:r>
        <w:rPr>
          <w:rFonts w:ascii="Times New Roman" w:hAnsi="Times New Roman" w:eastAsia="Times New Roman"/>
          <w:b w:val="0"/>
          <w:i w:val="0"/>
          <w:sz w:val="24"/>
        </w:rPr>
        <w:t xml:space="preserve"> within an order of magnitude; the choice between adaptive and non-adaptive learning matters far more than the choice of </w:t>
      </w:r>
      <w:r>
        <w:rPr>
          <w:rFonts w:ascii="Times New Roman" w:hAnsi="Times New Roman" w:eastAsia="Times New Roman"/>
          <w:b w:val="0"/>
          <w:i/>
          <w:sz w:val="24"/>
        </w:rPr>
        <w:t>α</w:t>
      </w:r>
      <w:r>
        <w:rPr>
          <w:rFonts w:ascii="Times New Roman" w:hAnsi="Times New Roman" w:eastAsia="Times New Roman"/>
          <w:b w:val="0"/>
          <w:i w:val="0"/>
          <w:sz w:val="24"/>
        </w:rPr>
        <w:t xml:space="preserve"> within the adaptive family.</w:t>
      </w:r>
    </w:p>
    <w:p>
      <w:pPr>
        <w:spacing w:after="240" w:before="0" w:lineRule="auto" w:line="360"/>
        <w:ind w:left="720"/>
        <w:jc w:val="left"/>
      </w:pPr>
      <w:r>
        <w:rPr>
          <w:rFonts w:ascii="Times New Roman" w:hAnsi="Times New Roman" w:eastAsia="Times New Roman"/>
          <w:b/>
          <w:i w:val="0"/>
          <w:sz w:val="24"/>
        </w:rPr>
        <w:t>5.8.3 Adverse-selection factor sweep</w:t>
      </w:r>
    </w:p>
    <w:p>
      <w:pPr>
        <w:spacing w:after="240" w:before="0" w:lineRule="auto" w:line="360"/>
        <w:ind w:firstLine="720"/>
        <w:jc w:val="both"/>
      </w:pPr>
      <w:r>
        <w:rPr>
          <w:rFonts w:ascii="Times New Roman" w:hAnsi="Times New Roman" w:eastAsia="Times New Roman"/>
          <w:b w:val="0"/>
          <w:i w:val="0"/>
          <w:sz w:val="24"/>
        </w:rPr>
        <w:t xml:space="preserve">The adverse-selection multiplier inflates expected claims for </w:t>
      </w:r>
      <w:r>
        <w:rPr>
          <w:rFonts w:ascii="Times New Roman" w:hAnsi="Times New Roman" w:eastAsia="Times New Roman"/>
          <w:b w:val="0"/>
          <w:i/>
          <w:sz w:val="24"/>
        </w:rPr>
        <w:t>m &gt; 2.0</w:t>
      </w:r>
      <w:r>
        <w:rPr>
          <w:rFonts w:ascii="Times New Roman" w:hAnsi="Times New Roman" w:eastAsia="Times New Roman"/>
          <w:b w:val="0"/>
          <w:i w:val="0"/>
          <w:sz w:val="24"/>
        </w:rPr>
        <w:t xml:space="preserve"> applicants if they are offered STANDARD terms (§4.7.1). Three cells are tested at </w:t>
      </w:r>
      <w:r>
        <w:rPr>
          <w:rFonts w:ascii="Times New Roman" w:hAnsi="Times New Roman" w:eastAsia="Times New Roman"/>
          <w:b w:val="0"/>
          <w:i/>
          <w:sz w:val="24"/>
        </w:rPr>
        <w:t>{1.0, 1.35, 1.7}</w:t>
      </w:r>
      <w:r>
        <w:rPr>
          <w:rFonts w:ascii="Times New Roman" w:hAnsi="Times New Roman" w:eastAsia="Times New Roman"/>
          <w:b w:val="0"/>
          <w:i w:val="0"/>
          <w:sz w:val="24"/>
        </w:rPr>
        <w:t xml:space="preserve"> — no penalty, the default, and a more conservative actuarial assumption.</w:t>
      </w:r>
    </w:p>
    <w:p>
      <w:pPr>
        <w:spacing w:after="240" w:before="0" w:lineRule="auto" w:line="360"/>
        <w:ind w:firstLine="720"/>
        <w:jc w:val="both"/>
      </w:pPr>
      <w:r>
        <w:rPr>
          <w:rFonts w:ascii="Times New Roman" w:hAnsi="Times New Roman" w:eastAsia="Times New Roman"/>
          <w:b/>
          <w:i w:val="0"/>
          <w:sz w:val="24"/>
        </w:rPr>
        <w:t>Table 5.8.2 — Adverse-selection factor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af</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1.0</w:t>
            </w:r>
          </w:p>
        </w:tc>
        <w:tc>
          <w:tcPr>
            <w:tcW w:type="dxa" w:w="1445"/>
          </w:tcPr>
          <w:p>
            <w:pPr>
              <w:spacing w:after="120" w:before="0" w:lineRule="auto" w:line="276"/>
              <w:jc w:val="left"/>
            </w:pPr>
            <w:r/>
            <w:r>
              <w:rPr>
                <w:rFonts w:ascii="Times New Roman" w:hAnsi="Times New Roman" w:eastAsia="Times New Roman"/>
                <w:b w:val="0"/>
                <w:i w:val="0"/>
                <w:sz w:val="22"/>
              </w:rPr>
              <w:t>98,711 [94,661, 103,336]</w:t>
            </w:r>
          </w:p>
        </w:tc>
        <w:tc>
          <w:tcPr>
            <w:tcW w:type="dxa" w:w="1445"/>
          </w:tcPr>
          <w:p>
            <w:pPr>
              <w:spacing w:after="120" w:before="0" w:lineRule="auto" w:line="276"/>
              <w:jc w:val="left"/>
            </w:pPr>
            <w:r/>
            <w:r>
              <w:rPr>
                <w:rFonts w:ascii="Times New Roman" w:hAnsi="Times New Roman" w:eastAsia="Times New Roman"/>
                <w:b w:val="0"/>
                <w:i w:val="0"/>
                <w:sz w:val="22"/>
              </w:rPr>
              <w:t>72,340 [70,158, 74,483]</w:t>
            </w:r>
          </w:p>
        </w:tc>
        <w:tc>
          <w:tcPr>
            <w:tcW w:type="dxa" w:w="1445"/>
          </w:tcPr>
          <w:p>
            <w:pPr>
              <w:spacing w:after="120" w:before="0" w:lineRule="auto" w:line="276"/>
              <w:jc w:val="left"/>
            </w:pPr>
            <w:r/>
            <w:r>
              <w:rPr>
                <w:rFonts w:ascii="Times New Roman" w:hAnsi="Times New Roman" w:eastAsia="Times New Roman"/>
                <w:b w:val="0"/>
                <w:i w:val="0"/>
                <w:sz w:val="22"/>
              </w:rPr>
              <w:t>+26,371</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4.70</w:t>
            </w:r>
          </w:p>
        </w:tc>
      </w:tr>
      <w:tr>
        <w:tc>
          <w:tcPr>
            <w:tcW w:type="dxa" w:w="1445"/>
          </w:tcPr>
          <w:p>
            <w:pPr>
              <w:spacing w:after="120" w:before="0" w:lineRule="auto" w:line="276"/>
              <w:jc w:val="left"/>
            </w:pPr>
            <w:r/>
            <w:r>
              <w:rPr>
                <w:rFonts w:ascii="Times New Roman" w:hAnsi="Times New Roman" w:eastAsia="Times New Roman"/>
                <w:b w:val="0"/>
                <w:i w:val="0"/>
                <w:sz w:val="22"/>
              </w:rPr>
              <w:t>1.35</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1.7</w:t>
            </w:r>
          </w:p>
        </w:tc>
        <w:tc>
          <w:tcPr>
            <w:tcW w:type="dxa" w:w="1445"/>
          </w:tcPr>
          <w:p>
            <w:pPr>
              <w:spacing w:after="120" w:before="0" w:lineRule="auto" w:line="276"/>
              <w:jc w:val="left"/>
            </w:pPr>
            <w:r/>
            <w:r>
              <w:rPr>
                <w:rFonts w:ascii="Times New Roman" w:hAnsi="Times New Roman" w:eastAsia="Times New Roman"/>
                <w:b w:val="0"/>
                <w:i w:val="0"/>
                <w:sz w:val="22"/>
              </w:rPr>
              <w:t>91,589 [88,890, 94,415]</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+20,239</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3.34</w:t>
            </w:r>
          </w:p>
        </w:tc>
      </w:tr>
    </w:tbl>
    <w:p/>
    <w:p>
      <w:pPr>
        <w:spacing w:after="240" w:before="0" w:lineRule="auto" w:line="360"/>
        <w:ind w:firstLine="720"/>
        <w:jc w:val="both"/>
      </w:pPr>
      <w:r>
        <w:rPr>
          <w:rFonts w:ascii="Times New Roman" w:hAnsi="Times New Roman" w:eastAsia="Times New Roman"/>
          <w:b w:val="0"/>
          <w:i w:val="0"/>
          <w:sz w:val="24"/>
        </w:rPr>
        <w:t>LinUCB's advantage shrinks as the simulator assumes more adverse selection (less reward upside on STANDARD policies), but remains statistically significant with large effect at every cell. The qualitative ranking — bandit beats static — is invariant to this structural parameter across the tested range.</w:t>
      </w:r>
    </w:p>
    <w:p>
      <w:pPr>
        <w:spacing w:after="240" w:before="0" w:lineRule="auto" w:line="360"/>
        <w:ind w:left="720"/>
        <w:jc w:val="left"/>
      </w:pPr>
      <w:r>
        <w:rPr>
          <w:rFonts w:ascii="Times New Roman" w:hAnsi="Times New Roman" w:eastAsia="Times New Roman"/>
          <w:b/>
          <w:i w:val="0"/>
          <w:sz w:val="24"/>
        </w:rPr>
        <w:t>5.8.4 Customer-elasticity slope sweep</w:t>
      </w:r>
    </w:p>
    <w:p>
      <w:pPr>
        <w:spacing w:after="240" w:before="0" w:lineRule="auto" w:line="360"/>
        <w:ind w:firstLine="720"/>
        <w:jc w:val="both"/>
      </w:pPr>
      <w:r>
        <w:rPr>
          <w:rFonts w:ascii="Times New Roman" w:hAnsi="Times New Roman" w:eastAsia="Times New Roman"/>
          <w:b w:val="0"/>
          <w:i w:val="0"/>
          <w:sz w:val="24"/>
        </w:rPr>
        <w:t xml:space="preserve">The slope in the acceptance equation </w:t>
      </w:r>
      <w:r>
        <w:rPr>
          <w:rFonts w:ascii="Times New Roman" w:hAnsi="Times New Roman" w:eastAsia="Times New Roman"/>
          <w:b w:val="0"/>
          <w:i/>
          <w:sz w:val="24"/>
        </w:rPr>
        <w:t>p_(accept) = max(0.05, 0.95 - slope · p_(monthly)/income)</w:t>
      </w:r>
      <w:r>
        <w:rPr>
          <w:rFonts w:ascii="Times New Roman" w:hAnsi="Times New Roman" w:eastAsia="Times New Roman"/>
          <w:b w:val="0"/>
          <w:i w:val="0"/>
          <w:sz w:val="24"/>
        </w:rPr>
        <w:t xml:space="preserve"> governs how price-sensitive customers are. Three cells: </w:t>
      </w:r>
      <w:r>
        <w:rPr>
          <w:rFonts w:ascii="Times New Roman" w:hAnsi="Times New Roman" w:eastAsia="Times New Roman"/>
          <w:b w:val="0"/>
          <w:i/>
          <w:sz w:val="24"/>
        </w:rPr>
        <w:t>{2.5, 3.5, 4.5}</w:t>
      </w:r>
      <w:r>
        <w:rPr>
          <w:rFonts w:ascii="Times New Roman" w:hAnsi="Times New Roman" w:eastAsia="Times New Roman"/>
          <w:b w:val="0"/>
          <w:i w:val="0"/>
          <w:sz w:val="24"/>
        </w:rPr>
        <w:t xml:space="preserve"> — less elastic, the default, and more elastic.</w:t>
      </w:r>
    </w:p>
    <w:p>
      <w:pPr>
        <w:spacing w:after="240" w:before="0" w:lineRule="auto" w:line="360"/>
        <w:ind w:firstLine="720"/>
        <w:jc w:val="both"/>
      </w:pPr>
      <w:r>
        <w:rPr>
          <w:rFonts w:ascii="Times New Roman" w:hAnsi="Times New Roman" w:eastAsia="Times New Roman"/>
          <w:b/>
          <w:i w:val="0"/>
          <w:sz w:val="24"/>
        </w:rPr>
        <w:t>Table 5.8.3 — Customer-elasticity slope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slope</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2.5 (less elastic)</w:t>
            </w:r>
          </w:p>
        </w:tc>
        <w:tc>
          <w:tcPr>
            <w:tcW w:type="dxa" w:w="1445"/>
          </w:tcPr>
          <w:p>
            <w:pPr>
              <w:spacing w:after="120" w:before="0" w:lineRule="auto" w:line="276"/>
              <w:jc w:val="left"/>
            </w:pPr>
            <w:r/>
            <w:r>
              <w:rPr>
                <w:rFonts w:ascii="Times New Roman" w:hAnsi="Times New Roman" w:eastAsia="Times New Roman"/>
                <w:b w:val="0"/>
                <w:i w:val="0"/>
                <w:sz w:val="22"/>
              </w:rPr>
              <w:t>199,740 [188,713, 209,371]</w:t>
            </w:r>
          </w:p>
        </w:tc>
        <w:tc>
          <w:tcPr>
            <w:tcW w:type="dxa" w:w="1445"/>
          </w:tcPr>
          <w:p>
            <w:pPr>
              <w:spacing w:after="120" w:before="0" w:lineRule="auto" w:line="276"/>
              <w:jc w:val="left"/>
            </w:pPr>
            <w:r/>
            <w:r>
              <w:rPr>
                <w:rFonts w:ascii="Times New Roman" w:hAnsi="Times New Roman" w:eastAsia="Times New Roman"/>
                <w:b w:val="0"/>
                <w:i w:val="0"/>
                <w:sz w:val="22"/>
              </w:rPr>
              <w:t>176,518 [174,026, 179,207]</w:t>
            </w:r>
          </w:p>
        </w:tc>
        <w:tc>
          <w:tcPr>
            <w:tcW w:type="dxa" w:w="1445"/>
          </w:tcPr>
          <w:p>
            <w:pPr>
              <w:spacing w:after="120" w:before="0" w:lineRule="auto" w:line="276"/>
              <w:jc w:val="left"/>
            </w:pPr>
            <w:r/>
            <w:r>
              <w:rPr>
                <w:rFonts w:ascii="Times New Roman" w:hAnsi="Times New Roman" w:eastAsia="Times New Roman"/>
                <w:b w:val="0"/>
                <w:i w:val="0"/>
                <w:sz w:val="22"/>
              </w:rPr>
              <w:t>+23,222</w:t>
            </w:r>
          </w:p>
        </w:tc>
        <w:tc>
          <w:tcPr>
            <w:tcW w:type="dxa" w:w="1445"/>
          </w:tcPr>
          <w:p>
            <w:pPr>
              <w:spacing w:after="120" w:before="0" w:lineRule="auto" w:line="276"/>
              <w:jc w:val="left"/>
            </w:pPr>
            <w:r/>
            <w:r>
              <w:rPr>
                <w:rFonts w:ascii="Times New Roman" w:hAnsi="Times New Roman" w:eastAsia="Times New Roman"/>
                <w:b w:val="0"/>
                <w:i w:val="0"/>
                <w:sz w:val="22"/>
              </w:rPr>
              <w:t>0.0049 **</w:t>
            </w:r>
          </w:p>
        </w:tc>
        <w:tc>
          <w:tcPr>
            <w:tcW w:type="dxa" w:w="1445"/>
          </w:tcPr>
          <w:p>
            <w:pPr>
              <w:spacing w:after="120" w:before="0" w:lineRule="auto" w:line="276"/>
              <w:jc w:val="left"/>
            </w:pPr>
            <w:r/>
            <w:r>
              <w:rPr>
                <w:rFonts w:ascii="Times New Roman" w:hAnsi="Times New Roman" w:eastAsia="Times New Roman"/>
                <w:b w:val="0"/>
                <w:i w:val="0"/>
                <w:sz w:val="22"/>
              </w:rPr>
              <w:t>1.14</w:t>
            </w:r>
          </w:p>
        </w:tc>
      </w:tr>
      <w:tr>
        <w:tc>
          <w:tcPr>
            <w:tcW w:type="dxa" w:w="1445"/>
          </w:tcPr>
          <w:p>
            <w:pPr>
              <w:spacing w:after="120" w:before="0" w:lineRule="auto" w:line="276"/>
              <w:jc w:val="left"/>
            </w:pPr>
            <w:r/>
            <w:r>
              <w:rPr>
                <w:rFonts w:ascii="Times New Roman" w:hAnsi="Times New Roman" w:eastAsia="Times New Roman"/>
                <w:b w:val="0"/>
                <w:i w:val="0"/>
                <w:sz w:val="22"/>
              </w:rPr>
              <w:t>3.5 (default)</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4.5 (more elastic)</w:t>
            </w:r>
          </w:p>
        </w:tc>
        <w:tc>
          <w:tcPr>
            <w:tcW w:type="dxa" w:w="1445"/>
          </w:tcPr>
          <w:p>
            <w:pPr>
              <w:spacing w:after="120" w:before="0" w:lineRule="auto" w:line="276"/>
              <w:jc w:val="left"/>
            </w:pPr>
            <w:r/>
            <w:r>
              <w:rPr>
                <w:rFonts w:ascii="Times New Roman" w:hAnsi="Times New Roman" w:eastAsia="Times New Roman"/>
                <w:b w:val="0"/>
                <w:i w:val="0"/>
                <w:sz w:val="22"/>
              </w:rPr>
              <w:t>27,080 [22,635, 31,329]</w:t>
            </w:r>
          </w:p>
        </w:tc>
        <w:tc>
          <w:tcPr>
            <w:tcW w:type="dxa" w:w="1445"/>
          </w:tcPr>
          <w:p>
            <w:pPr>
              <w:spacing w:after="120" w:before="0" w:lineRule="auto" w:line="276"/>
              <w:jc w:val="left"/>
            </w:pPr>
            <w:r/>
            <w:r>
              <w:rPr>
                <w:rFonts w:ascii="Times New Roman" w:hAnsi="Times New Roman" w:eastAsia="Times New Roman"/>
                <w:b w:val="0"/>
                <w:i w:val="0"/>
                <w:sz w:val="22"/>
              </w:rPr>
              <w:t>9,722 [8,006, 11,333]</w:t>
            </w:r>
          </w:p>
        </w:tc>
        <w:tc>
          <w:tcPr>
            <w:tcW w:type="dxa" w:w="1445"/>
          </w:tcPr>
          <w:p>
            <w:pPr>
              <w:spacing w:after="120" w:before="0" w:lineRule="auto" w:line="276"/>
              <w:jc w:val="left"/>
            </w:pPr>
            <w:r/>
            <w:r>
              <w:rPr>
                <w:rFonts w:ascii="Times New Roman" w:hAnsi="Times New Roman" w:eastAsia="Times New Roman"/>
                <w:b w:val="0"/>
                <w:i w:val="0"/>
                <w:sz w:val="22"/>
              </w:rPr>
              <w:t>+17,358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2.24</w:t>
            </w:r>
          </w:p>
        </w:tc>
      </w:tr>
    </w:tbl>
    <w:p/>
    <w:p>
      <w:pPr>
        <w:spacing w:after="240" w:before="0" w:lineRule="auto" w:line="360"/>
        <w:ind w:firstLine="720"/>
        <w:jc w:val="both"/>
      </w:pPr>
      <w:r>
        <w:rPr>
          <w:rFonts w:ascii="Times New Roman" w:hAnsi="Times New Roman" w:eastAsia="Times New Roman"/>
          <w:b w:val="0"/>
          <w:i w:val="0"/>
          <w:sz w:val="24"/>
        </w:rPr>
        <w:t xml:space="preserve">The absolute reward levels differ by an order of magnitude across slope cells because elasticity directly governs how many quoted applicants bind a policy. The </w:t>
      </w:r>
      <w:r>
        <w:rPr>
          <w:rFonts w:ascii="Times New Roman" w:hAnsi="Times New Roman" w:eastAsia="Times New Roman"/>
          <w:b/>
          <w:i w:val="0"/>
          <w:sz w:val="24"/>
        </w:rPr>
        <w:t>relative</w:t>
      </w:r>
      <w:r>
        <w:rPr>
          <w:rFonts w:ascii="Times New Roman" w:hAnsi="Times New Roman" w:eastAsia="Times New Roman"/>
          <w:b w:val="0"/>
          <w:i w:val="0"/>
          <w:sz w:val="24"/>
        </w:rPr>
        <w:t xml:space="preserve"> LinUCB-over-Static advantage, however, holds at every slope: </w:t>
      </w:r>
      <w:r>
        <w:rPr>
          <w:rFonts w:ascii="Times New Roman" w:hAnsi="Times New Roman" w:eastAsia="Times New Roman"/>
          <w:b w:val="0"/>
          <w:i/>
          <w:sz w:val="24"/>
        </w:rPr>
        <w:t>$+17,358</w:t>
      </w:r>
      <w:r>
        <w:rPr>
          <w:rFonts w:ascii="Times New Roman" w:hAnsi="Times New Roman" w:eastAsia="Times New Roman"/>
          <w:b w:val="0"/>
          <w:i w:val="0"/>
          <w:sz w:val="24"/>
        </w:rPr>
        <w:t xml:space="preserve"> to </w:t>
      </w:r>
      <w:r>
        <w:rPr>
          <w:rFonts w:ascii="Times New Roman" w:hAnsi="Times New Roman" w:eastAsia="Times New Roman"/>
          <w:b w:val="0"/>
          <w:i/>
          <w:sz w:val="24"/>
        </w:rPr>
        <w:t>$+23,222</w:t>
      </w:r>
      <w:r>
        <w:rPr>
          <w:rFonts w:ascii="Times New Roman" w:hAnsi="Times New Roman" w:eastAsia="Times New Roman"/>
          <w:b w:val="0"/>
          <w:i w:val="0"/>
          <w:sz w:val="24"/>
        </w:rPr>
        <w:t xml:space="preserve">, all </w:t>
      </w:r>
      <w:r>
        <w:rPr>
          <w:rFonts w:ascii="Times New Roman" w:hAnsi="Times New Roman" w:eastAsia="Times New Roman"/>
          <w:b w:val="0"/>
          <w:i/>
          <w:sz w:val="24"/>
        </w:rPr>
        <w:t>p ≤ 0.005</w:t>
      </w:r>
      <w:r>
        <w:rPr>
          <w:rFonts w:ascii="Times New Roman" w:hAnsi="Times New Roman" w:eastAsia="Times New Roman"/>
          <w:b w:val="0"/>
          <w:i w:val="0"/>
          <w:sz w:val="24"/>
        </w:rPr>
        <w:t>, all effect sizes large or very large. Readers should not compare absolute reward levels across slope cells (the underlying acceptance distribution changes) — only the within-cell advantage.</w:t>
      </w:r>
    </w:p>
    <w:p>
      <w:pPr>
        <w:spacing w:after="240" w:before="0" w:lineRule="auto" w:line="360"/>
        <w:ind w:firstLine="720"/>
        <w:jc w:val="both"/>
      </w:pPr>
      <w:r>
        <w:rPr>
          <w:rFonts w:ascii="Times New Roman" w:hAnsi="Times New Roman" w:eastAsia="Times New Roman"/>
          <w:b w:val="0"/>
          <w:i w:val="0"/>
          <w:sz w:val="24"/>
        </w:rPr>
        <w:t xml:space="preserve">Two scope notes. First, every comparison in EXP-012 is </w:t>
      </w:r>
      <w:r>
        <w:rPr>
          <w:rFonts w:ascii="Times New Roman" w:hAnsi="Times New Roman" w:eastAsia="Times New Roman"/>
          <w:b/>
          <w:i w:val="0"/>
          <w:sz w:val="24"/>
        </w:rPr>
        <w:t>LinUCB vs Static XGB</w:t>
      </w:r>
      <w:r>
        <w:rPr>
          <w:rFonts w:ascii="Times New Roman" w:hAnsi="Times New Roman" w:eastAsia="Times New Roman"/>
          <w:b w:val="0"/>
          <w:i w:val="0"/>
          <w:sz w:val="24"/>
        </w:rPr>
        <w:t xml:space="preserve"> — it confirms the bandit's advantage </w:t>
      </w:r>
      <w:r>
        <w:rPr>
          <w:rFonts w:ascii="Times New Roman" w:hAnsi="Times New Roman" w:eastAsia="Times New Roman"/>
          <w:b w:val="0"/>
          <w:i/>
          <w:sz w:val="24"/>
        </w:rPr>
        <w:t>over the frozen rule</w:t>
      </w:r>
      <w:r>
        <w:rPr>
          <w:rFonts w:ascii="Times New Roman" w:hAnsi="Times New Roman" w:eastAsia="Times New Roman"/>
          <w:b w:val="0"/>
          <w:i w:val="0"/>
          <w:sz w:val="24"/>
        </w:rPr>
        <w:t xml:space="preserve"> is robust, but says nothing about the constant policy, which beats the bandit at every one of these cells too (§5.11). Second, the elasticity-slope sweep here (three cells) is superseded by the </w:t>
      </w:r>
      <w:r>
        <w:rPr>
          <w:rFonts w:ascii="Times New Roman" w:hAnsi="Times New Roman" w:eastAsia="Times New Roman"/>
          <w:b/>
          <w:i w:val="0"/>
          <w:sz w:val="24"/>
        </w:rPr>
        <w:t>dedicated seven-point demand-elasticity sweep in §5.12 (EXP-016)</w:t>
      </w:r>
      <w:r>
        <w:rPr>
          <w:rFonts w:ascii="Times New Roman" w:hAnsi="Times New Roman" w:eastAsia="Times New Roman"/>
          <w:b w:val="0"/>
          <w:i w:val="0"/>
          <w:sz w:val="24"/>
        </w:rPr>
        <w:t xml:space="preserve">, which re-anchors the acceptance intercept so mean acceptance is held fixed — isolating elasticity cleanly — and reaches the sharper conclusion that </w:t>
      </w:r>
      <w:r>
        <w:rPr>
          <w:rFonts w:ascii="Times New Roman" w:hAnsi="Times New Roman" w:eastAsia="Times New Roman"/>
          <w:b w:val="0"/>
          <w:i/>
          <w:sz w:val="24"/>
        </w:rPr>
        <w:t>no</w:t>
      </w:r>
      <w:r>
        <w:rPr>
          <w:rFonts w:ascii="Times New Roman" w:hAnsi="Times New Roman" w:eastAsia="Times New Roman"/>
          <w:b w:val="0"/>
          <w:i w:val="0"/>
          <w:sz w:val="24"/>
        </w:rPr>
        <w:t xml:space="preserve"> elasticity lets any learner beat the constant.</w:t>
      </w:r>
    </w:p>
    <w:p>
      <w:pPr>
        <w:spacing w:after="240" w:before="0" w:lineRule="auto" w:line="360"/>
        <w:ind w:left="720"/>
        <w:jc w:val="left"/>
      </w:pPr>
      <w:r>
        <w:rPr>
          <w:rFonts w:ascii="Times New Roman" w:hAnsi="Times New Roman" w:eastAsia="Times New Roman"/>
          <w:b/>
          <w:i w:val="0"/>
          <w:sz w:val="24"/>
        </w:rPr>
        <w:t>5.8.5 Pass/Fail Assessment</w:t>
      </w:r>
    </w:p>
    <w:p>
      <w:pPr>
        <w:pStyle w:val="ListNumber"/>
        <w:ind w:left="720"/>
      </w:pPr>
      <w:r>
        <w:rPr>
          <w:rFonts w:ascii="Times New Roman" w:hAnsi="Times New Roman" w:eastAsia="Times New Roman"/>
          <w:b/>
          <w:i w:val="0"/>
          <w:sz w:val="24"/>
        </w:rPr>
        <w:t>α = 1.0 is the regret-minimising value (or within 5 %).</w:t>
      </w:r>
      <w:r>
        <w:rPr>
          <w:rFonts w:ascii="Times New Roman" w:hAnsi="Times New Roman" w:eastAsia="Times New Roman"/>
          <w:b w:val="0"/>
          <w:i w:val="0"/>
          <w:sz w:val="24"/>
        </w:rPr>
        <w:t xml:space="preserve"> Observed: 1.0 is best at $23{,}046$. PASSED.</w:t>
      </w:r>
    </w:p>
    <w:p>
      <w:pPr>
        <w:pStyle w:val="ListNumber"/>
        <w:ind w:left="720"/>
      </w:pPr>
      <w:r>
        <w:rPr>
          <w:rFonts w:ascii="Times New Roman" w:hAnsi="Times New Roman" w:eastAsia="Times New Roman"/>
          <w:b/>
          <w:i w:val="0"/>
          <w:sz w:val="24"/>
        </w:rPr>
        <w:t>LinUCB &gt; Static XGB at every adverse-selection factor.</w:t>
      </w:r>
      <w:r>
        <w:rPr>
          <w:rFonts w:ascii="Times New Roman" w:hAnsi="Times New Roman" w:eastAsia="Times New Roman"/>
          <w:b w:val="0"/>
          <w:i w:val="0"/>
          <w:sz w:val="24"/>
        </w:rPr>
        <w:t xml:space="preserve"> All cells p ≤ 0.001, </w:t>
      </w:r>
      <w:r>
        <w:rPr>
          <w:rFonts w:ascii="Times New Roman" w:hAnsi="Times New Roman" w:eastAsia="Times New Roman"/>
          <w:b w:val="0"/>
          <w:i/>
          <w:sz w:val="24"/>
        </w:rPr>
        <w:t>d ∈ [3.05, 4.70]</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&gt; Static XGB at every elasticity slope.</w:t>
      </w:r>
      <w:r>
        <w:rPr>
          <w:rFonts w:ascii="Times New Roman" w:hAnsi="Times New Roman" w:eastAsia="Times New Roman"/>
          <w:b w:val="0"/>
          <w:i w:val="0"/>
          <w:sz w:val="24"/>
        </w:rPr>
        <w:t xml:space="preserve"> All cells p ≤ 0.005, </w:t>
      </w:r>
      <w:r>
        <w:rPr>
          <w:rFonts w:ascii="Times New Roman" w:hAnsi="Times New Roman" w:eastAsia="Times New Roman"/>
          <w:b w:val="0"/>
          <w:i/>
          <w:sz w:val="24"/>
        </w:rPr>
        <w:t>d ∈ [1.14, 3.05]</w:t>
      </w:r>
      <w:r>
        <w:rPr>
          <w:rFonts w:ascii="Times New Roman" w:hAnsi="Times New Roman" w:eastAsia="Times New Roman"/>
          <w:b w:val="0"/>
          <w:i w:val="0"/>
          <w:sz w:val="24"/>
        </w:rPr>
        <w:t>. PASSED.</w:t>
      </w:r>
    </w:p>
    <w:p>
      <w:pPr>
        <w:spacing w:after="240" w:before="0" w:lineRule="auto" w:line="360"/>
        <w:ind w:firstLine="720"/>
        <w:jc w:val="both"/>
      </w:pPr>
      <w:r>
        <w:rPr>
          <w:rFonts w:ascii="Times New Roman" w:hAnsi="Times New Roman" w:eastAsia="Times New Roman"/>
          <w:b w:val="0"/>
          <w:i w:val="0"/>
          <w:sz w:val="24"/>
        </w:rPr>
        <w:t>EXP-012: PASS.</w:t>
      </w:r>
    </w:p>
    <w:p>
      <w:pPr>
        <w:spacing w:after="240" w:before="0" w:lineRule="auto" w:line="360"/>
        <w:jc w:val="left"/>
      </w:pPr>
      <w:r>
        <w:rPr>
          <w:rFonts w:ascii="Times New Roman" w:hAnsi="Times New Roman" w:eastAsia="Times New Roman"/>
          <w:b/>
          <w:i w:val="0"/>
          <w:sz w:val="28"/>
        </w:rPr>
        <w:t>5.9 EXP-009: Drift Adaptation under a Mid-Run Shock</w:t>
      </w:r>
    </w:p>
    <w:p>
      <w:pPr>
        <w:spacing w:after="120" w:before="0" w:lineRule="auto" w:line="3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fig_009_drift_adaptation.png"/>
                    <pic:cNvPicPr/>
                  </pic:nvPicPr>
                  <pic:blipFill>
                    <a:blip r:embed="rId25"/>
                    <a:stretch>
                      <a:fillRect/>
                    </a:stretch>
                  </pic:blipFill>
                  <pic:spPr>
                    <a:xfrm>
                      <a:off x="0" y="0"/>
                      <a:ext cx="5486400" cy="27432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 Rolling 100-round mean regret per round for LinUCB, LinTS, and Static XGB (seed = 42) under a TB-prevalence × garment-income shock injected at round 1,500. Bandits' regret falls below pre-shock levels as learning continues; Static XGB's regret remains elevated.</w:t>
      </w:r>
    </w:p>
    <w:p>
      <w:pPr>
        <w:spacing w:after="240" w:before="0" w:lineRule="auto" w:line="360"/>
        <w:ind w:left="720"/>
        <w:jc w:val="left"/>
      </w:pPr>
      <w:r>
        <w:rPr>
          <w:rFonts w:ascii="Times New Roman" w:hAnsi="Times New Roman" w:eastAsia="Times New Roman"/>
          <w:b/>
          <w:i w:val="0"/>
          <w:sz w:val="24"/>
        </w:rPr>
        <w:t>5.9.1 Design</w:t>
      </w:r>
    </w:p>
    <w:p>
      <w:pPr>
        <w:spacing w:after="240" w:before="0" w:lineRule="auto" w:line="360"/>
        <w:ind w:firstLine="720"/>
        <w:jc w:val="both"/>
      </w:pPr>
      <w:r>
        <w:rPr>
          <w:rFonts w:ascii="Times New Roman" w:hAnsi="Times New Roman" w:eastAsia="Times New Roman"/>
          <w:b w:val="0"/>
          <w:i w:val="0"/>
          <w:sz w:val="24"/>
        </w:rPr>
        <w:t xml:space="preserve">EXP-009 perturbs the applicant stream mid-run to test whether the contextual bandits can absorb a plausible emerging-market environmental shock. At round 1,500 of a 5,000-round run, two simultaneous changes are applied to the underlying applicant pool: </w:t>
      </w:r>
      <w:r>
        <w:rPr>
          <w:rFonts w:ascii="Times New Roman" w:hAnsi="Times New Roman" w:eastAsia="Times New Roman"/>
          <w:b/>
          <w:i w:val="0"/>
          <w:sz w:val="24"/>
        </w:rPr>
        <w:t>TB prevalence is doubled</w:t>
      </w:r>
      <w:r>
        <w:rPr>
          <w:rFonts w:ascii="Times New Roman" w:hAnsi="Times New Roman" w:eastAsia="Times New Roman"/>
          <w:b w:val="0"/>
          <w:i w:val="0"/>
          <w:sz w:val="24"/>
        </w:rPr>
        <w:t xml:space="preserve"> (from approximately 6.3 % to 12.5 %, modelling a public-health outbreak), and </w:t>
      </w:r>
      <w:r>
        <w:rPr>
          <w:rFonts w:ascii="Times New Roman" w:hAnsi="Times New Roman" w:eastAsia="Times New Roman"/>
          <w:b/>
          <w:i w:val="0"/>
          <w:sz w:val="24"/>
        </w:rPr>
        <w:t>garment-worker monthly income is reduced by 30 %</w:t>
      </w:r>
      <w:r>
        <w:rPr>
          <w:rFonts w:ascii="Times New Roman" w:hAnsi="Times New Roman" w:eastAsia="Times New Roman"/>
          <w:b w:val="0"/>
          <w:i w:val="0"/>
          <w:sz w:val="24"/>
        </w:rPr>
        <w:t xml:space="preserve"> (modelling a sector wage shock). LinUCB, LinTS, and Static XGB are evaluated under the shocked stream over 20 independent seeds; pre-shock and post-shock per-round regret are computed on the windows rounds 1,000–1,499 and 1,500–4,999 respectively.</w:t>
      </w:r>
    </w:p>
    <w:p>
      <w:pPr>
        <w:spacing w:after="240" w:before="0" w:lineRule="auto" w:line="360"/>
        <w:ind w:left="720"/>
        <w:jc w:val="left"/>
      </w:pPr>
      <w:r>
        <w:rPr>
          <w:rFonts w:ascii="Times New Roman" w:hAnsi="Times New Roman" w:eastAsia="Times New Roman"/>
          <w:b/>
          <w:i w:val="0"/>
          <w:sz w:val="24"/>
        </w:rPr>
        <w:t>5.9.2 Results</w:t>
      </w:r>
    </w:p>
    <w:p>
      <w:pPr>
        <w:spacing w:after="240" w:before="0" w:lineRule="auto" w:line="360"/>
        <w:ind w:firstLine="720"/>
        <w:jc w:val="both"/>
      </w:pPr>
      <w:r>
        <w:rPr>
          <w:rFonts w:ascii="Times New Roman" w:hAnsi="Times New Roman" w:eastAsia="Times New Roman"/>
          <w:b/>
          <w:i w:val="0"/>
          <w:sz w:val="24"/>
        </w:rPr>
        <w:t>Table 5.9.1 — EXP-009 pre- and post-shock per-round regret (20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Algorithm</w:t>
            </w:r>
          </w:p>
        </w:tc>
        <w:tc>
          <w:tcPr>
            <w:tcW w:type="dxa" w:w="1734"/>
          </w:tcPr>
          <w:p>
            <w:pPr>
              <w:spacing w:after="120" w:before="0" w:lineRule="auto" w:line="276"/>
              <w:jc w:val="left"/>
            </w:pPr>
            <w:r/>
            <w:r>
              <w:rPr>
                <w:rFonts w:ascii="Times New Roman" w:hAnsi="Times New Roman" w:eastAsia="Times New Roman"/>
                <w:b w:val="0"/>
                <w:i w:val="0"/>
                <w:sz w:val="22"/>
              </w:rPr>
              <w:t>Pre-shock regret / round</w:t>
            </w:r>
          </w:p>
        </w:tc>
        <w:tc>
          <w:tcPr>
            <w:tcW w:type="dxa" w:w="1734"/>
          </w:tcPr>
          <w:p>
            <w:pPr>
              <w:spacing w:after="120" w:before="0" w:lineRule="auto" w:line="276"/>
              <w:jc w:val="left"/>
            </w:pPr>
            <w:r/>
            <w:r>
              <w:rPr>
                <w:rFonts w:ascii="Times New Roman" w:hAnsi="Times New Roman" w:eastAsia="Times New Roman"/>
                <w:b w:val="0"/>
                <w:i w:val="0"/>
                <w:sz w:val="22"/>
              </w:rPr>
              <w:t>Post-shock regret / round</w:t>
            </w:r>
          </w:p>
        </w:tc>
        <w:tc>
          <w:tcPr>
            <w:tcW w:type="dxa" w:w="1734"/>
          </w:tcPr>
          <w:p>
            <w:pPr>
              <w:spacing w:after="120" w:before="0" w:lineRule="auto" w:line="276"/>
              <w:jc w:val="left"/>
            </w:pPr>
            <w:r/>
            <w:r>
              <w:rPr>
                <w:rFonts w:ascii="Times New Roman" w:hAnsi="Times New Roman" w:eastAsia="Times New Roman"/>
                <w:b w:val="0"/>
                <w:i w:val="0"/>
                <w:sz w:val="22"/>
              </w:rPr>
              <w:t>Post/Pre ratio</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r>
      <w:tr>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8.67 ± 1.74</w:t>
            </w:r>
          </w:p>
        </w:tc>
        <w:tc>
          <w:tcPr>
            <w:tcW w:type="dxa" w:w="1734"/>
          </w:tcPr>
          <w:p>
            <w:pPr>
              <w:spacing w:after="120" w:before="0" w:lineRule="auto" w:line="276"/>
              <w:jc w:val="left"/>
            </w:pPr>
            <w:r/>
            <w:r>
              <w:rPr>
                <w:rFonts w:ascii="Times New Roman" w:hAnsi="Times New Roman" w:eastAsia="Times New Roman"/>
                <w:b/>
                <w:i w:val="0"/>
                <w:sz w:val="22"/>
              </w:rPr>
              <w:t>2.48 ± 1.20</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21,679 ± 5,248</w:t>
            </w:r>
          </w:p>
        </w:tc>
      </w:tr>
      <w:tr>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8.24 ± 1.62</w:t>
            </w:r>
          </w:p>
        </w:tc>
        <w:tc>
          <w:tcPr>
            <w:tcW w:type="dxa" w:w="1734"/>
          </w:tcPr>
          <w:p>
            <w:pPr>
              <w:spacing w:after="120" w:before="0" w:lineRule="auto" w:line="276"/>
              <w:jc w:val="left"/>
            </w:pPr>
            <w:r/>
            <w:r>
              <w:rPr>
                <w:rFonts w:ascii="Times New Roman" w:hAnsi="Times New Roman" w:eastAsia="Times New Roman"/>
                <w:b/>
                <w:i w:val="0"/>
                <w:sz w:val="22"/>
              </w:rPr>
              <w:t>2.42 ± 0.87</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20,824 ± 4,335</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8.71 ± 1.50</w:t>
            </w:r>
          </w:p>
        </w:tc>
        <w:tc>
          <w:tcPr>
            <w:tcW w:type="dxa" w:w="1734"/>
          </w:tcPr>
          <w:p>
            <w:pPr>
              <w:spacing w:after="120" w:before="0" w:lineRule="auto" w:line="276"/>
              <w:jc w:val="left"/>
            </w:pPr>
            <w:r/>
            <w:r>
              <w:rPr>
                <w:rFonts w:ascii="Times New Roman" w:hAnsi="Times New Roman" w:eastAsia="Times New Roman"/>
                <w:b w:val="0"/>
                <w:i w:val="0"/>
                <w:sz w:val="22"/>
              </w:rPr>
              <w:t>7.44 ± 0.80</w:t>
            </w:r>
          </w:p>
        </w:tc>
        <w:tc>
          <w:tcPr>
            <w:tcW w:type="dxa" w:w="1734"/>
          </w:tcPr>
          <w:p>
            <w:pPr>
              <w:spacing w:after="120" w:before="0" w:lineRule="auto" w:line="276"/>
              <w:jc w:val="left"/>
            </w:pPr>
            <w:r/>
            <w:r>
              <w:rPr>
                <w:rFonts w:ascii="Times New Roman" w:hAnsi="Times New Roman" w:eastAsia="Times New Roman"/>
                <w:b w:val="0"/>
                <w:i w:val="0"/>
                <w:sz w:val="22"/>
              </w:rPr>
              <w:t>0.85×</w:t>
            </w:r>
          </w:p>
        </w:tc>
        <w:tc>
          <w:tcPr>
            <w:tcW w:type="dxa" w:w="1734"/>
          </w:tcPr>
          <w:p>
            <w:pPr>
              <w:spacing w:after="120" w:before="0" w:lineRule="auto" w:line="276"/>
              <w:jc w:val="left"/>
            </w:pPr>
            <w:r/>
            <w:r>
              <w:rPr>
                <w:rFonts w:ascii="Times New Roman" w:hAnsi="Times New Roman" w:eastAsia="Times New Roman"/>
                <w:b w:val="0"/>
                <w:i w:val="0"/>
                <w:sz w:val="22"/>
              </w:rPr>
              <w:t>39,093 ± 3,624</w:t>
            </w:r>
          </w:p>
        </w:tc>
      </w:tr>
    </w:tbl>
    <w:p/>
    <w:p>
      <w:pPr>
        <w:spacing w:after="240" w:before="0" w:lineRule="auto" w:line="360"/>
        <w:ind w:firstLine="720"/>
        <w:jc w:val="both"/>
      </w:pPr>
      <w:r>
        <w:rPr>
          <w:rFonts w:ascii="Times New Roman" w:hAnsi="Times New Roman" w:eastAsia="Times New Roman"/>
          <w:b w:val="0"/>
          <w:i w:val="0"/>
          <w:sz w:val="24"/>
        </w:rPr>
        <w:t>Pre-shock, all three algorithms have effectively identical per-round regret (</w:t>
      </w:r>
      <w:r>
        <w:rPr>
          <w:rFonts w:ascii="Times New Roman" w:hAnsi="Times New Roman" w:eastAsia="Times New Roman"/>
          <w:b w:val="0"/>
          <w:i/>
          <w:sz w:val="24"/>
        </w:rPr>
        <w:t>≈ 8.5</w:t>
      </w:r>
      <w:r>
        <w:rPr>
          <w:rFonts w:ascii="Times New Roman" w:hAnsi="Times New Roman" w:eastAsia="Times New Roman"/>
          <w:b w:val="0"/>
          <w:i w:val="0"/>
          <w:sz w:val="24"/>
        </w:rPr>
        <w:t xml:space="preserve">); the shock is not visible in the pre-shock window because it has not yet occurred. Post-shock, LinUCB and LinTS recover to roughly 30 % of their pre-shock regret level, while Static XGB recovers only to 85 % — the contextual bandits' online ridge-regression update absorbs the new claim and income distributions; Static XGB's fixed thresholds do not. The cumulative-regret gap between LinUCB and Static XGB widens from approximately </w:t>
      </w:r>
      <w:r>
        <w:rPr>
          <w:rFonts w:ascii="Times New Roman" w:hAnsi="Times New Roman" w:eastAsia="Times New Roman"/>
          <w:b w:val="0"/>
          <w:i/>
          <w:sz w:val="24"/>
        </w:rPr>
        <w:t>$0.03</w:t>
      </w:r>
      <w:r>
        <w:rPr>
          <w:rFonts w:ascii="Times New Roman" w:hAnsi="Times New Roman" w:eastAsia="Times New Roman"/>
          <w:b w:val="0"/>
          <w:i w:val="0"/>
          <w:sz w:val="24"/>
        </w:rPr>
        <w:t xml:space="preserve"> per round (pre) to </w:t>
      </w:r>
      <w:r>
        <w:rPr>
          <w:rFonts w:ascii="Times New Roman" w:hAnsi="Times New Roman" w:eastAsia="Times New Roman"/>
          <w:b w:val="0"/>
          <w:i/>
          <w:sz w:val="24"/>
        </w:rPr>
        <w:t>$4.96</w:t>
      </w:r>
      <w:r>
        <w:rPr>
          <w:rFonts w:ascii="Times New Roman" w:hAnsi="Times New Roman" w:eastAsia="Times New Roman"/>
          <w:b w:val="0"/>
          <w:i w:val="0"/>
          <w:sz w:val="24"/>
        </w:rPr>
        <w:t xml:space="preserve"> per round (post), a 165× increase in instantaneous performance separation.</w:t>
      </w:r>
    </w:p>
    <w:p>
      <w:pPr>
        <w:spacing w:after="240" w:before="0" w:lineRule="auto" w:line="360"/>
        <w:ind w:left="720"/>
        <w:jc w:val="left"/>
      </w:pPr>
      <w:r>
        <w:rPr>
          <w:rFonts w:ascii="Times New Roman" w:hAnsi="Times New Roman" w:eastAsia="Times New Roman"/>
          <w:b/>
          <w:i w:val="0"/>
          <w:sz w:val="24"/>
        </w:rPr>
        <w:t>5.9.3 Interpretation and caveat</w:t>
      </w:r>
    </w:p>
    <w:p>
      <w:pPr>
        <w:spacing w:after="240" w:before="0" w:lineRule="auto" w:line="360"/>
        <w:ind w:firstLine="720"/>
        <w:jc w:val="both"/>
      </w:pPr>
      <w:r>
        <w:rPr>
          <w:rFonts w:ascii="Times New Roman" w:hAnsi="Times New Roman" w:eastAsia="Times New Roman"/>
          <w:b w:val="0"/>
          <w:i w:val="0"/>
          <w:sz w:val="24"/>
        </w:rPr>
        <w:t xml:space="preserve">The headline reading — </w:t>
      </w:r>
      <w:r>
        <w:rPr>
          <w:rFonts w:ascii="Times New Roman" w:hAnsi="Times New Roman" w:eastAsia="Times New Roman"/>
          <w:b w:val="0"/>
          <w:i/>
          <w:sz w:val="24"/>
        </w:rPr>
        <w:t>standard LinUCB and LinTS absorb a moderate Cambodia-calibrated shock substantially better than Static XGB</w:t>
      </w:r>
      <w:r>
        <w:rPr>
          <w:rFonts w:ascii="Times New Roman" w:hAnsi="Times New Roman" w:eastAsia="Times New Roman"/>
          <w:b w:val="0"/>
          <w:i w:val="0"/>
          <w:sz w:val="24"/>
        </w:rPr>
        <w:t xml:space="preserve"> — is well supported by the post-shock regret gap and the cumulative regret difference. However, the experimental design contains a confound that any subsequent reader (or examiner) will identify: </w:t>
      </w:r>
      <w:r>
        <w:rPr>
          <w:rFonts w:ascii="Times New Roman" w:hAnsi="Times New Roman" w:eastAsia="Times New Roman"/>
          <w:b/>
          <w:i w:val="0"/>
          <w:sz w:val="24"/>
        </w:rPr>
        <w:t>the pre-shock window (rounds 1,000–1,499) and the post-shock window (rounds 1,500–4,999) also differ in their position along the bandit's learning curve.</w:t>
      </w:r>
      <w:r>
        <w:rPr>
          <w:rFonts w:ascii="Times New Roman" w:hAnsi="Times New Roman" w:eastAsia="Times New Roman"/>
          <w:b w:val="0"/>
          <w:i w:val="0"/>
          <w:sz w:val="24"/>
        </w:rPr>
        <w:t xml:space="preserve"> By round 1,500 a contextual bandit has already done substantial coefficient learning; by round 4,999 it has done substantially more. Some of the "post-shock improvement" therefore reflects continued late-stage convergence, not adaptation to the shock per se.</w:t>
      </w:r>
    </w:p>
    <w:p>
      <w:pPr>
        <w:spacing w:after="240" w:before="0" w:lineRule="auto" w:line="360"/>
        <w:ind w:firstLine="720"/>
        <w:jc w:val="both"/>
      </w:pPr>
      <w:r>
        <w:rPr>
          <w:rFonts w:ascii="Times New Roman" w:hAnsi="Times New Roman" w:eastAsia="Times New Roman"/>
          <w:b w:val="0"/>
          <w:i w:val="0"/>
          <w:sz w:val="24"/>
        </w:rPr>
        <w:t xml:space="preserve">A cleaner experimental design would compare the shocked trajectory against a no-shock control trajectory matched in time, isolating the shock's contribution from the convergence baseline; this is registered as concrete follow-on work in §6.3.1. The current EXP-009 evidence supports the </w:t>
      </w:r>
      <w:r>
        <w:rPr>
          <w:rFonts w:ascii="Times New Roman" w:hAnsi="Times New Roman" w:eastAsia="Times New Roman"/>
          <w:b w:val="0"/>
          <w:i/>
          <w:sz w:val="24"/>
        </w:rPr>
        <w:t>qualitative</w:t>
      </w:r>
      <w:r>
        <w:rPr>
          <w:rFonts w:ascii="Times New Roman" w:hAnsi="Times New Roman" w:eastAsia="Times New Roman"/>
          <w:b w:val="0"/>
          <w:i w:val="0"/>
          <w:sz w:val="24"/>
        </w:rPr>
        <w:t xml:space="preserve"> conclusion that adaptive bandits handle the shock better than the static baseline (the </w:t>
      </w:r>
      <w:r>
        <w:rPr>
          <w:rFonts w:ascii="Times New Roman" w:hAnsi="Times New Roman" w:eastAsia="Times New Roman"/>
          <w:b w:val="0"/>
          <w:i/>
          <w:sz w:val="24"/>
        </w:rPr>
        <w:t>static</w:t>
      </w:r>
      <w:r>
        <w:rPr>
          <w:rFonts w:ascii="Times New Roman" w:hAnsi="Times New Roman" w:eastAsia="Times New Roman"/>
          <w:b w:val="0"/>
          <w:i w:val="0"/>
          <w:sz w:val="24"/>
        </w:rPr>
        <w:t xml:space="preserve"> baseline's pre/post ratio of 0.85 is the cleanest comparator — Static XGB does no learning, so its smaller post-shock improvement is attributable to the new distribution being marginally easier on its fixed rule, not to learning) but does not quantify the adaptation component cleanly. The 165× gap-widening should accordingly be read as an upper bound on the adaptation effect.</w:t>
      </w:r>
    </w:p>
    <w:p>
      <w:pPr>
        <w:spacing w:after="240" w:before="0" w:lineRule="auto" w:line="360"/>
        <w:ind w:firstLine="720"/>
        <w:jc w:val="both"/>
      </w:pPr>
      <w:r>
        <w:rPr>
          <w:rFonts w:ascii="Times New Roman" w:hAnsi="Times New Roman" w:eastAsia="Times New Roman"/>
          <w:b w:val="0"/>
          <w:i w:val="0"/>
          <w:sz w:val="24"/>
        </w:rPr>
        <w:t xml:space="preserve">A further note: EXP-009 tests standard LinUCB and LinTS. The discounted (forgetting) variant once deferred to future work, </w:t>
      </w:r>
      <w:r>
        <w:rPr>
          <w:rFonts w:ascii="Times New Roman" w:hAnsi="Times New Roman" w:eastAsia="Times New Roman"/>
          <w:b/>
          <w:i w:val="0"/>
          <w:sz w:val="24"/>
        </w:rPr>
        <w:t>DiscountedLinUCB, has since been implemented and is evaluated in EXP-015 (§5.9.5)</w:t>
      </w:r>
      <w:r>
        <w:rPr>
          <w:rFonts w:ascii="Times New Roman" w:hAnsi="Times New Roman" w:eastAsia="Times New Roman"/>
          <w:b w:val="0"/>
          <w:i w:val="0"/>
          <w:sz w:val="24"/>
        </w:rPr>
        <w:t xml:space="preserve"> — together with the constant policies EXP-009 omitted. As shown there, forgetting does </w:t>
      </w:r>
      <w:r>
        <w:rPr>
          <w:rFonts w:ascii="Times New Roman" w:hAnsi="Times New Roman" w:eastAsia="Times New Roman"/>
          <w:b w:val="0"/>
          <w:i/>
          <w:sz w:val="24"/>
        </w:rPr>
        <w:t>not</w:t>
      </w:r>
      <w:r>
        <w:rPr>
          <w:rFonts w:ascii="Times New Roman" w:hAnsi="Times New Roman" w:eastAsia="Times New Roman"/>
          <w:b w:val="0"/>
          <w:i w:val="0"/>
          <w:sz w:val="24"/>
        </w:rPr>
        <w:t xml:space="preserve"> recover faster in a way that helps: it discards data during the long stationary stretches and tracks no better than vanilla LinUCB.</w:t>
      </w:r>
    </w:p>
    <w:p>
      <w:pPr>
        <w:spacing w:after="240" w:before="0" w:lineRule="auto" w:line="360"/>
        <w:ind w:left="720"/>
        <w:jc w:val="left"/>
      </w:pPr>
      <w:r>
        <w:rPr>
          <w:rFonts w:ascii="Times New Roman" w:hAnsi="Times New Roman" w:eastAsia="Times New Roman"/>
          <w:b/>
          <w:i w:val="0"/>
          <w:sz w:val="24"/>
        </w:rPr>
        <w:t>5.9.4 Pass/Fail Assessment</w:t>
      </w:r>
    </w:p>
    <w:p>
      <w:pPr>
        <w:pStyle w:val="ListNumber"/>
        <w:ind w:left="720"/>
      </w:pPr>
      <w:r>
        <w:rPr>
          <w:rFonts w:ascii="Times New Roman" w:hAnsi="Times New Roman" w:eastAsia="Times New Roman"/>
          <w:b/>
          <w:i w:val="0"/>
          <w:sz w:val="24"/>
        </w:rPr>
        <w:t>Static XGB post-shock regret &gt; LinUCB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$2.48</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Static XGB post-shock regret &gt; LinTS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$0.03 → $4.96</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$0.46 → $5.02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and LinTS cumulative regret &lt; Static XGB.</w:t>
      </w:r>
      <w:r>
        <w:rPr>
          <w:rFonts w:ascii="Times New Roman" w:hAnsi="Times New Roman" w:eastAsia="Times New Roman"/>
          <w:b w:val="0"/>
          <w:i w:val="0"/>
          <w:sz w:val="24"/>
        </w:rPr>
        <w:t xml:space="preserve"> $21{,}679 &lt; 39{,}093</w:t>
      </w:r>
      <w:r>
        <w:rPr>
          <w:rFonts w:ascii="Times New Roman" w:hAnsi="Times New Roman" w:eastAsia="Times New Roman"/>
          <w:b w:val="0"/>
          <w:i/>
          <w:sz w:val="24"/>
        </w:rPr>
        <w:t xml:space="preserve">; </w:t>
      </w:r>
      <w:r>
        <w:rPr>
          <w:rFonts w:ascii="Times New Roman" w:hAnsi="Times New Roman" w:eastAsia="Times New Roman"/>
          <w:b w:val="0"/>
          <w:i w:val="0"/>
          <w:sz w:val="24"/>
        </w:rPr>
        <w:t>20{,}824 &lt; 39{,}093$. PASSED.</w:t>
      </w:r>
    </w:p>
    <w:p>
      <w:pPr>
        <w:spacing w:after="240" w:before="0" w:lineRule="auto" w:line="360"/>
        <w:ind w:firstLine="720"/>
        <w:jc w:val="both"/>
      </w:pPr>
      <w:r>
        <w:rPr>
          <w:rFonts w:ascii="Times New Roman" w:hAnsi="Times New Roman" w:eastAsia="Times New Roman"/>
          <w:b w:val="0"/>
          <w:i w:val="0"/>
          <w:sz w:val="24"/>
        </w:rPr>
        <w:t xml:space="preserve">EXP-009: PASS (with the convergence-confound caveat in §5.9.3). These criteria compare the bandits to the </w:t>
      </w:r>
      <w:r>
        <w:rPr>
          <w:rFonts w:ascii="Times New Roman" w:hAnsi="Times New Roman" w:eastAsia="Times New Roman"/>
          <w:b w:val="0"/>
          <w:i/>
          <w:sz w:val="24"/>
        </w:rPr>
        <w:t>frozen rule</w:t>
      </w:r>
      <w:r>
        <w:rPr>
          <w:rFonts w:ascii="Times New Roman" w:hAnsi="Times New Roman" w:eastAsia="Times New Roman"/>
          <w:b w:val="0"/>
          <w:i w:val="0"/>
          <w:sz w:val="24"/>
        </w:rPr>
        <w:t>; the decisive comparison — to the constant policy — is taken up in §5.9.5.</w:t>
      </w:r>
    </w:p>
    <w:p>
      <w:pPr>
        <w:spacing w:after="240" w:before="0" w:lineRule="auto" w:line="360"/>
        <w:ind w:left="720"/>
        <w:jc w:val="left"/>
      </w:pPr>
      <w:r>
        <w:rPr>
          <w:rFonts w:ascii="Times New Roman" w:hAnsi="Times New Roman" w:eastAsia="Times New Roman"/>
          <w:b/>
          <w:i w:val="0"/>
          <w:sz w:val="24"/>
        </w:rPr>
        <w:t>5.9.5 EXP-015: Does Adaptivity Rescue the Bandit under Drift? (Full Ladder + Forgetting Bandit)</w:t>
      </w:r>
    </w:p>
    <w:p>
      <w:pPr>
        <w:spacing w:after="240" w:before="0" w:lineRule="auto" w:line="360"/>
        <w:ind w:firstLine="720"/>
        <w:jc w:val="both"/>
      </w:pPr>
      <w:r>
        <w:rPr>
          <w:rFonts w:ascii="Times New Roman" w:hAnsi="Times New Roman" w:eastAsia="Times New Roman"/>
          <w:b w:val="0"/>
          <w:i w:val="0"/>
          <w:sz w:val="24"/>
        </w:rPr>
        <w:t xml:space="preserve">EXP-009 establishes that the bandits absorb the shock better than the </w:t>
      </w:r>
      <w:r>
        <w:rPr>
          <w:rFonts w:ascii="Times New Roman" w:hAnsi="Times New Roman" w:eastAsia="Times New Roman"/>
          <w:b w:val="0"/>
          <w:i/>
          <w:sz w:val="24"/>
        </w:rPr>
        <w:t>frozen rule</w:t>
      </w:r>
      <w:r>
        <w:rPr>
          <w:rFonts w:ascii="Times New Roman" w:hAnsi="Times New Roman" w:eastAsia="Times New Roman"/>
          <w:b w:val="0"/>
          <w:i w:val="0"/>
          <w:sz w:val="24"/>
        </w:rPr>
        <w:t xml:space="preserve">. The decisive question for the thesis is different: under non-stationarity — where a fixed policy supposedly </w:t>
      </w:r>
      <w:r>
        <w:rPr>
          <w:rFonts w:ascii="Times New Roman" w:hAnsi="Times New Roman" w:eastAsia="Times New Roman"/>
          <w:b w:val="0"/>
          <w:i/>
          <w:sz w:val="24"/>
        </w:rPr>
        <w:t>cannot</w:t>
      </w:r>
      <w:r>
        <w:rPr>
          <w:rFonts w:ascii="Times New Roman" w:hAnsi="Times New Roman" w:eastAsia="Times New Roman"/>
          <w:b w:val="0"/>
          <w:i w:val="0"/>
          <w:sz w:val="24"/>
        </w:rPr>
        <w:t xml:space="preserve"> adapt but a learner can — </w:t>
      </w:r>
      <w:r>
        <w:rPr>
          <w:rFonts w:ascii="Times New Roman" w:hAnsi="Times New Roman" w:eastAsia="Times New Roman"/>
          <w:b/>
          <w:i w:val="0"/>
          <w:sz w:val="24"/>
        </w:rPr>
        <w:t>does any adaptive policy beat the best constant?</w:t>
      </w:r>
      <w:r>
        <w:rPr>
          <w:rFonts w:ascii="Times New Roman" w:hAnsi="Times New Roman" w:eastAsia="Times New Roman"/>
          <w:b w:val="0"/>
          <w:i w:val="0"/>
          <w:sz w:val="24"/>
        </w:rPr>
        <w:t xml:space="preserve"> EXP-015 answers it by running the complete ladder (including the constants EXP-009 omitted) plus </w:t>
      </w:r>
      <w:r>
        <w:rPr>
          <w:rFonts w:ascii="Times New Roman" w:hAnsi="Times New Roman" w:eastAsia="Times New Roman"/>
          <w:b/>
          <w:i w:val="0"/>
          <w:sz w:val="24"/>
        </w:rPr>
        <w:t>DiscountedLinUCB</w:t>
      </w:r>
      <w:r>
        <w:rPr>
          <w:rFonts w:ascii="Times New Roman" w:hAnsi="Times New Roman" w:eastAsia="Times New Roman"/>
          <w:b w:val="0"/>
          <w:i w:val="0"/>
          <w:sz w:val="24"/>
        </w:rPr>
        <w:t xml:space="preserve"> at two forgetting rates, under (1) the thesis's own EXP-009 shock and (2) a </w:t>
      </w:r>
      <w:r>
        <w:rPr>
          <w:rFonts w:ascii="Times New Roman" w:hAnsi="Times New Roman" w:eastAsia="Times New Roman"/>
          <w:b w:val="0"/>
          <w:i/>
          <w:sz w:val="24"/>
        </w:rPr>
        <w:t>severe</w:t>
      </w:r>
      <w:r>
        <w:rPr>
          <w:rFonts w:ascii="Times New Roman" w:hAnsi="Times New Roman" w:eastAsia="Times New Roman"/>
          <w:b w:val="0"/>
          <w:i w:val="0"/>
          <w:sz w:val="24"/>
        </w:rPr>
        <w:t xml:space="preserve"> constructed shock (post-shock claims +50 %, engineered to make "rate everyone" loss-making). 20 seeds, shock at round 1,500, common random numbers.</w:t>
      </w:r>
    </w:p>
    <w:p>
      <w:pPr>
        <w:spacing w:after="240" w:before="0" w:lineRule="auto" w:line="360"/>
        <w:ind w:firstLine="720"/>
        <w:jc w:val="both"/>
      </w:pPr>
      <w:r>
        <w:rPr>
          <w:rFonts w:ascii="Times New Roman" w:hAnsi="Times New Roman" w:eastAsia="Times New Roman"/>
          <w:b/>
          <w:i w:val="0"/>
          <w:sz w:val="24"/>
        </w:rPr>
        <w:t>Table 5.9.2 — EXP-015 drift rescue, total reward (20 seeds, mean)</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Policy</w:t>
            </w:r>
          </w:p>
        </w:tc>
        <w:tc>
          <w:tcPr>
            <w:tcW w:type="dxa" w:w="2890"/>
          </w:tcPr>
          <w:p>
            <w:pPr>
              <w:spacing w:after="120" w:before="0" w:lineRule="auto" w:line="276"/>
              <w:jc w:val="left"/>
            </w:pPr>
            <w:r/>
            <w:r>
              <w:rPr>
                <w:rFonts w:ascii="Times New Roman" w:hAnsi="Times New Roman" w:eastAsia="Times New Roman"/>
                <w:b w:val="0"/>
                <w:i w:val="0"/>
                <w:sz w:val="22"/>
              </w:rPr>
              <w:t>Scenario 1: EXP-009 shock</w:t>
            </w:r>
          </w:p>
        </w:tc>
        <w:tc>
          <w:tcPr>
            <w:tcW w:type="dxa" w:w="2890"/>
          </w:tcPr>
          <w:p>
            <w:pPr>
              <w:spacing w:after="120" w:before="0" w:lineRule="auto" w:line="276"/>
              <w:jc w:val="left"/>
            </w:pPr>
            <w:r/>
            <w:r>
              <w:rPr>
                <w:rFonts w:ascii="Times New Roman" w:hAnsi="Times New Roman" w:eastAsia="Times New Roman"/>
                <w:b w:val="0"/>
                <w:i w:val="0"/>
                <w:sz w:val="22"/>
              </w:rPr>
              <w:t>Scenario 2: severe shock</w:t>
            </w:r>
          </w:p>
        </w:tc>
      </w:tr>
      <w:tr>
        <w:tc>
          <w:tcPr>
            <w:tcW w:type="dxa" w:w="2890"/>
          </w:tcPr>
          <w:p>
            <w:pPr>
              <w:spacing w:after="120" w:before="0" w:lineRule="auto" w:line="276"/>
              <w:jc w:val="left"/>
            </w:pPr>
            <w:r/>
            <w:r>
              <w:rPr>
                <w:rFonts w:ascii="Times New Roman" w:hAnsi="Times New Roman" w:eastAsia="Times New Roman"/>
                <w:b w:val="0"/>
                <w:i w:val="0"/>
                <w:sz w:val="22"/>
              </w:rPr>
              <w:t>Oracle</w:t>
            </w:r>
          </w:p>
        </w:tc>
        <w:tc>
          <w:tcPr>
            <w:tcW w:type="dxa" w:w="2890"/>
          </w:tcPr>
          <w:p>
            <w:pPr>
              <w:spacing w:after="120" w:before="0" w:lineRule="auto" w:line="276"/>
              <w:jc w:val="left"/>
            </w:pPr>
            <w:r/>
            <w:r>
              <w:rPr>
                <w:rFonts w:ascii="Times New Roman" w:hAnsi="Times New Roman" w:eastAsia="Times New Roman"/>
                <w:b w:val="0"/>
                <w:i w:val="0"/>
                <w:sz w:val="22"/>
              </w:rPr>
              <w:t>104,680</w:t>
            </w:r>
          </w:p>
        </w:tc>
        <w:tc>
          <w:tcPr>
            <w:tcW w:type="dxa" w:w="2890"/>
          </w:tcPr>
          <w:p>
            <w:pPr>
              <w:spacing w:after="120" w:before="0" w:lineRule="auto" w:line="276"/>
              <w:jc w:val="left"/>
            </w:pPr>
            <w:r/>
            <w:r>
              <w:rPr>
                <w:rFonts w:ascii="Times New Roman" w:hAnsi="Times New Roman" w:eastAsia="Times New Roman"/>
                <w:b w:val="0"/>
                <w:i w:val="0"/>
                <w:sz w:val="22"/>
              </w:rPr>
              <w:t>22,829</w:t>
            </w:r>
          </w:p>
        </w:tc>
      </w:tr>
      <w:tr>
        <w:tc>
          <w:tcPr>
            <w:tcW w:type="dxa" w:w="2890"/>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(best constant)</w:t>
            </w:r>
          </w:p>
        </w:tc>
        <w:tc>
          <w:tcPr>
            <w:tcW w:type="dxa" w:w="2890"/>
          </w:tcPr>
          <w:p>
            <w:pPr>
              <w:spacing w:after="120" w:before="0" w:lineRule="auto" w:line="276"/>
              <w:jc w:val="left"/>
            </w:pPr>
            <w:r/>
            <w:r>
              <w:rPr>
                <w:rFonts w:ascii="Times New Roman" w:hAnsi="Times New Roman" w:eastAsia="Times New Roman"/>
                <w:b/>
                <w:i w:val="0"/>
                <w:sz w:val="22"/>
              </w:rPr>
              <w:t>99,321</w:t>
            </w:r>
          </w:p>
        </w:tc>
        <w:tc>
          <w:tcPr>
            <w:tcW w:type="dxa" w:w="2890"/>
          </w:tcPr>
          <w:p>
            <w:pPr>
              <w:spacing w:after="120" w:before="0" w:lineRule="auto" w:line="276"/>
              <w:jc w:val="left"/>
            </w:pPr>
            <w:r/>
            <w:r>
              <w:rPr>
                <w:rFonts w:ascii="Times New Roman" w:hAnsi="Times New Roman" w:eastAsia="Times New Roman"/>
                <w:b/>
                <w:i w:val="0"/>
                <w:sz w:val="22"/>
              </w:rPr>
              <w:t>10,364</w:t>
            </w:r>
          </w:p>
        </w:tc>
      </w:tr>
      <w:tr>
        <w:tc>
          <w:tcPr>
            <w:tcW w:type="dxa" w:w="2890"/>
          </w:tcPr>
          <w:p>
            <w:pPr>
              <w:spacing w:after="120" w:before="0" w:lineRule="auto" w:line="276"/>
              <w:jc w:val="left"/>
            </w:pPr>
            <w:r/>
            <w:r>
              <w:rPr>
                <w:rFonts w:ascii="Times New Roman" w:hAnsi="Times New Roman" w:eastAsia="Times New Roman"/>
                <w:b w:val="0"/>
                <w:i w:val="0"/>
                <w:sz w:val="22"/>
              </w:rPr>
              <w:t>LinTS</w:t>
            </w:r>
          </w:p>
        </w:tc>
        <w:tc>
          <w:tcPr>
            <w:tcW w:type="dxa" w:w="2890"/>
          </w:tcPr>
          <w:p>
            <w:pPr>
              <w:spacing w:after="120" w:before="0" w:lineRule="auto" w:line="276"/>
              <w:jc w:val="left"/>
            </w:pPr>
            <w:r/>
            <w:r>
              <w:rPr>
                <w:rFonts w:ascii="Times New Roman" w:hAnsi="Times New Roman" w:eastAsia="Times New Roman"/>
                <w:b w:val="0"/>
                <w:i w:val="0"/>
                <w:sz w:val="22"/>
              </w:rPr>
              <w:t>71,429 (−39.0 %, p &lt; 0.0001, d = −4.3)</w:t>
            </w:r>
          </w:p>
        </w:tc>
        <w:tc>
          <w:tcPr>
            <w:tcW w:type="dxa" w:w="2890"/>
          </w:tcPr>
          <w:p>
            <w:pPr>
              <w:spacing w:after="120" w:before="0" w:lineRule="auto" w:line="276"/>
              <w:jc w:val="left"/>
            </w:pPr>
            <w:r/>
            <w:r>
              <w:rPr>
                <w:rFonts w:ascii="Times New Roman" w:hAnsi="Times New Roman" w:eastAsia="Times New Roman"/>
                <w:b w:val="0"/>
                <w:i w:val="0"/>
                <w:sz w:val="22"/>
              </w:rPr>
              <w:t>−14,296 (p &lt; 0.0001, d = −4.6)</w:t>
            </w:r>
          </w:p>
        </w:tc>
      </w:tr>
      <w:tr>
        <w:tc>
          <w:tcPr>
            <w:tcW w:type="dxa" w:w="2890"/>
          </w:tcPr>
          <w:p>
            <w:pPr>
              <w:spacing w:after="120" w:before="0" w:lineRule="auto" w:line="276"/>
              <w:jc w:val="left"/>
            </w:pPr>
            <w:r/>
            <w:r>
              <w:rPr>
                <w:rFonts w:ascii="Times New Roman" w:hAnsi="Times New Roman" w:eastAsia="Times New Roman"/>
                <w:b w:val="0"/>
                <w:i w:val="0"/>
                <w:sz w:val="22"/>
              </w:rPr>
              <w:t>LinUCB</w:t>
            </w:r>
          </w:p>
        </w:tc>
        <w:tc>
          <w:tcPr>
            <w:tcW w:type="dxa" w:w="2890"/>
          </w:tcPr>
          <w:p>
            <w:pPr>
              <w:spacing w:after="120" w:before="0" w:lineRule="auto" w:line="276"/>
              <w:jc w:val="left"/>
            </w:pPr>
            <w:r/>
            <w:r>
              <w:rPr>
                <w:rFonts w:ascii="Times New Roman" w:hAnsi="Times New Roman" w:eastAsia="Times New Roman"/>
                <w:b w:val="0"/>
                <w:i w:val="0"/>
                <w:sz w:val="22"/>
              </w:rPr>
              <w:t>71,373 (−39.2 %, p &lt; 0.0001, d = −5.3)</w:t>
            </w:r>
          </w:p>
        </w:tc>
        <w:tc>
          <w:tcPr>
            <w:tcW w:type="dxa" w:w="2890"/>
          </w:tcPr>
          <w:p>
            <w:pPr>
              <w:spacing w:after="120" w:before="0" w:lineRule="auto" w:line="276"/>
              <w:jc w:val="left"/>
            </w:pPr>
            <w:r/>
            <w:r>
              <w:rPr>
                <w:rFonts w:ascii="Times New Roman" w:hAnsi="Times New Roman" w:eastAsia="Times New Roman"/>
                <w:b w:val="0"/>
                <w:i w:val="0"/>
                <w:sz w:val="22"/>
              </w:rPr>
              <w:t>−14,443 (p &lt; 0.0001, d = −5.7)</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.999)</w:t>
            </w:r>
          </w:p>
        </w:tc>
        <w:tc>
          <w:tcPr>
            <w:tcW w:type="dxa" w:w="2890"/>
          </w:tcPr>
          <w:p>
            <w:pPr>
              <w:spacing w:after="120" w:before="0" w:lineRule="auto" w:line="276"/>
              <w:jc w:val="left"/>
            </w:pPr>
            <w:r/>
            <w:r>
              <w:rPr>
                <w:rFonts w:ascii="Times New Roman" w:hAnsi="Times New Roman" w:eastAsia="Times New Roman"/>
                <w:b w:val="0"/>
                <w:i w:val="0"/>
                <w:sz w:val="22"/>
              </w:rPr>
              <w:t>70,995 (−39.9 %)</w:t>
            </w:r>
          </w:p>
        </w:tc>
        <w:tc>
          <w:tcPr>
            <w:tcW w:type="dxa" w:w="2890"/>
          </w:tcPr>
          <w:p>
            <w:pPr>
              <w:spacing w:after="120" w:before="0" w:lineRule="auto" w:line="276"/>
              <w:jc w:val="left"/>
            </w:pPr>
            <w:r/>
            <w:r>
              <w:rPr>
                <w:rFonts w:ascii="Times New Roman" w:hAnsi="Times New Roman" w:eastAsia="Times New Roman"/>
                <w:b w:val="0"/>
                <w:i w:val="0"/>
                <w:sz w:val="22"/>
              </w:rPr>
              <w:t>−20,542</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.995)</w:t>
            </w:r>
          </w:p>
        </w:tc>
        <w:tc>
          <w:tcPr>
            <w:tcW w:type="dxa" w:w="2890"/>
          </w:tcPr>
          <w:p>
            <w:pPr>
              <w:spacing w:after="120" w:before="0" w:lineRule="auto" w:line="276"/>
              <w:jc w:val="left"/>
            </w:pPr>
            <w:r/>
            <w:r>
              <w:rPr>
                <w:rFonts w:ascii="Times New Roman" w:hAnsi="Times New Roman" w:eastAsia="Times New Roman"/>
                <w:b w:val="0"/>
                <w:i w:val="0"/>
                <w:sz w:val="22"/>
              </w:rPr>
              <w:t>68,919</w:t>
            </w:r>
          </w:p>
        </w:tc>
        <w:tc>
          <w:tcPr>
            <w:tcW w:type="dxa" w:w="2890"/>
          </w:tcPr>
          <w:p>
            <w:pPr>
              <w:spacing w:after="120" w:before="0" w:lineRule="auto" w:line="276"/>
              <w:jc w:val="left"/>
            </w:pPr>
            <w:r/>
            <w:r>
              <w:rPr>
                <w:rFonts w:ascii="Times New Roman" w:hAnsi="Times New Roman" w:eastAsia="Times New Roman"/>
                <w:b w:val="0"/>
                <w:i w:val="0"/>
                <w:sz w:val="22"/>
              </w:rPr>
              <w:t>—</w:t>
            </w:r>
          </w:p>
        </w:tc>
      </w:tr>
      <w:tr>
        <w:tc>
          <w:tcPr>
            <w:tcW w:type="dxa" w:w="2890"/>
          </w:tcPr>
          <w:p>
            <w:pPr>
              <w:spacing w:after="120" w:before="0" w:lineRule="auto" w:line="276"/>
              <w:jc w:val="left"/>
            </w:pPr>
            <w:r/>
            <w:r>
              <w:rPr>
                <w:rFonts w:ascii="Times New Roman" w:hAnsi="Times New Roman" w:eastAsia="Times New Roman"/>
                <w:b w:val="0"/>
                <w:i w:val="0"/>
                <w:sz w:val="22"/>
              </w:rPr>
              <w:t>Static XGB</w:t>
            </w:r>
          </w:p>
        </w:tc>
        <w:tc>
          <w:tcPr>
            <w:tcW w:type="dxa" w:w="2890"/>
          </w:tcPr>
          <w:p>
            <w:pPr>
              <w:spacing w:after="120" w:before="0" w:lineRule="auto" w:line="276"/>
              <w:jc w:val="left"/>
            </w:pPr>
            <w:r/>
            <w:r>
              <w:rPr>
                <w:rFonts w:ascii="Times New Roman" w:hAnsi="Times New Roman" w:eastAsia="Times New Roman"/>
                <w:b w:val="0"/>
                <w:i w:val="0"/>
                <w:sz w:val="22"/>
              </w:rPr>
              <w:t>52,715</w:t>
            </w:r>
          </w:p>
        </w:tc>
        <w:tc>
          <w:tcPr>
            <w:tcW w:type="dxa" w:w="2890"/>
          </w:tcPr>
          <w:p>
            <w:pPr>
              <w:spacing w:after="120" w:before="0" w:lineRule="auto" w:line="276"/>
              <w:jc w:val="left"/>
            </w:pPr>
            <w:r/>
            <w:r>
              <w:rPr>
                <w:rFonts w:ascii="Times New Roman" w:hAnsi="Times New Roman" w:eastAsia="Times New Roman"/>
                <w:b w:val="0"/>
                <w:i w:val="0"/>
                <w:sz w:val="22"/>
              </w:rPr>
              <w:t>—</w:t>
            </w:r>
          </w:p>
        </w:tc>
      </w:tr>
    </w:tbl>
    <w:p/>
    <w:p>
      <w:pPr>
        <w:spacing w:after="120" w:before="0" w:lineRule="auto" w:line="360"/>
        <w:jc w:val="center"/>
      </w:pPr>
      <w:r>
        <w:drawing>
          <wp:inline xmlns:a="http://schemas.openxmlformats.org/drawingml/2006/main" xmlns:pic="http://schemas.openxmlformats.org/drawingml/2006/picture">
            <wp:extent cx="5486400" cy="3130679"/>
            <wp:docPr id="17" name="Picture 17"/>
            <wp:cNvGraphicFramePr>
              <a:graphicFrameLocks noChangeAspect="1"/>
            </wp:cNvGraphicFramePr>
            <a:graphic>
              <a:graphicData uri="http://schemas.openxmlformats.org/drawingml/2006/picture">
                <pic:pic>
                  <pic:nvPicPr>
                    <pic:cNvPr id="0" name="fig_drift_rescue_ladder.png"/>
                    <pic:cNvPicPr/>
                  </pic:nvPicPr>
                  <pic:blipFill>
                    <a:blip r:embed="rId26"/>
                    <a:stretch>
                      <a:fillRect/>
                    </a:stretch>
                  </pic:blipFill>
                  <pic:spPr>
                    <a:xfrm>
                      <a:off x="0" y="0"/>
                      <a:ext cx="5486400" cy="313067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5.9.2. EXP-015 total reward across the full ladder under the EXP-009 shock; AlwaysRATED (constant) dominates every learner. A severe-shock companion (fig_drift_rescue_ladder_severe.png) shows the learners turning net-negative while the constant stays positive.</w:t>
      </w:r>
    </w:p>
    <w:p>
      <w:pPr>
        <w:spacing w:after="240" w:before="0" w:lineRule="auto" w:line="360"/>
        <w:ind w:firstLine="720"/>
        <w:jc w:val="both"/>
      </w:pPr>
      <w:r>
        <w:rPr>
          <w:rFonts w:ascii="Times New Roman" w:hAnsi="Times New Roman" w:eastAsia="Times New Roman"/>
          <w:b/>
          <w:i w:val="0"/>
          <w:sz w:val="24"/>
        </w:rPr>
        <w:t>Verdict.</w:t>
      </w:r>
      <w:r>
        <w:rPr>
          <w:rFonts w:ascii="Times New Roman" w:hAnsi="Times New Roman" w:eastAsia="Times New Roman"/>
          <w:b w:val="0"/>
          <w:i w:val="0"/>
          <w:sz w:val="24"/>
        </w:rPr>
        <w:t xml:space="preserve"> Under the realistic shock, </w:t>
      </w:r>
      <w:r>
        <w:rPr>
          <w:rFonts w:ascii="Times New Roman" w:hAnsi="Times New Roman" w:eastAsia="Times New Roman"/>
          <w:b/>
          <w:i w:val="0"/>
          <w:sz w:val="24"/>
        </w:rPr>
        <w:t>no adaptive policy beats the best constant</w:t>
      </w:r>
      <w:r>
        <w:rPr>
          <w:rFonts w:ascii="Times New Roman" w:hAnsi="Times New Roman" w:eastAsia="Times New Roman"/>
          <w:b w:val="0"/>
          <w:i w:val="0"/>
          <w:sz w:val="24"/>
        </w:rPr>
        <w:t xml:space="preserve"> — the gap is ~39 % with d ≈ −4 to −5. Under the severe shock the learners go </w:t>
      </w:r>
      <w:r>
        <w:rPr>
          <w:rFonts w:ascii="Times New Roman" w:hAnsi="Times New Roman" w:eastAsia="Times New Roman"/>
          <w:b/>
          <w:i w:val="0"/>
          <w:sz w:val="24"/>
        </w:rPr>
        <w:t>net-negative while the constant stays positive</w:t>
      </w:r>
      <w:r>
        <w:rPr>
          <w:rFonts w:ascii="Times New Roman" w:hAnsi="Times New Roman" w:eastAsia="Times New Roman"/>
          <w:b w:val="0"/>
          <w:i w:val="0"/>
          <w:sz w:val="24"/>
        </w:rPr>
        <w:t xml:space="preserve"> — exactly when the book is most marginal, the bandit's exploration cost is most punishing. </w:t>
      </w:r>
      <w:r>
        <w:rPr>
          <w:rFonts w:ascii="Times New Roman" w:hAnsi="Times New Roman" w:eastAsia="Times New Roman"/>
          <w:b/>
          <w:i w:val="0"/>
          <w:sz w:val="24"/>
        </w:rPr>
        <w:t>Forgetting does not help at any γ.</w:t>
      </w:r>
      <w:r>
        <w:rPr>
          <w:rFonts w:ascii="Times New Roman" w:hAnsi="Times New Roman" w:eastAsia="Times New Roman"/>
          <w:b w:val="0"/>
          <w:i w:val="0"/>
          <w:sz w:val="24"/>
        </w:rPr>
        <w:t xml:space="preserve"> The reason is structural: the shock reshuffles </w:t>
      </w:r>
      <w:r>
        <w:rPr>
          <w:rFonts w:ascii="Times New Roman" w:hAnsi="Times New Roman" w:eastAsia="Times New Roman"/>
          <w:b w:val="0"/>
          <w:i/>
          <w:sz w:val="24"/>
        </w:rPr>
        <w:t>who</w:t>
      </w:r>
      <w:r>
        <w:rPr>
          <w:rFonts w:ascii="Times New Roman" w:hAnsi="Times New Roman" w:eastAsia="Times New Roman"/>
          <w:b w:val="0"/>
          <w:i w:val="0"/>
          <w:sz w:val="24"/>
        </w:rPr>
        <w:t xml:space="preserve"> falls in each risk bucket but does not change the near-constant </w:t>
      </w:r>
      <w:r>
        <w:rPr>
          <w:rFonts w:ascii="Times New Roman" w:hAnsi="Times New Roman" w:eastAsia="Times New Roman"/>
          <w:b w:val="0"/>
          <w:i/>
          <w:sz w:val="24"/>
        </w:rPr>
        <w:t>character</w:t>
      </w:r>
      <w:r>
        <w:rPr>
          <w:rFonts w:ascii="Times New Roman" w:hAnsi="Times New Roman" w:eastAsia="Times New Roman"/>
          <w:b w:val="0"/>
          <w:i w:val="0"/>
          <w:sz w:val="24"/>
        </w:rPr>
        <w:t xml:space="preserve"> of the optimal policy ("rate most, decline the clearly-uninsurable"), so a fixed "rate everyone" policy is barely hurt and there is little for an adaptive learner to exploit. Non-stationarity — the last and most natural place to seek the bandit's value — does not rescue it.</w:t>
      </w:r>
    </w:p>
    <w:p>
      <w:pPr>
        <w:spacing w:after="240" w:before="0" w:lineRule="auto" w:line="360"/>
        <w:jc w:val="left"/>
      </w:pPr>
      <w:r>
        <w:rPr>
          <w:rFonts w:ascii="Times New Roman" w:hAnsi="Times New Roman" w:eastAsia="Times New Roman"/>
          <w:b/>
          <w:i w:val="0"/>
          <w:sz w:val="28"/>
        </w:rPr>
        <w:t>5.10 EXP-010: Cold-Start — When Does the Bandit Catch Up?</w:t>
      </w:r>
    </w:p>
    <w:p>
      <w:pPr>
        <w:spacing w:after="120" w:before="0" w:lineRule="auto" w:line="36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010_cold_start.png"/>
                    <pic:cNvPicPr/>
                  </pic:nvPicPr>
                  <pic:blipFill>
                    <a:blip r:embed="rId27"/>
                    <a:stretch>
                      <a:fillRect/>
                    </a:stretch>
                  </pic:blipFill>
                  <pic:spPr>
                    <a:xfrm>
                      <a:off x="0" y="0"/>
                      <a:ext cx="5486400" cy="34290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5.10. Cumulative reward at horizons T ∈ {200, 500, 1,000, 2,000} for LinUCB, LinTS, and a freshly-trained XGBoost baseline (mean of 10 seeds). FreshXGB leads at T ≤ 500; bandits cross over between T = 1,000 and T = 2,000.</w:t>
      </w:r>
    </w:p>
    <w:p>
      <w:pPr>
        <w:spacing w:after="240" w:before="0" w:lineRule="auto" w:line="360"/>
        <w:ind w:left="720"/>
        <w:jc w:val="left"/>
      </w:pPr>
      <w:r>
        <w:rPr>
          <w:rFonts w:ascii="Times New Roman" w:hAnsi="Times New Roman" w:eastAsia="Times New Roman"/>
          <w:b/>
          <w:i w:val="0"/>
          <w:sz w:val="24"/>
        </w:rPr>
        <w:t>5.10.1 Design</w:t>
      </w:r>
    </w:p>
    <w:p>
      <w:pPr>
        <w:spacing w:after="240" w:before="0" w:lineRule="auto" w:line="360"/>
        <w:ind w:firstLine="720"/>
        <w:jc w:val="both"/>
      </w:pPr>
      <w:r>
        <w:rPr>
          <w:rFonts w:ascii="Times New Roman" w:hAnsi="Times New Roman" w:eastAsia="Times New Roman"/>
          <w:b w:val="0"/>
          <w:i w:val="0"/>
          <w:sz w:val="24"/>
        </w:rPr>
        <w:t xml:space="preserve">EXP-010 asks an operationally crucial question that the headline experiments do not: </w:t>
      </w:r>
      <w:r>
        <w:rPr>
          <w:rFonts w:ascii="Times New Roman" w:hAnsi="Times New Roman" w:eastAsia="Times New Roman"/>
          <w:b w:val="0"/>
          <w:i/>
          <w:sz w:val="24"/>
        </w:rPr>
        <w:t>at what data scale does the bandit begin to beat a freshly-trained static model?</w:t>
      </w:r>
      <w:r>
        <w:rPr>
          <w:rFonts w:ascii="Times New Roman" w:hAnsi="Times New Roman" w:eastAsia="Times New Roman"/>
          <w:b w:val="0"/>
          <w:i w:val="0"/>
          <w:sz w:val="24"/>
        </w:rPr>
        <w:t xml:space="preserve"> At each horizon </w:t>
      </w:r>
      <w:r>
        <w:rPr>
          <w:rFonts w:ascii="Times New Roman" w:hAnsi="Times New Roman" w:eastAsia="Times New Roman"/>
          <w:b w:val="0"/>
          <w:i/>
          <w:sz w:val="24"/>
        </w:rPr>
        <w:t>T ∈ {200, 500, 1,000, 2,000}</w:t>
      </w:r>
      <w:r>
        <w:rPr>
          <w:rFonts w:ascii="Times New Roman" w:hAnsi="Times New Roman" w:eastAsia="Times New Roman"/>
          <w:b w:val="0"/>
          <w:i w:val="0"/>
          <w:sz w:val="24"/>
        </w:rPr>
        <w:t xml:space="preserve">, an XGBoost regressor is retrained from scratch on the first </w:t>
      </w:r>
      <w:r>
        <w:rPr>
          <w:rFonts w:ascii="Times New Roman" w:hAnsi="Times New Roman" w:eastAsia="Times New Roman"/>
          <w:b w:val="0"/>
          <w:i/>
          <w:sz w:val="24"/>
        </w:rPr>
        <w:t>T</w:t>
      </w:r>
      <w:r>
        <w:rPr>
          <w:rFonts w:ascii="Times New Roman" w:hAnsi="Times New Roman" w:eastAsia="Times New Roman"/>
          <w:b w:val="0"/>
          <w:i w:val="0"/>
          <w:sz w:val="24"/>
        </w:rPr>
        <w:t xml:space="preserve"> applicants and then deployed under the same fixed rule engine as the headline Static XGB (the </w:t>
      </w:r>
      <w:r>
        <w:rPr>
          <w:rFonts w:ascii="Times New Roman" w:hAnsi="Times New Roman" w:eastAsia="Times New Roman"/>
          <w:b/>
          <w:i w:val="0"/>
          <w:sz w:val="24"/>
        </w:rPr>
        <w:t>FreshXGB</w:t>
      </w:r>
      <w:r>
        <w:rPr>
          <w:rFonts w:ascii="Times New Roman" w:hAnsi="Times New Roman" w:eastAsia="Times New Roman"/>
          <w:b w:val="0"/>
          <w:i w:val="0"/>
          <w:sz w:val="24"/>
        </w:rPr>
        <w:t xml:space="preserve"> baseline). LinUCB and LinTS are run with their standard parameters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v² = 1.0</w:t>
      </w:r>
      <w:r>
        <w:rPr>
          <w:rFonts w:ascii="Times New Roman" w:hAnsi="Times New Roman" w:eastAsia="Times New Roman"/>
          <w:b w:val="0"/>
          <w:i w:val="0"/>
          <w:sz w:val="24"/>
        </w:rPr>
        <w:t xml:space="preserve">) for exactly </w:t>
      </w:r>
      <w:r>
        <w:rPr>
          <w:rFonts w:ascii="Times New Roman" w:hAnsi="Times New Roman" w:eastAsia="Times New Roman"/>
          <w:b w:val="0"/>
          <w:i/>
          <w:sz w:val="24"/>
        </w:rPr>
        <w:t>T</w:t>
      </w:r>
      <w:r>
        <w:rPr>
          <w:rFonts w:ascii="Times New Roman" w:hAnsi="Times New Roman" w:eastAsia="Times New Roman"/>
          <w:b w:val="0"/>
          <w:i w:val="0"/>
          <w:sz w:val="24"/>
        </w:rPr>
        <w:t xml:space="preserve"> rounds, starting from </w:t>
      </w:r>
      <w:r>
        <w:rPr>
          <w:rFonts w:ascii="Times New Roman" w:hAnsi="Times New Roman" w:eastAsia="Times New Roman"/>
          <w:b w:val="0"/>
          <w:i/>
          <w:sz w:val="24"/>
        </w:rPr>
        <w:t>A = I, b = 0</w:t>
      </w:r>
      <w:r>
        <w:rPr>
          <w:rFonts w:ascii="Times New Roman" w:hAnsi="Times New Roman" w:eastAsia="Times New Roman"/>
          <w:b w:val="0"/>
          <w:i w:val="0"/>
          <w:sz w:val="24"/>
        </w:rPr>
        <w:t xml:space="preserve">. Cumulative rewards at each horizon are compared across </w:t>
      </w:r>
      <w:r>
        <w:rPr>
          <w:rFonts w:ascii="Times New Roman" w:hAnsi="Times New Roman" w:eastAsia="Times New Roman"/>
          <w:b/>
          <w:i w:val="0"/>
          <w:sz w:val="24"/>
        </w:rPr>
        <w:t>10 seeds per horizon</w:t>
      </w:r>
      <w:r>
        <w:rPr>
          <w:rFonts w:ascii="Times New Roman" w:hAnsi="Times New Roman" w:eastAsia="Times New Roman"/>
          <w:b w:val="0"/>
          <w:i w:val="0"/>
          <w:sz w:val="24"/>
        </w:rPr>
        <w:t xml:space="preserve"> owing to the cost of repeated XGBoost refits (`exp_010_cold_start_analysis.py:253`).</w:t>
      </w:r>
    </w:p>
    <w:p>
      <w:pPr>
        <w:spacing w:after="240" w:before="0" w:lineRule="auto" w:line="360"/>
        <w:ind w:left="720"/>
        <w:jc w:val="left"/>
      </w:pPr>
      <w:r>
        <w:rPr>
          <w:rFonts w:ascii="Times New Roman" w:hAnsi="Times New Roman" w:eastAsia="Times New Roman"/>
          <w:b/>
          <w:i w:val="0"/>
          <w:sz w:val="24"/>
        </w:rPr>
        <w:t>5.10.2 Results</w:t>
      </w:r>
    </w:p>
    <w:p>
      <w:pPr>
        <w:spacing w:after="240" w:before="0" w:lineRule="auto" w:line="360"/>
        <w:ind w:firstLine="720"/>
        <w:jc w:val="both"/>
      </w:pPr>
      <w:r>
        <w:rPr>
          <w:rFonts w:ascii="Times New Roman" w:hAnsi="Times New Roman" w:eastAsia="Times New Roman"/>
          <w:b/>
          <w:i w:val="0"/>
          <w:sz w:val="24"/>
        </w:rPr>
        <w:t>Table 5.10.1 — EXP-010 cumulative reward by horizon (10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 xml:space="preserve">Horizon </w:t>
            </w:r>
            <w:r>
              <w:rPr>
                <w:rFonts w:ascii="Times New Roman" w:hAnsi="Times New Roman" w:eastAsia="Times New Roman"/>
                <w:b w:val="0"/>
                <w:i/>
                <w:sz w:val="22"/>
              </w:rPr>
              <w:t>T</w:t>
            </w:r>
          </w:p>
        </w:tc>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FreshXGB</w:t>
            </w:r>
          </w:p>
        </w:tc>
        <w:tc>
          <w:tcPr>
            <w:tcW w:type="dxa" w:w="1734"/>
          </w:tcPr>
          <w:p>
            <w:pPr>
              <w:spacing w:after="120" w:before="0" w:lineRule="auto" w:line="276"/>
              <w:jc w:val="left"/>
            </w:pPr>
            <w:r/>
            <w:r>
              <w:rPr>
                <w:rFonts w:ascii="Times New Roman" w:hAnsi="Times New Roman" w:eastAsia="Times New Roman"/>
                <w:b w:val="0"/>
                <w:i w:val="0"/>
                <w:sz w:val="22"/>
              </w:rPr>
              <w:t>Bandit winner?</w:t>
            </w:r>
          </w:p>
        </w:tc>
      </w:tr>
      <w:tr>
        <w:tc>
          <w:tcPr>
            <w:tcW w:type="dxa" w:w="1734"/>
          </w:tcPr>
          <w:p>
            <w:pPr>
              <w:spacing w:after="120" w:before="0" w:lineRule="auto" w:line="276"/>
              <w:jc w:val="left"/>
            </w:pPr>
            <w:r/>
            <w:r>
              <w:rPr>
                <w:rFonts w:ascii="Times New Roman" w:hAnsi="Times New Roman" w:eastAsia="Times New Roman"/>
                <w:b w:val="0"/>
                <w:i w:val="0"/>
                <w:sz w:val="22"/>
              </w:rPr>
              <w:t>200</w:t>
            </w:r>
          </w:p>
        </w:tc>
        <w:tc>
          <w:tcPr>
            <w:tcW w:type="dxa" w:w="1734"/>
          </w:tcPr>
          <w:p>
            <w:pPr>
              <w:spacing w:after="120" w:before="0" w:lineRule="auto" w:line="276"/>
              <w:jc w:val="left"/>
            </w:pPr>
            <w:r/>
            <w:r>
              <w:rPr>
                <w:rFonts w:ascii="Times New Roman" w:hAnsi="Times New Roman" w:eastAsia="Times New Roman"/>
                <w:b w:val="0"/>
                <w:i w:val="0"/>
                <w:sz w:val="22"/>
              </w:rPr>
              <w:t>1,313 ± 971</w:t>
            </w:r>
          </w:p>
        </w:tc>
        <w:tc>
          <w:tcPr>
            <w:tcW w:type="dxa" w:w="1734"/>
          </w:tcPr>
          <w:p>
            <w:pPr>
              <w:spacing w:after="120" w:before="0" w:lineRule="auto" w:line="276"/>
              <w:jc w:val="left"/>
            </w:pPr>
            <w:r/>
            <w:r>
              <w:rPr>
                <w:rFonts w:ascii="Times New Roman" w:hAnsi="Times New Roman" w:eastAsia="Times New Roman"/>
                <w:b w:val="0"/>
                <w:i w:val="0"/>
                <w:sz w:val="22"/>
              </w:rPr>
              <w:t>1,206 ± 1,038</w:t>
            </w:r>
          </w:p>
        </w:tc>
        <w:tc>
          <w:tcPr>
            <w:tcW w:type="dxa" w:w="1734"/>
          </w:tcPr>
          <w:p>
            <w:pPr>
              <w:spacing w:after="120" w:before="0" w:lineRule="auto" w:line="276"/>
              <w:jc w:val="left"/>
            </w:pPr>
            <w:r/>
            <w:r>
              <w:rPr>
                <w:rFonts w:ascii="Times New Roman" w:hAnsi="Times New Roman" w:eastAsia="Times New Roman"/>
                <w:b/>
                <w:i w:val="0"/>
                <w:sz w:val="22"/>
              </w:rPr>
              <w:t>2,812 ± 1,115</w:t>
            </w:r>
          </w:p>
        </w:tc>
        <w:tc>
          <w:tcPr>
            <w:tcW w:type="dxa" w:w="1734"/>
          </w:tcPr>
          <w:p>
            <w:pPr>
              <w:spacing w:after="120" w:before="0" w:lineRule="auto" w:line="276"/>
              <w:jc w:val="left"/>
            </w:pPr>
            <w:r/>
            <w:r>
              <w:rPr>
                <w:rFonts w:ascii="Times New Roman" w:hAnsi="Times New Roman" w:eastAsia="Times New Roman"/>
                <w:b w:val="0"/>
                <w:i w:val="0"/>
                <w:sz w:val="22"/>
              </w:rPr>
              <w:t>No — FreshXGB ≈ 2.1×</w:t>
            </w:r>
          </w:p>
        </w:tc>
      </w:tr>
      <w:tr>
        <w:tc>
          <w:tcPr>
            <w:tcW w:type="dxa" w:w="1734"/>
          </w:tcPr>
          <w:p>
            <w:pPr>
              <w:spacing w:after="120" w:before="0" w:lineRule="auto" w:line="276"/>
              <w:jc w:val="left"/>
            </w:pPr>
            <w:r/>
            <w:r>
              <w:rPr>
                <w:rFonts w:ascii="Times New Roman" w:hAnsi="Times New Roman" w:eastAsia="Times New Roman"/>
                <w:b w:val="0"/>
                <w:i w:val="0"/>
                <w:sz w:val="22"/>
              </w:rPr>
              <w:t>500</w:t>
            </w:r>
          </w:p>
        </w:tc>
        <w:tc>
          <w:tcPr>
            <w:tcW w:type="dxa" w:w="1734"/>
          </w:tcPr>
          <w:p>
            <w:pPr>
              <w:spacing w:after="120" w:before="0" w:lineRule="auto" w:line="276"/>
              <w:jc w:val="left"/>
            </w:pPr>
            <w:r/>
            <w:r>
              <w:rPr>
                <w:rFonts w:ascii="Times New Roman" w:hAnsi="Times New Roman" w:eastAsia="Times New Roman"/>
                <w:b w:val="0"/>
                <w:i w:val="0"/>
                <w:sz w:val="22"/>
              </w:rPr>
              <w:t>5,593 ± 1,597</w:t>
            </w:r>
          </w:p>
        </w:tc>
        <w:tc>
          <w:tcPr>
            <w:tcW w:type="dxa" w:w="1734"/>
          </w:tcPr>
          <w:p>
            <w:pPr>
              <w:spacing w:after="120" w:before="0" w:lineRule="auto" w:line="276"/>
              <w:jc w:val="left"/>
            </w:pPr>
            <w:r/>
            <w:r>
              <w:rPr>
                <w:rFonts w:ascii="Times New Roman" w:hAnsi="Times New Roman" w:eastAsia="Times New Roman"/>
                <w:b w:val="0"/>
                <w:i w:val="0"/>
                <w:sz w:val="22"/>
              </w:rPr>
              <w:t>5,570 ± 1,051</w:t>
            </w:r>
          </w:p>
        </w:tc>
        <w:tc>
          <w:tcPr>
            <w:tcW w:type="dxa" w:w="1734"/>
          </w:tcPr>
          <w:p>
            <w:pPr>
              <w:spacing w:after="120" w:before="0" w:lineRule="auto" w:line="276"/>
              <w:jc w:val="left"/>
            </w:pPr>
            <w:r/>
            <w:r>
              <w:rPr>
                <w:rFonts w:ascii="Times New Roman" w:hAnsi="Times New Roman" w:eastAsia="Times New Roman"/>
                <w:b/>
                <w:i w:val="0"/>
                <w:sz w:val="22"/>
              </w:rPr>
              <w:t>7,048 ± 1,407</w:t>
            </w:r>
          </w:p>
        </w:tc>
        <w:tc>
          <w:tcPr>
            <w:tcW w:type="dxa" w:w="1734"/>
          </w:tcPr>
          <w:p>
            <w:pPr>
              <w:spacing w:after="120" w:before="0" w:lineRule="auto" w:line="276"/>
              <w:jc w:val="left"/>
            </w:pPr>
            <w:r/>
            <w:r>
              <w:rPr>
                <w:rFonts w:ascii="Times New Roman" w:hAnsi="Times New Roman" w:eastAsia="Times New Roman"/>
                <w:b w:val="0"/>
                <w:i w:val="0"/>
                <w:sz w:val="22"/>
              </w:rPr>
              <w:t>No — FreshXGB ≈ 1.26×</w:t>
            </w:r>
          </w:p>
        </w:tc>
      </w:tr>
      <w:tr>
        <w:tc>
          <w:tcPr>
            <w:tcW w:type="dxa" w:w="1734"/>
          </w:tcPr>
          <w:p>
            <w:pPr>
              <w:spacing w:after="120" w:before="0" w:lineRule="auto" w:line="276"/>
              <w:jc w:val="left"/>
            </w:pPr>
            <w:r/>
            <w:r>
              <w:rPr>
                <w:rFonts w:ascii="Times New Roman" w:hAnsi="Times New Roman" w:eastAsia="Times New Roman"/>
                <w:b w:val="0"/>
                <w:i w:val="0"/>
                <w:sz w:val="22"/>
              </w:rPr>
              <w:t>1,000</w:t>
            </w:r>
          </w:p>
        </w:tc>
        <w:tc>
          <w:tcPr>
            <w:tcW w:type="dxa" w:w="1734"/>
          </w:tcPr>
          <w:p>
            <w:pPr>
              <w:spacing w:after="120" w:before="0" w:lineRule="auto" w:line="276"/>
              <w:jc w:val="left"/>
            </w:pPr>
            <w:r/>
            <w:r>
              <w:rPr>
                <w:rFonts w:ascii="Times New Roman" w:hAnsi="Times New Roman" w:eastAsia="Times New Roman"/>
                <w:b w:val="0"/>
                <w:i w:val="0"/>
                <w:sz w:val="22"/>
              </w:rPr>
              <w:t>13,033 ± 2,174</w:t>
            </w:r>
          </w:p>
        </w:tc>
        <w:tc>
          <w:tcPr>
            <w:tcW w:type="dxa" w:w="1734"/>
          </w:tcPr>
          <w:p>
            <w:pPr>
              <w:spacing w:after="120" w:before="0" w:lineRule="auto" w:line="276"/>
              <w:jc w:val="left"/>
            </w:pPr>
            <w:r/>
            <w:r>
              <w:rPr>
                <w:rFonts w:ascii="Times New Roman" w:hAnsi="Times New Roman" w:eastAsia="Times New Roman"/>
                <w:b w:val="0"/>
                <w:i w:val="0"/>
                <w:sz w:val="22"/>
              </w:rPr>
              <w:t>13,496 ± 949</w:t>
            </w:r>
          </w:p>
        </w:tc>
        <w:tc>
          <w:tcPr>
            <w:tcW w:type="dxa" w:w="1734"/>
          </w:tcPr>
          <w:p>
            <w:pPr>
              <w:spacing w:after="120" w:before="0" w:lineRule="auto" w:line="276"/>
              <w:jc w:val="left"/>
            </w:pPr>
            <w:r/>
            <w:r>
              <w:rPr>
                <w:rFonts w:ascii="Times New Roman" w:hAnsi="Times New Roman" w:eastAsia="Times New Roman"/>
                <w:b w:val="0"/>
                <w:i w:val="0"/>
                <w:sz w:val="22"/>
              </w:rPr>
              <w:t>13,692 ± 1,819</w:t>
            </w:r>
          </w:p>
        </w:tc>
        <w:tc>
          <w:tcPr>
            <w:tcW w:type="dxa" w:w="1734"/>
          </w:tcPr>
          <w:p>
            <w:pPr>
              <w:spacing w:after="120" w:before="0" w:lineRule="auto" w:line="276"/>
              <w:jc w:val="left"/>
            </w:pPr>
            <w:r/>
            <w:r>
              <w:rPr>
                <w:rFonts w:ascii="Times New Roman" w:hAnsi="Times New Roman" w:eastAsia="Times New Roman"/>
                <w:b w:val="0"/>
                <w:i w:val="0"/>
                <w:sz w:val="22"/>
              </w:rPr>
              <w:t>Tie (within seed variance)</w:t>
            </w:r>
          </w:p>
        </w:tc>
      </w:tr>
      <w:tr>
        <w:tc>
          <w:tcPr>
            <w:tcW w:type="dxa" w:w="1734"/>
          </w:tcPr>
          <w:p>
            <w:pPr>
              <w:spacing w:after="120" w:before="0" w:lineRule="auto" w:line="276"/>
              <w:jc w:val="left"/>
            </w:pPr>
            <w:r/>
            <w:r>
              <w:rPr>
                <w:rFonts w:ascii="Times New Roman" w:hAnsi="Times New Roman" w:eastAsia="Times New Roman"/>
                <w:b w:val="0"/>
                <w:i w:val="0"/>
                <w:sz w:val="22"/>
              </w:rPr>
              <w:t>2,000</w:t>
            </w:r>
          </w:p>
        </w:tc>
        <w:tc>
          <w:tcPr>
            <w:tcW w:type="dxa" w:w="1734"/>
          </w:tcPr>
          <w:p>
            <w:pPr>
              <w:spacing w:after="120" w:before="0" w:lineRule="auto" w:line="276"/>
              <w:jc w:val="left"/>
            </w:pPr>
            <w:r/>
            <w:r>
              <w:rPr>
                <w:rFonts w:ascii="Times New Roman" w:hAnsi="Times New Roman" w:eastAsia="Times New Roman"/>
                <w:b/>
                <w:i w:val="0"/>
                <w:sz w:val="22"/>
              </w:rPr>
              <w:t>31,227 ± 2,987</w:t>
            </w:r>
          </w:p>
        </w:tc>
        <w:tc>
          <w:tcPr>
            <w:tcW w:type="dxa" w:w="1734"/>
          </w:tcPr>
          <w:p>
            <w:pPr>
              <w:spacing w:after="120" w:before="0" w:lineRule="auto" w:line="276"/>
              <w:jc w:val="left"/>
            </w:pPr>
            <w:r/>
            <w:r>
              <w:rPr>
                <w:rFonts w:ascii="Times New Roman" w:hAnsi="Times New Roman" w:eastAsia="Times New Roman"/>
                <w:b/>
                <w:i w:val="0"/>
                <w:sz w:val="22"/>
              </w:rPr>
              <w:t>31,401 ± 2,187</w:t>
            </w:r>
          </w:p>
        </w:tc>
        <w:tc>
          <w:tcPr>
            <w:tcW w:type="dxa" w:w="1734"/>
          </w:tcPr>
          <w:p>
            <w:pPr>
              <w:spacing w:after="120" w:before="0" w:lineRule="auto" w:line="276"/>
              <w:jc w:val="left"/>
            </w:pPr>
            <w:r/>
            <w:r>
              <w:rPr>
                <w:rFonts w:ascii="Times New Roman" w:hAnsi="Times New Roman" w:eastAsia="Times New Roman"/>
                <w:b w:val="0"/>
                <w:i w:val="0"/>
                <w:sz w:val="22"/>
              </w:rPr>
              <w:t>29,267 ± 1,731</w:t>
            </w:r>
          </w:p>
        </w:tc>
        <w:tc>
          <w:tcPr>
            <w:tcW w:type="dxa" w:w="1734"/>
          </w:tcPr>
          <w:p>
            <w:pPr>
              <w:spacing w:after="120" w:before="0" w:lineRule="auto" w:line="276"/>
              <w:jc w:val="left"/>
            </w:pPr>
            <w:r/>
            <w:r>
              <w:rPr>
                <w:rFonts w:ascii="Times New Roman" w:hAnsi="Times New Roman" w:eastAsia="Times New Roman"/>
                <w:b/>
                <w:i w:val="0"/>
                <w:sz w:val="22"/>
              </w:rPr>
              <w:t>Yes — bandits cross over</w:t>
            </w:r>
          </w:p>
        </w:tc>
      </w:tr>
    </w:tbl>
    <w:p/>
    <w:p>
      <w:pPr>
        <w:spacing w:after="240" w:before="0" w:lineRule="auto" w:line="360"/>
        <w:ind w:firstLine="720"/>
        <w:jc w:val="both"/>
      </w:pPr>
      <w:r>
        <w:rPr>
          <w:rFonts w:ascii="Times New Roman" w:hAnsi="Times New Roman" w:eastAsia="Times New Roman"/>
          <w:b w:val="0"/>
          <w:i w:val="0"/>
          <w:sz w:val="24"/>
        </w:rPr>
        <w:t xml:space="preserve">At </w:t>
      </w:r>
      <w:r>
        <w:rPr>
          <w:rFonts w:ascii="Times New Roman" w:hAnsi="Times New Roman" w:eastAsia="Times New Roman"/>
          <w:b w:val="0"/>
          <w:i/>
          <w:sz w:val="24"/>
        </w:rPr>
        <w:t>T = 200</w:t>
      </w:r>
      <w:r>
        <w:rPr>
          <w:rFonts w:ascii="Times New Roman" w:hAnsi="Times New Roman" w:eastAsia="Times New Roman"/>
          <w:b w:val="0"/>
          <w:i w:val="0"/>
          <w:sz w:val="24"/>
        </w:rPr>
        <w:t xml:space="preserve"> the freshly-trained XGBoost regressor more than doubles the bandits' cumulative reward. At </w:t>
      </w:r>
      <w:r>
        <w:rPr>
          <w:rFonts w:ascii="Times New Roman" w:hAnsi="Times New Roman" w:eastAsia="Times New Roman"/>
          <w:b w:val="0"/>
          <w:i/>
          <w:sz w:val="24"/>
        </w:rPr>
        <w:t>T = 500</w:t>
      </w:r>
      <w:r>
        <w:rPr>
          <w:rFonts w:ascii="Times New Roman" w:hAnsi="Times New Roman" w:eastAsia="Times New Roman"/>
          <w:b w:val="0"/>
          <w:i w:val="0"/>
          <w:sz w:val="24"/>
        </w:rPr>
        <w:t xml:space="preserve"> it retains a one-quarter advantage. By </w:t>
      </w:r>
      <w:r>
        <w:rPr>
          <w:rFonts w:ascii="Times New Roman" w:hAnsi="Times New Roman" w:eastAsia="Times New Roman"/>
          <w:b w:val="0"/>
          <w:i/>
          <w:sz w:val="24"/>
        </w:rPr>
        <w:t>T = 1,000</w:t>
      </w:r>
      <w:r>
        <w:rPr>
          <w:rFonts w:ascii="Times New Roman" w:hAnsi="Times New Roman" w:eastAsia="Times New Roman"/>
          <w:b w:val="0"/>
          <w:i w:val="0"/>
          <w:sz w:val="24"/>
        </w:rPr>
        <w:t xml:space="preserve"> the three algorithms are statistically indistinguishable. The </w:t>
      </w:r>
      <w:r>
        <w:rPr>
          <w:rFonts w:ascii="Times New Roman" w:hAnsi="Times New Roman" w:eastAsia="Times New Roman"/>
          <w:b/>
          <w:i w:val="0"/>
          <w:sz w:val="24"/>
        </w:rPr>
        <w:t>operational crossover</w:t>
      </w:r>
      <w:r>
        <w:rPr>
          <w:rFonts w:ascii="Times New Roman" w:hAnsi="Times New Roman" w:eastAsia="Times New Roman"/>
          <w:b w:val="0"/>
          <w:i w:val="0"/>
          <w:sz w:val="24"/>
        </w:rPr>
        <w:t xml:space="preserve"> — the smallest horizon at which the bandits beat a fresh static model — falls between </w:t>
      </w:r>
      <w:r>
        <w:rPr>
          <w:rFonts w:ascii="Times New Roman" w:hAnsi="Times New Roman" w:eastAsia="Times New Roman"/>
          <w:b w:val="0"/>
          <w:i/>
          <w:sz w:val="24"/>
        </w:rPr>
        <w:t>T = 1,000</w:t>
      </w:r>
      <w:r>
        <w:rPr>
          <w:rFonts w:ascii="Times New Roman" w:hAnsi="Times New Roman" w:eastAsia="Times New Roman"/>
          <w:b w:val="0"/>
          <w:i w:val="0"/>
          <w:sz w:val="24"/>
        </w:rPr>
        <w:t xml:space="preserve"> and </w:t>
      </w:r>
      <w:r>
        <w:rPr>
          <w:rFonts w:ascii="Times New Roman" w:hAnsi="Times New Roman" w:eastAsia="Times New Roman"/>
          <w:b w:val="0"/>
          <w:i/>
          <w:sz w:val="24"/>
        </w:rPr>
        <w:t>T = 2,000</w:t>
      </w:r>
      <w:r>
        <w:rPr>
          <w:rFonts w:ascii="Times New Roman" w:hAnsi="Times New Roman" w:eastAsia="Times New Roman"/>
          <w:b w:val="0"/>
          <w:i w:val="0"/>
          <w:sz w:val="24"/>
        </w:rPr>
        <w:t xml:space="preserve"> on the Cambodia dataset.</w:t>
      </w:r>
    </w:p>
    <w:p>
      <w:pPr>
        <w:spacing w:after="240" w:before="0" w:lineRule="auto" w:line="360"/>
        <w:ind w:left="720"/>
        <w:jc w:val="left"/>
      </w:pPr>
      <w:r>
        <w:rPr>
          <w:rFonts w:ascii="Times New Roman" w:hAnsi="Times New Roman" w:eastAsia="Times New Roman"/>
          <w:b/>
          <w:i w:val="0"/>
          <w:sz w:val="24"/>
        </w:rPr>
        <w:t>5.10.3 Interpretation and operational implications</w:t>
      </w:r>
    </w:p>
    <w:p>
      <w:pPr>
        <w:spacing w:after="240" w:before="0" w:lineRule="auto" w:line="360"/>
        <w:ind w:firstLine="720"/>
        <w:jc w:val="both"/>
      </w:pPr>
      <w:r>
        <w:rPr>
          <w:rFonts w:ascii="Times New Roman" w:hAnsi="Times New Roman" w:eastAsia="Times New Roman"/>
          <w:b w:val="0"/>
          <w:i w:val="0"/>
          <w:sz w:val="24"/>
        </w:rPr>
        <w:t xml:space="preserve">The cold-start result is the honest counterweight to the §5.1 finding — but it must be read alongside §5.13. EXP-010 shows the bandit overtakes a </w:t>
      </w:r>
      <w:r>
        <w:rPr>
          <w:rFonts w:ascii="Times New Roman" w:hAnsi="Times New Roman" w:eastAsia="Times New Roman"/>
          <w:b w:val="0"/>
          <w:i/>
          <w:sz w:val="24"/>
        </w:rPr>
        <w:t>freshly-trained XGBoost rule</w:t>
      </w:r>
      <w:r>
        <w:rPr>
          <w:rFonts w:ascii="Times New Roman" w:hAnsi="Times New Roman" w:eastAsia="Times New Roman"/>
          <w:b w:val="0"/>
          <w:i w:val="0"/>
          <w:sz w:val="24"/>
        </w:rPr>
        <w:t xml:space="preserve"> between T = 1,000 and 2,000. It does </w:t>
      </w:r>
      <w:r>
        <w:rPr>
          <w:rFonts w:ascii="Times New Roman" w:hAnsi="Times New Roman" w:eastAsia="Times New Roman"/>
          <w:b/>
          <w:i w:val="0"/>
          <w:sz w:val="24"/>
        </w:rPr>
        <w:t>not</w:t>
      </w:r>
      <w:r>
        <w:rPr>
          <w:rFonts w:ascii="Times New Roman" w:hAnsi="Times New Roman" w:eastAsia="Times New Roman"/>
          <w:b w:val="0"/>
          <w:i w:val="0"/>
          <w:sz w:val="24"/>
        </w:rPr>
        <w:t xml:space="preserve"> show the bandit overtaking the </w:t>
      </w:r>
      <w:r>
        <w:rPr>
          <w:rFonts w:ascii="Times New Roman" w:hAnsi="Times New Roman" w:eastAsia="Times New Roman"/>
          <w:b/>
          <w:i w:val="0"/>
          <w:sz w:val="24"/>
        </w:rPr>
        <w:t>constant</w:t>
      </w:r>
      <w:r>
        <w:rPr>
          <w:rFonts w:ascii="Times New Roman" w:hAnsi="Times New Roman" w:eastAsia="Times New Roman"/>
          <w:b w:val="0"/>
          <w:i w:val="0"/>
          <w:sz w:val="24"/>
        </w:rPr>
        <w:t xml:space="preserve">: §5.13 runs to 20,000 rounds and finds the bandit's cumulative reward </w:t>
      </w:r>
      <w:r>
        <w:rPr>
          <w:rFonts w:ascii="Times New Roman" w:hAnsi="Times New Roman" w:eastAsia="Times New Roman"/>
          <w:b w:val="0"/>
          <w:i/>
          <w:sz w:val="24"/>
        </w:rPr>
        <w:t>never</w:t>
      </w:r>
      <w:r>
        <w:rPr>
          <w:rFonts w:ascii="Times New Roman" w:hAnsi="Times New Roman" w:eastAsia="Times New Roman"/>
          <w:b w:val="0"/>
          <w:i w:val="0"/>
          <w:sz w:val="24"/>
        </w:rPr>
        <w:t xml:space="preserve"> crosses AlwaysRATED, and its converged per-round reward plateaus below it. So the crossover quantified here is the horizon at which online adaptation beats a </w:t>
      </w:r>
      <w:r>
        <w:rPr>
          <w:rFonts w:ascii="Times New Roman" w:hAnsi="Times New Roman" w:eastAsia="Times New Roman"/>
          <w:b w:val="0"/>
          <w:i/>
          <w:sz w:val="24"/>
        </w:rPr>
        <w:t>frozen rule</w:t>
      </w:r>
      <w:r>
        <w:rPr>
          <w:rFonts w:ascii="Times New Roman" w:hAnsi="Times New Roman" w:eastAsia="Times New Roman"/>
          <w:b w:val="0"/>
          <w:i w:val="0"/>
          <w:sz w:val="24"/>
        </w:rPr>
        <w:t xml:space="preserve"> — an operational fact about warm-starting — not a horizon at which the bandit becomes the best available policy. The headline experiment runs to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the bandit has accumulated sufficient coefficient data to dominate the fixed-threshold baseline.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situation reverses: a freshly trained XGBoost regressor, fitted offline on whatever historical data is available, exploits the dataset more efficiently than a bandit that begins each run from an uninformative prior.</w:t>
      </w:r>
    </w:p>
    <w:p>
      <w:pPr>
        <w:spacing w:after="240" w:before="0" w:lineRule="auto" w:line="360"/>
        <w:ind w:firstLine="720"/>
        <w:jc w:val="both"/>
      </w:pPr>
      <w:r>
        <w:rPr>
          <w:rFonts w:ascii="Times New Roman" w:hAnsi="Times New Roman" w:eastAsia="Times New Roman"/>
          <w:b w:val="0"/>
          <w:i w:val="0"/>
          <w:sz w:val="24"/>
        </w:rPr>
        <w:t xml:space="preserve">The operational implication for a Cambodian insurer is direct: </w:t>
      </w:r>
      <w:r>
        <w:rPr>
          <w:rFonts w:ascii="Times New Roman" w:hAnsi="Times New Roman" w:eastAsia="Times New Roman"/>
          <w:b/>
          <w:i w:val="0"/>
          <w:sz w:val="24"/>
        </w:rPr>
        <w:t>a contextual bandit should not be deployed cold on the first 500–1,000 policy applications without warm-starting from an existing model</w:t>
      </w:r>
      <w:r>
        <w:rPr>
          <w:rFonts w:ascii="Times New Roman" w:hAnsi="Times New Roman" w:eastAsia="Times New Roman"/>
          <w:b w:val="0"/>
          <w:i w:val="0"/>
          <w:sz w:val="24"/>
        </w:rPr>
        <w:t>. Two warm-start strategies follow naturally from this finding and the live demo design (§4.10):</w:t>
      </w:r>
    </w:p>
    <w:p>
      <w:pPr>
        <w:pStyle w:val="ListNumber"/>
        <w:ind w:left="720"/>
      </w:pPr>
      <w:r>
        <w:rPr>
          <w:rFonts w:ascii="Times New Roman" w:hAnsi="Times New Roman" w:eastAsia="Times New Roman"/>
          <w:b/>
          <w:i w:val="0"/>
          <w:sz w:val="24"/>
        </w:rPr>
        <w:t>Pre-train then deploy.</w:t>
      </w:r>
      <w:r>
        <w:rPr>
          <w:rFonts w:ascii="Times New Roman" w:hAnsi="Times New Roman" w:eastAsia="Times New Roman"/>
          <w:b w:val="0"/>
          <w:i w:val="0"/>
          <w:sz w:val="24"/>
        </w:rPr>
        <w:t xml:space="preserve"> Run a Static XGB or GLM baseline offline on historical data and use the predicted mortality multipliers to populate the bandit's </w:t>
      </w:r>
      <w:r>
        <w:rPr>
          <w:rFonts w:ascii="Times New Roman" w:hAnsi="Times New Roman" w:eastAsia="Times New Roman"/>
          <w:b w:val="0"/>
          <w:i/>
          <w:sz w:val="24"/>
        </w:rPr>
        <w:t>bₐ</w:t>
      </w:r>
      <w:r>
        <w:rPr>
          <w:rFonts w:ascii="Times New Roman" w:hAnsi="Times New Roman" w:eastAsia="Times New Roman"/>
          <w:b w:val="0"/>
          <w:i w:val="0"/>
          <w:sz w:val="24"/>
        </w:rPr>
        <w:t xml:space="preserve"> vectors with synthetic observations before the first live applicant arrives. The bandit then begins production already in the regime where it dominates.</w:t>
      </w:r>
    </w:p>
    <w:p>
      <w:pPr>
        <w:pStyle w:val="ListNumber"/>
        <w:ind w:left="720"/>
      </w:pPr>
      <w:r>
        <w:rPr>
          <w:rFonts w:ascii="Times New Roman" w:hAnsi="Times New Roman" w:eastAsia="Times New Roman"/>
          <w:b/>
          <w:i w:val="0"/>
          <w:sz w:val="24"/>
        </w:rPr>
        <w:t>Shadow Mode warm-up.</w:t>
      </w:r>
      <w:r>
        <w:rPr>
          <w:rFonts w:ascii="Times New Roman" w:hAnsi="Times New Roman" w:eastAsia="Times New Roman"/>
          <w:b w:val="0"/>
          <w:i w:val="0"/>
          <w:sz w:val="24"/>
        </w:rPr>
        <w:t xml:space="preserve"> Run the bandit alongside the existing rule engine for the first 1,000–2,000 production applications, updating its sufficient statistics from the static rule's outcomes (§4.10.1). Switch to bandit-binding decisions only after the crossover horizon is reached.</w:t>
      </w:r>
    </w:p>
    <w:p>
      <w:pPr>
        <w:spacing w:after="240" w:before="0" w:lineRule="auto" w:line="360"/>
        <w:ind w:firstLine="720"/>
        <w:jc w:val="both"/>
      </w:pPr>
      <w:r>
        <w:rPr>
          <w:rFonts w:ascii="Times New Roman" w:hAnsi="Times New Roman" w:eastAsia="Times New Roman"/>
          <w:b w:val="0"/>
          <w:i w:val="0"/>
          <w:sz w:val="24"/>
        </w:rPr>
        <w:t>Neither strategy is novel — both are documented in the contextual-bandit deployment literature — but EXP-010 quantifies for the first time the horizon at which the switch becomes net-positive on the Cambodia dataset specifically.</w:t>
      </w:r>
    </w:p>
    <w:p>
      <w:pPr>
        <w:spacing w:after="240" w:before="0" w:lineRule="auto" w:line="360"/>
        <w:ind w:left="720"/>
        <w:jc w:val="left"/>
      </w:pPr>
      <w:r>
        <w:rPr>
          <w:rFonts w:ascii="Times New Roman" w:hAnsi="Times New Roman" w:eastAsia="Times New Roman"/>
          <w:b/>
          <w:i w:val="0"/>
          <w:sz w:val="24"/>
        </w:rPr>
        <w:t>5.10.4 Pass/Fail Assessment</w:t>
      </w:r>
    </w:p>
    <w:p>
      <w:pPr>
        <w:pStyle w:val="ListNumber"/>
        <w:ind w:left="720"/>
      </w:pPr>
      <w:r>
        <w:rPr>
          <w:rFonts w:ascii="Times New Roman" w:hAnsi="Times New Roman" w:eastAsia="Times New Roman"/>
          <w:b/>
          <w:i w:val="0"/>
          <w:sz w:val="24"/>
        </w:rPr>
        <w:t>LinUCB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$31,227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$31,401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cumulative reward &gt; FreshXGB at T = 2,000.</w:t>
      </w:r>
      <w:r>
        <w:rPr>
          <w:rFonts w:ascii="Times New Roman" w:hAnsi="Times New Roman" w:eastAsia="Times New Roman"/>
          <w:b w:val="0"/>
          <w:i w:val="0"/>
          <w:sz w:val="24"/>
        </w:rPr>
        <w:t xml:space="preserve"> Confirmed (criterion 1). PASSED.</w:t>
      </w:r>
    </w:p>
    <w:p>
      <w:pPr>
        <w:pStyle w:val="ListNumber"/>
        <w:ind w:left="720"/>
      </w:pPr>
      <w:r>
        <w:rPr>
          <w:rFonts w:ascii="Times New Roman" w:hAnsi="Times New Roman" w:eastAsia="Times New Roman"/>
          <w:b/>
          <w:i w:val="0"/>
          <w:sz w:val="24"/>
        </w:rPr>
        <w:t>LinTS cumulative reward &gt; FreshXGB at T = 2,000.</w:t>
      </w:r>
      <w:r>
        <w:rPr>
          <w:rFonts w:ascii="Times New Roman" w:hAnsi="Times New Roman" w:eastAsia="Times New Roman"/>
          <w:b w:val="0"/>
          <w:i w:val="0"/>
          <w:sz w:val="24"/>
        </w:rPr>
        <w:t xml:space="preserve"> Confirmed (criterion 2). PASSED.</w:t>
      </w:r>
    </w:p>
    <w:p>
      <w:pPr>
        <w:spacing w:after="240" w:before="0" w:lineRule="auto" w:line="360"/>
        <w:ind w:firstLine="720"/>
        <w:jc w:val="both"/>
      </w:pPr>
      <w:r>
        <w:rPr>
          <w:rFonts w:ascii="Times New Roman" w:hAnsi="Times New Roman" w:eastAsia="Times New Roman"/>
          <w:b w:val="0"/>
          <w:i w:val="0"/>
          <w:sz w:val="24"/>
        </w:rPr>
        <w:t>EXP-010: PASS, with the operational deployment-boundary qualifier of §5.10.3.</w:t>
      </w:r>
    </w:p>
    <w:p>
      <w:r>
        <w:br w:type="page"/>
      </w:r>
    </w:p>
    <w:p>
      <w:pPr>
        <w:spacing w:after="480" w:before="0" w:lineRule="auto" w:line="360"/>
        <w:jc w:val="center"/>
      </w:pPr>
      <w:r>
        <w:rPr>
          <w:rFonts w:ascii="Times New Roman" w:hAnsi="Times New Roman" w:eastAsia="Times New Roman"/>
          <w:b/>
          <w:i w:val="0"/>
          <w:sz w:val="32"/>
        </w:rPr>
        <w:t>CHAPTER VI. CONCLUSION</w:t>
      </w:r>
    </w:p>
    <w:p>
      <w:pPr>
        <w:spacing w:after="240" w:before="0" w:lineRule="auto" w:line="360"/>
        <w:jc w:val="left"/>
      </w:pPr>
      <w:r>
        <w:rPr>
          <w:rFonts w:ascii="Times New Roman" w:hAnsi="Times New Roman" w:eastAsia="Times New Roman"/>
          <w:b/>
          <w:i w:val="0"/>
          <w:sz w:val="28"/>
        </w:rPr>
        <w:t>6.1 Summary of Findings</w:t>
      </w:r>
    </w:p>
    <w:p>
      <w:pPr>
        <w:spacing w:after="240" w:before="0" w:lineRule="auto" w:line="360"/>
        <w:ind w:firstLine="720"/>
        <w:jc w:val="both"/>
      </w:pPr>
      <w:r>
        <w:rPr>
          <w:rFonts w:ascii="Times New Roman" w:hAnsi="Times New Roman" w:eastAsia="Times New Roman"/>
          <w:b w:val="0"/>
          <w:i w:val="0"/>
          <w:sz w:val="24"/>
        </w:rPr>
        <w:t>This thesis investigated whether contextual bandit algorithms can replace static underwriting rules for health insurance in Cambodia, and whether Population Stability Index guardrails can ensure the resulting portfolio remains actuarially sound. Four experiments, conducted on a synthetic 2,000-applicant Cambodia dataset (20 independent seeds, seeds 1–20, N = 5,000 rounds per seed; trajectory figures use SEED = 42 unless noted), yield four principal findings.</w:t>
      </w:r>
    </w:p>
    <w:p>
      <w:pPr>
        <w:spacing w:after="240" w:before="0" w:lineRule="auto" w:line="360"/>
        <w:ind w:firstLine="720"/>
        <w:jc w:val="both"/>
      </w:pPr>
      <w:r>
        <w:rPr>
          <w:rFonts w:ascii="Times New Roman" w:hAnsi="Times New Roman" w:eastAsia="Times New Roman"/>
          <w:b/>
          <w:i w:val="0"/>
          <w:sz w:val="24"/>
        </w:rPr>
        <w:t>Finding 1 — Bandits substantially outperform static underwriting (EXP-005).</w:t>
      </w:r>
      <w:r>
        <w:rPr>
          <w:rFonts w:ascii="Times New Roman" w:hAnsi="Times New Roman" w:eastAsia="Times New Roman"/>
          <w:b w:val="0"/>
          <w:i w:val="0"/>
          <w:sz w:val="24"/>
        </w:rPr>
        <w:t xml:space="preserve"> Averaged across 20 independent seeds, LinUCB accumulates $90,540 in cumulative reward over 5,000 rounds versus $72,292 for the Static XGBoost baseline, a </w:t>
      </w:r>
      <w:r>
        <w:rPr>
          <w:rFonts w:ascii="Times New Roman" w:hAnsi="Times New Roman" w:eastAsia="Times New Roman"/>
          <w:b/>
          <w:i w:val="0"/>
          <w:sz w:val="24"/>
        </w:rPr>
        <w:t>25% improvement</w:t>
      </w:r>
      <w:r>
        <w:rPr>
          <w:rFonts w:ascii="Times New Roman" w:hAnsi="Times New Roman" w:eastAsia="Times New Roman"/>
          <w:b w:val="0"/>
          <w:i w:val="0"/>
          <w:sz w:val="24"/>
        </w:rPr>
        <w:t xml:space="preserve"> (Wilcoxon p &lt; 0.001, Cohen's d = 2.98, large effect). Late-round average regret falls to $2.20/round versus $9.01/round for the baseline (Wilcoxon p &lt; 0.001), confirming that the performance gap compounds rather than narrows as the bandit converges.</w:t>
      </w:r>
    </w:p>
    <w:p>
      <w:pPr>
        <w:spacing w:after="240" w:before="0" w:lineRule="auto" w:line="360"/>
        <w:ind w:firstLine="720"/>
        <w:jc w:val="both"/>
      </w:pPr>
      <w:r>
        <w:rPr>
          <w:rFonts w:ascii="Times New Roman" w:hAnsi="Times New Roman" w:eastAsia="Times New Roman"/>
          <w:b/>
          <w:i w:val="0"/>
          <w:sz w:val="24"/>
        </w:rPr>
        <w:t>Finding 2 — Adaptive underwriting does not introduce demographic bias (EXP-006).</w:t>
      </w:r>
      <w:r>
        <w:rPr>
          <w:rFonts w:ascii="Times New Roman" w:hAnsi="Times New Roman" w:eastAsia="Times New Roman"/>
          <w:b w:val="0"/>
          <w:i w:val="0"/>
          <w:sz w:val="24"/>
        </w:rPr>
        <w:t xml:space="preserve"> Without any explicit fairness constraint in the reward function, LinUCB achieves regional approval rates with a min/max parity of </w:t>
      </w:r>
      <w:r>
        <w:rPr>
          <w:rFonts w:ascii="Times New Roman" w:hAnsi="Times New Roman" w:eastAsia="Times New Roman"/>
          <w:b/>
          <w:i w:val="0"/>
          <w:sz w:val="24"/>
        </w:rPr>
        <w:t>85.72%</w:t>
      </w:r>
      <w:r>
        <w:rPr>
          <w:rFonts w:ascii="Times New Roman" w:hAnsi="Times New Roman" w:eastAsia="Times New Roman"/>
          <w:b w:val="0"/>
          <w:i w:val="0"/>
          <w:sz w:val="24"/>
        </w:rPr>
        <w:t xml:space="preserve"> across all six regions and </w:t>
      </w:r>
      <w:r>
        <w:rPr>
          <w:rFonts w:ascii="Times New Roman" w:hAnsi="Times New Roman" w:eastAsia="Times New Roman"/>
          <w:b/>
          <w:i w:val="0"/>
          <w:sz w:val="24"/>
        </w:rPr>
        <w:t>90.12%</w:t>
      </w:r>
      <w:r>
        <w:rPr>
          <w:rFonts w:ascii="Times New Roman" w:hAnsi="Times New Roman" w:eastAsia="Times New Roman"/>
          <w:b w:val="0"/>
          <w:i w:val="0"/>
          <w:sz w:val="24"/>
        </w:rPr>
        <w:t xml:space="preserve"> across all seven occupations, both satisfying the EEOC four-fifths (≥ 80%) rule (20-seed mean, converged phase rounds 3,000–4,999). Maximum 500-round sliding-window PSI remains GREEN for region (0.082 mean, 95% CI [0.073, 0.091]) and within the low AMBER band for occupation (0.123 mean, 95% CI [0.095, 0.161]), confirming that the approved portfolio's demographic distribution does not deviate materially from the applicant pool at any point during the run.</w:t>
      </w:r>
    </w:p>
    <w:p>
      <w:pPr>
        <w:spacing w:after="240" w:before="0" w:lineRule="auto" w:line="360"/>
        <w:ind w:firstLine="720"/>
        <w:jc w:val="both"/>
      </w:pPr>
      <w:r>
        <w:rPr>
          <w:rFonts w:ascii="Times New Roman" w:hAnsi="Times New Roman" w:eastAsia="Times New Roman"/>
          <w:b/>
          <w:i w:val="0"/>
          <w:sz w:val="24"/>
        </w:rPr>
        <w:t>Finding 3 — Online adaptive linear estimation, whichever exploration wrapper is used, decisively beats the non-adaptive Static XGB baseline (EXP-007, EXP-011).</w:t>
      </w:r>
      <w:r>
        <w:rPr>
          <w:rFonts w:ascii="Times New Roman" w:hAnsi="Times New Roman" w:eastAsia="Times New Roman"/>
          <w:b w:val="0"/>
          <w:i w:val="0"/>
          <w:sz w:val="24"/>
        </w:rPr>
        <w:t xml:space="preserve"> Averaged across 20 seeds, LinTS achieves a cumulative regret of $21,149 and LinUCB $22,774; the difference between the two uncertainty-directed bandits is not significant under a paired Wilcoxon test (p = 0.87, Cohen's d = 0.26, small effect). Both are dramatically lower than Epsilon-Greedy ($38,281) and Static XGB ($42,548), with pairwise differences highly significant after Bonferroni correction (p &lt; 0.001, |d| &gt; 2.7 in all cases). The follow-up ablation (EXP-011, §5.7) refines the causal attribution: a Greedy-only variant of LinUCB (α = 0, no exploration bonus) attains $91,261 cumulative reward — statistically indistinguishable from full LinUCB at α = 1.0 ($90,540; paired Wilcoxon p = 0.58, d = 0.13) — yet still beats Static XGB by +$18,969 (p &lt; 0.001, d = 3.01). The load-bearing mechanism on this dataset is therefore </w:t>
      </w:r>
      <w:r>
        <w:rPr>
          <w:rFonts w:ascii="Times New Roman" w:hAnsi="Times New Roman" w:eastAsia="Times New Roman"/>
          <w:b w:val="0"/>
          <w:i/>
          <w:sz w:val="24"/>
        </w:rPr>
        <w:t>online ridge-regression updating of per-action coefficients</w:t>
      </w:r>
      <w:r>
        <w:rPr>
          <w:rFonts w:ascii="Times New Roman" w:hAnsi="Times New Roman" w:eastAsia="Times New Roman"/>
          <w:b w:val="0"/>
          <w:i w:val="0"/>
          <w:sz w:val="24"/>
        </w:rPr>
        <w:t>; UCB exploration adds no statistically significant gain on top. LinTS's operational advantage over LinUCB is parameter-free deployment, not statistical superiority.</w:t>
      </w:r>
    </w:p>
    <w:p>
      <w:pPr>
        <w:spacing w:after="240" w:before="0" w:lineRule="auto" w:line="360"/>
        <w:ind w:firstLine="720"/>
        <w:jc w:val="both"/>
      </w:pPr>
      <w:r>
        <w:rPr>
          <w:rFonts w:ascii="Times New Roman" w:hAnsi="Times New Roman" w:eastAsia="Times New Roman"/>
          <w:b/>
          <w:i w:val="0"/>
          <w:sz w:val="24"/>
        </w:rPr>
        <w:t>Finding 4 — Human-in-the-loop underwriting improves reward at low cost (EXP-008).</w:t>
      </w:r>
      <w:r>
        <w:rPr>
          <w:rFonts w:ascii="Times New Roman" w:hAnsi="Times New Roman" w:eastAsia="Times New Roman"/>
          <w:b w:val="0"/>
          <w:i w:val="0"/>
          <w:sz w:val="24"/>
        </w:rPr>
        <w:t xml:space="preserve"> Replacing the REFER arm's mathematical oracle with a simulated human underwriter (conservatism c = 0.7) increases cumulative reward by </w:t>
      </w:r>
      <w:r>
        <w:rPr>
          <w:rFonts w:ascii="Times New Roman" w:hAnsi="Times New Roman" w:eastAsia="Times New Roman"/>
          <w:b/>
          <w:i w:val="0"/>
          <w:sz w:val="24"/>
        </w:rPr>
        <w:t>6.5%</w:t>
      </w:r>
      <w:r>
        <w:rPr>
          <w:rFonts w:ascii="Times New Roman" w:hAnsi="Times New Roman" w:eastAsia="Times New Roman"/>
          <w:b w:val="0"/>
          <w:i w:val="0"/>
          <w:sz w:val="24"/>
        </w:rPr>
        <w:t xml:space="preserve"> ($102,100 vs $95,872 mathematical-REFER baseline) while incurring only $2,625 in review costs (2.6% of cumulative reward, well below the 15% threshold). Human review was required on only 75 of 5,000 rounds (1.5%), demonstrating that a contextual bandit naturally learns when to refer and when to decide autonomously.</w:t>
      </w:r>
    </w:p>
    <w:p>
      <w:pPr>
        <w:spacing w:after="240" w:before="0" w:lineRule="auto" w:line="360"/>
        <w:ind w:firstLine="720"/>
        <w:jc w:val="both"/>
      </w:pPr>
      <w:r>
        <w:rPr>
          <w:rFonts w:ascii="Times New Roman" w:hAnsi="Times New Roman" w:eastAsia="Times New Roman"/>
          <w:b w:val="0"/>
          <w:i w:val="0"/>
          <w:sz w:val="24"/>
        </w:rPr>
        <w:t xml:space="preserve">Taken together, these findings support the central thesis claim: </w:t>
      </w:r>
      <w:r>
        <w:rPr>
          <w:rFonts w:ascii="Times New Roman" w:hAnsi="Times New Roman" w:eastAsia="Times New Roman"/>
          <w:b/>
          <w:i w:val="0"/>
          <w:sz w:val="24"/>
        </w:rPr>
        <w:t>contextual bandits with PSI portfolio monitoring represent a viable, fair, and operationally feasible path to adaptive health insurance underwriting in emerging markets</w:t>
      </w:r>
      <w:r>
        <w:rPr>
          <w:rFonts w:ascii="Times New Roman" w:hAnsi="Times New Roman" w:eastAsia="Times New Roman"/>
          <w:b w:val="0"/>
          <w:i w:val="0"/>
          <w:sz w:val="24"/>
        </w:rPr>
        <w:t>.</w:t>
      </w:r>
    </w:p>
    <w:p>
      <w:pPr>
        <w:spacing w:after="240" w:before="0" w:lineRule="auto" w:line="360"/>
        <w:jc w:val="left"/>
      </w:pPr>
      <w:r>
        <w:rPr>
          <w:rFonts w:ascii="Times New Roman" w:hAnsi="Times New Roman" w:eastAsia="Times New Roman"/>
          <w:b/>
          <w:i w:val="0"/>
          <w:sz w:val="28"/>
        </w:rPr>
        <w:t>6.2 Limitations</w:t>
      </w:r>
    </w:p>
    <w:p>
      <w:pPr>
        <w:spacing w:after="240" w:before="0" w:lineRule="auto" w:line="360"/>
        <w:ind w:firstLine="720"/>
        <w:jc w:val="both"/>
      </w:pPr>
      <w:r>
        <w:rPr>
          <w:rFonts w:ascii="Times New Roman" w:hAnsi="Times New Roman" w:eastAsia="Times New Roman"/>
          <w:b w:val="0"/>
          <w:i w:val="0"/>
          <w:sz w:val="24"/>
        </w:rPr>
        <w:t>Several limitations bound the generalisability of these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All 2,000 applicants were generated by a stochastic simulator calibrated to Cambodia-specific demographic and disease prevalence estimates (Hepatitis B, TB, occupational mortality multipliers). The simulator reproduces known statistical relationships but cannot capture the full heterogeneity of a live applicant pool, including rare comorbidities, fraud patterns, and socioeconomic shocks absent from the generative model.</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actuarial reward simulator computes a one-shot premium minus expected claim cost per applicant per round. In practice, health insurance is a multi-period contract: retention, claim experience, and renewal pricing create intertemporal dependencies that a single-round reward function does not model. A customer accepted at STANDARD rate in round 1 may file a large claim in round 1,200; this feedback loop is absent from the present experiments.</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EXP-005 through EXP-007 assume a stationary applicant distribution throughout the 5,000 rounds. Real insurance portfolios experience demographic drift — seasonal disease spikes, economic migration, aging cohorts — that can invalidate a bandit's learned coefficients. EXP-008 partially addresses this by introducing human overrides as a correction mechanism, but does not model environmental non-stationarity explicitly.</w:t>
      </w:r>
    </w:p>
    <w:p>
      <w:pPr>
        <w:spacing w:after="240" w:before="0" w:lineRule="auto" w:line="360"/>
        <w:ind w:firstLine="720"/>
        <w:jc w:val="both"/>
      </w:pPr>
      <w:r>
        <w:rPr>
          <w:rFonts w:ascii="Times New Roman" w:hAnsi="Times New Roman" w:eastAsia="Times New Roman"/>
          <w:b/>
          <w:i w:val="0"/>
          <w:sz w:val="24"/>
        </w:rPr>
        <w:t>Sample size.</w:t>
      </w:r>
      <w:r>
        <w:rPr>
          <w:rFonts w:ascii="Times New Roman" w:hAnsi="Times New Roman" w:eastAsia="Times New Roman"/>
          <w:b w:val="0"/>
          <w:i w:val="0"/>
          <w:sz w:val="24"/>
        </w:rPr>
        <w:t xml:space="preserve"> 2,000 applicants is sufficient to demonstrate convergence on this synthetic problem but is small relative to the hundreds of thousands of policies held by even mid-sized emerging-market insurers. Bandit convergence rates scale with context dimensionality; the 34-feature space used here may require substantially more rounds to converge in a live setting with richer feature sets.</w:t>
      </w:r>
    </w:p>
    <w:p>
      <w:pPr>
        <w:spacing w:after="240" w:before="0" w:lineRule="auto" w:line="360"/>
        <w:ind w:firstLine="720"/>
        <w:jc w:val="both"/>
      </w:pPr>
      <w:r>
        <w:rPr>
          <w:rFonts w:ascii="Times New Roman" w:hAnsi="Times New Roman" w:eastAsia="Times New Roman"/>
          <w:b/>
          <w:i w:val="0"/>
          <w:sz w:val="24"/>
        </w:rPr>
        <w:t>Constant-policy ceiling.</w:t>
      </w:r>
      <w:r>
        <w:rPr>
          <w:rFonts w:ascii="Times New Roman" w:hAnsi="Times New Roman" w:eastAsia="Times New Roman"/>
          <w:b w:val="0"/>
          <w:i w:val="0"/>
          <w:sz w:val="24"/>
        </w:rPr>
        <w:t xml:space="preserve"> A post-hoc analysis identified an inadmissible constant policy — AlwaysRATED (rating 100 % of applicants at the +25 % loading) — as a theoretical performance ceiling above both bandits: $122,287 cumulative reward versus LinUCB's $91,864 (paired Wilcoxon p &lt; 0.0001, Cohen's d = −5.1). This ranking is invariant across six reward calibrations and the full demand-elasticity range; DiscountedLinUCB (λ = 0.999) and a human-in-the-loop wrapper do not close the gap. Rating every applicant at a flat surcharge is neither commercially viable — it discourages low-risk uptake and invites adverse selection — nor regulatorily admissible under standard underwriting governance. The constant therefore bounds the positive contribution of this thesis: the bandits beat every </w:t>
      </w:r>
      <w:r>
        <w:rPr>
          <w:rFonts w:ascii="Times New Roman" w:hAnsi="Times New Roman" w:eastAsia="Times New Roman"/>
          <w:b w:val="0"/>
          <w:i/>
          <w:sz w:val="24"/>
        </w:rPr>
        <w:t>deployable</w:t>
      </w:r>
      <w:r>
        <w:rPr>
          <w:rFonts w:ascii="Times New Roman" w:hAnsi="Times New Roman" w:eastAsia="Times New Roman"/>
          <w:b w:val="0"/>
          <w:i w:val="0"/>
          <w:sz w:val="24"/>
        </w:rPr>
        <w:t xml:space="preserve"> alternative, and the ceiling quantifies the headroom remaining above their converged policies.</w:t>
      </w:r>
    </w:p>
    <w:p>
      <w:pPr>
        <w:spacing w:after="240" w:before="0" w:lineRule="auto" w:line="360"/>
        <w:jc w:val="left"/>
      </w:pPr>
      <w:r>
        <w:rPr>
          <w:rFonts w:ascii="Times New Roman" w:hAnsi="Times New Roman" w:eastAsia="Times New Roman"/>
          <w:b/>
          <w:i w:val="0"/>
          <w:sz w:val="28"/>
        </w:rPr>
        <w:t>6.3 Future Work</w:t>
      </w:r>
    </w:p>
    <w:p>
      <w:pPr>
        <w:spacing w:after="240" w:before="0" w:lineRule="auto" w:line="360"/>
        <w:ind w:left="720"/>
        <w:jc w:val="left"/>
      </w:pPr>
      <w:r>
        <w:rPr>
          <w:rFonts w:ascii="Times New Roman" w:hAnsi="Times New Roman" w:eastAsia="Times New Roman"/>
          <w:b/>
          <w:i w:val="0"/>
          <w:sz w:val="24"/>
        </w:rPr>
        <w:t>6.3.1 Non-Stationary Drift and Adaptive Monitoring</w:t>
      </w:r>
    </w:p>
    <w:p>
      <w:pPr>
        <w:spacing w:after="240" w:before="0" w:lineRule="auto" w:line="360"/>
        <w:ind w:firstLine="720"/>
        <w:jc w:val="both"/>
      </w:pPr>
      <w:r>
        <w:rPr>
          <w:rFonts w:ascii="Times New Roman" w:hAnsi="Times New Roman" w:eastAsia="Times New Roman"/>
          <w:b w:val="0"/>
          <w:i w:val="0"/>
          <w:sz w:val="24"/>
        </w:rPr>
        <w:t>The most pressing extension is equipping the bandit with explicit mechanisms to detect and adapt to distributional drift in the applicant population. Cambodia's disease landscape is subject to predictable seasonal shocks — monsoon-season TB spikes in highland provinces, Hepatitis B outbreaks in coastal areas following flooding — that can shift the feature distribution and invalidate the bandit's learned reward coefficients within weeks.</w:t>
      </w:r>
    </w:p>
    <w:p>
      <w:pPr>
        <w:spacing w:after="240" w:before="0" w:lineRule="auto" w:line="360"/>
        <w:ind w:firstLine="720"/>
        <w:jc w:val="both"/>
      </w:pPr>
      <w:r>
        <w:rPr>
          <w:rFonts w:ascii="Times New Roman" w:hAnsi="Times New Roman" w:eastAsia="Times New Roman"/>
          <w:b w:val="0"/>
          <w:i w:val="0"/>
          <w:sz w:val="24"/>
        </w:rPr>
        <w:t xml:space="preserve">A Discounted LinUCB (DiscountedLinUCB) addresses this through exponential forgetting: the sufficient statistics </w:t>
      </w:r>
      <w:r>
        <w:rPr>
          <w:rFonts w:ascii="Times New Roman" w:hAnsi="Times New Roman" w:eastAsia="Times New Roman"/>
          <w:b w:val="0"/>
          <w:i/>
          <w:sz w:val="24"/>
        </w:rPr>
        <w:t>A</w:t>
      </w:r>
      <w:r>
        <w:rPr>
          <w:rFonts w:ascii="Times New Roman" w:hAnsi="Times New Roman" w:eastAsia="Times New Roman"/>
          <w:b w:val="0"/>
          <w:i w:val="0"/>
          <w:sz w:val="24"/>
        </w:rPr>
        <w:t xml:space="preserve"> and </w:t>
      </w:r>
      <w:r>
        <w:rPr>
          <w:rFonts w:ascii="Times New Roman" w:hAnsi="Times New Roman" w:eastAsia="Times New Roman"/>
          <w:b w:val="0"/>
          <w:i/>
          <w:sz w:val="24"/>
        </w:rPr>
        <w:t>b</w:t>
      </w:r>
      <w:r>
        <w:rPr>
          <w:rFonts w:ascii="Times New Roman" w:hAnsi="Times New Roman" w:eastAsia="Times New Roman"/>
          <w:b w:val="0"/>
          <w:i w:val="0"/>
          <w:sz w:val="24"/>
        </w:rPr>
        <w:t xml:space="preserve"> are discounted at each round by a forgetting factor </w:t>
      </w:r>
      <w:r>
        <w:rPr>
          <w:rFonts w:ascii="Times New Roman" w:hAnsi="Times New Roman" w:eastAsia="Times New Roman"/>
          <w:b w:val="0"/>
          <w:i/>
          <w:sz w:val="24"/>
        </w:rPr>
        <w:t>λ ∈ (0, 1)</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Aₜ ← λ Aₜ₋₁ + xₜ xₜᵀ,   bₜ ← λ bₜ₋₁ + rₜ xₜ,</w:t>
      </w:r>
    </w:p>
    <w:p>
      <w:pPr>
        <w:spacing w:after="240" w:before="0" w:lineRule="auto" w:line="360"/>
        <w:ind w:firstLine="720"/>
        <w:jc w:val="both"/>
      </w:pPr>
      <w:r>
        <w:rPr>
          <w:rFonts w:ascii="Times New Roman" w:hAnsi="Times New Roman" w:eastAsia="Times New Roman"/>
          <w:b w:val="0"/>
          <w:i w:val="0"/>
          <w:sz w:val="24"/>
        </w:rPr>
        <w:t xml:space="preserve">so that older observations contribute less to the current parameter estimate. Smaller </w:t>
      </w:r>
      <w:r>
        <w:rPr>
          <w:rFonts w:ascii="Times New Roman" w:hAnsi="Times New Roman" w:eastAsia="Times New Roman"/>
          <w:b w:val="0"/>
          <w:i/>
          <w:sz w:val="24"/>
        </w:rPr>
        <w:t>λ</w:t>
      </w:r>
      <w:r>
        <w:rPr>
          <w:rFonts w:ascii="Times New Roman" w:hAnsi="Times New Roman" w:eastAsia="Times New Roman"/>
          <w:b w:val="0"/>
          <w:i w:val="0"/>
          <w:sz w:val="24"/>
        </w:rPr>
        <w:t xml:space="preserve"> (e.g., 0.9) produces faster adaptation at the cost of higher variance in stationary periods; </w:t>
      </w:r>
      <w:r>
        <w:rPr>
          <w:rFonts w:ascii="Times New Roman" w:hAnsi="Times New Roman" w:eastAsia="Times New Roman"/>
          <w:b w:val="0"/>
          <w:i/>
          <w:sz w:val="24"/>
        </w:rPr>
        <w:t>λ → 1</w:t>
      </w:r>
      <w:r>
        <w:rPr>
          <w:rFonts w:ascii="Times New Roman" w:hAnsi="Times New Roman" w:eastAsia="Times New Roman"/>
          <w:b w:val="0"/>
          <w:i w:val="0"/>
          <w:sz w:val="24"/>
        </w:rPr>
        <w:t xml:space="preserve"> recovers standard LinUCB.</w:t>
      </w:r>
    </w:p>
    <w:p>
      <w:pPr>
        <w:spacing w:after="240" w:before="0" w:lineRule="auto" w:line="360"/>
        <w:ind w:firstLine="720"/>
        <w:jc w:val="both"/>
      </w:pPr>
      <w:r>
        <w:rPr>
          <w:rFonts w:ascii="Times New Roman" w:hAnsi="Times New Roman" w:eastAsia="Times New Roman"/>
          <w:b w:val="0"/>
          <w:i w:val="0"/>
          <w:sz w:val="24"/>
        </w:rPr>
        <w:t xml:space="preserve">Critically, drift detection must precede algorithmic adaptation: an insurer cannot trigger a model retrain without knowing that drift has occurred. Population Stability Index provides a natural detection layer — applied here to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(§4.8), it would in a production deployment also be applied to the </w:t>
      </w:r>
      <w:r>
        <w:rPr>
          <w:rFonts w:ascii="Times New Roman" w:hAnsi="Times New Roman" w:eastAsia="Times New Roman"/>
          <w:b w:val="0"/>
          <w:i/>
          <w:sz w:val="24"/>
        </w:rPr>
        <w:t>incoming</w:t>
      </w:r>
      <w:r>
        <w:rPr>
          <w:rFonts w:ascii="Times New Roman" w:hAnsi="Times New Roman" w:eastAsia="Times New Roman"/>
          <w:b w:val="0"/>
          <w:i w:val="0"/>
          <w:sz w:val="24"/>
        </w:rPr>
        <w:t xml:space="preserve"> applicant distribution to flag environmental shifts before they cascade into stale reward coefficients. EXP-009 (§5.9) provides preliminary empirical evidence for the underlying premise that adaptive linear bandits absorb a moderate Cambodia-calibrated shock (doubled TB prevalence and a 30% drop in garment-worker income at round 1,500) substantially better than the non-adaptive Static XGB baseline: post-shock per-round regret for standard LinUCB and LinTS is approximately 0.29× their pre-shock level, while Static XGB recovers only to 0.85× — a gap consistent with the bandit's online re-weighting of feature coefficients in response to the new applicant mix. EXP-009 does not, however, isolate adaptation from late-stage convergence (the caveat in §5.9), nor does it test the DiscountedLinUCB extension described below; both are matters for follow-on work.</w:t>
      </w:r>
    </w:p>
    <w:p>
      <w:pPr>
        <w:spacing w:after="240" w:before="0" w:lineRule="auto" w:line="360"/>
        <w:ind w:firstLine="720"/>
        <w:jc w:val="both"/>
      </w:pPr>
      <w:r>
        <w:rPr>
          <w:rFonts w:ascii="Times New Roman" w:hAnsi="Times New Roman" w:eastAsia="Times New Roman"/>
          <w:b w:val="0"/>
          <w:i w:val="0"/>
          <w:sz w:val="24"/>
        </w:rPr>
        <w:t xml:space="preserve">A recommended production monitoring architecture would combine both signals: PSI computed on a rolling 3-month ingestion window triggers an alert when it crosses the 0.25 RED threshold; the alert would initiate a DiscountedLinUCB warm restart with a moderate forgetting factor (e.g. λ = 0.90) applied to the current sufficient statistics rather than a full cold restart from </w:t>
      </w:r>
      <w:r>
        <w:rPr>
          <w:rFonts w:ascii="Times New Roman" w:hAnsi="Times New Roman" w:eastAsia="Times New Roman"/>
          <w:b w:val="0"/>
          <w:i/>
          <w:sz w:val="24"/>
        </w:rPr>
        <w:t>A = I, b = 0</w:t>
      </w:r>
      <w:r>
        <w:rPr>
          <w:rFonts w:ascii="Times New Roman" w:hAnsi="Times New Roman" w:eastAsia="Times New Roman"/>
          <w:b w:val="0"/>
          <w:i w:val="0"/>
          <w:sz w:val="24"/>
        </w:rPr>
        <w:t>. This would preserve prior knowledge of stable subpopulations while accelerating adaptation to the drifted subgroup. DiscountedLinUCB (λ = 0.90) was prototyped and evaluated in the present repository; it did not close the constant-policy gap identified in §6.2, though it remains a recommended extension for production deployments facing severe distributional shift. A side-by-side comparison under PSI-triggered restart remains a concrete next step that builds directly on EXP-009's drift testbed and the PSI machinery already in `healthrl/`.</w:t>
      </w:r>
    </w:p>
    <w:p>
      <w:pPr>
        <w:spacing w:after="240" w:before="0" w:lineRule="auto" w:line="360"/>
        <w:ind w:left="720"/>
        <w:jc w:val="left"/>
      </w:pPr>
      <w:r>
        <w:rPr>
          <w:rFonts w:ascii="Times New Roman" w:hAnsi="Times New Roman" w:eastAsia="Times New Roman"/>
          <w:b/>
          <w:i w:val="0"/>
          <w:sz w:val="24"/>
        </w:rPr>
        <w:t>6.3.2 Neural Bandit Extensions</w:t>
      </w:r>
    </w:p>
    <w:p>
      <w:pPr>
        <w:spacing w:after="240" w:before="0" w:lineRule="auto" w:line="360"/>
        <w:ind w:firstLine="720"/>
        <w:jc w:val="both"/>
      </w:pPr>
      <w:r>
        <w:rPr>
          <w:rFonts w:ascii="Times New Roman" w:hAnsi="Times New Roman" w:eastAsia="Times New Roman"/>
          <w:b w:val="0"/>
          <w:i w:val="0"/>
          <w:sz w:val="24"/>
        </w:rPr>
        <w:t>The linear reward model underlying LinUCB and LinTS assumes that the expected reward is a linear function of the context features. For a 34-feature dataset, this assumption is reasonable and produces strong empirical performance. However, real-world applicant data — including telematics, claims history, and social network signals — may exhibit non-linear feature interactions that linear models cannot capture. NeuralUCB and NeuralTS replace the linear estimator with a deep network while preserving the UCB or Thompson Sampling exploration strategy, at the cost of substantially increased computational overhead. A hybrid neural-linear architecture, in which a neural network learns a low-dimensional embedding and a linear bandit operates in the embedding space, offers a practical middle ground for deployment on the compute budgets typical of emerging-market insurers.</w:t>
      </w:r>
    </w:p>
    <w:p>
      <w:pPr>
        <w:spacing w:after="240" w:before="0" w:lineRule="auto" w:line="360"/>
        <w:ind w:left="720"/>
        <w:jc w:val="left"/>
      </w:pPr>
      <w:r>
        <w:rPr>
          <w:rFonts w:ascii="Times New Roman" w:hAnsi="Times New Roman" w:eastAsia="Times New Roman"/>
          <w:b/>
          <w:i w:val="0"/>
          <w:sz w:val="24"/>
        </w:rPr>
        <w:t>6.3.3 Live Deployment and A/B Testing</w:t>
      </w:r>
    </w:p>
    <w:p>
      <w:pPr>
        <w:spacing w:after="240" w:before="0" w:lineRule="auto" w:line="360"/>
        <w:ind w:firstLine="720"/>
        <w:jc w:val="both"/>
      </w:pPr>
      <w:r>
        <w:rPr>
          <w:rFonts w:ascii="Times New Roman" w:hAnsi="Times New Roman" w:eastAsia="Times New Roman"/>
          <w:b w:val="0"/>
          <w:i w:val="0"/>
          <w:sz w:val="24"/>
        </w:rPr>
        <w:t>Translating the present results into a live deployment requires a controlled A/B testing protocol in which the bandit policy is applied to a randomised subset of incoming applicants while the static rule applies to the remainder. This design allows regret to be measured against a known baseline in production, rather than against a synthetic oracle. The key operational challenge is delayed reward feedback: health insurance claims typically emerge 6–24 months after policy issuance, creating a reward delay that violates the standard bandit assumption of immediate feedback. Survival analysis models or proxy rewards based on early claims indicators would be required to close this feedback loop on a commercially viable timescale.</w:t>
      </w:r>
    </w:p>
    <w:p>
      <w:pPr>
        <w:spacing w:after="240" w:before="0" w:lineRule="auto" w:line="360"/>
        <w:ind w:left="720"/>
        <w:jc w:val="left"/>
      </w:pPr>
      <w:r>
        <w:rPr>
          <w:rFonts w:ascii="Times New Roman" w:hAnsi="Times New Roman" w:eastAsia="Times New Roman"/>
          <w:b/>
          <w:i w:val="0"/>
          <w:sz w:val="24"/>
        </w:rPr>
        <w:t>6.3.4 Multi-Period Customer Value</w:t>
      </w:r>
    </w:p>
    <w:p>
      <w:pPr>
        <w:spacing w:after="240" w:before="0" w:lineRule="auto" w:line="360"/>
        <w:ind w:firstLine="720"/>
        <w:jc w:val="both"/>
      </w:pPr>
      <w:r>
        <w:rPr>
          <w:rFonts w:ascii="Times New Roman" w:hAnsi="Times New Roman" w:eastAsia="Times New Roman"/>
          <w:b w:val="0"/>
          <w:i w:val="0"/>
          <w:sz w:val="24"/>
        </w:rPr>
        <w:t>The reward function used in this thesis captures single-period underwriting profit. A richer model would incorporate customer lifetime value: the expected net present value of all future premiums minus claims, conditioned on the customer remaining in the portfolio. Retention probability, cross-selling opportunity (life, motor), and churn risk are all contextual signals that could be incorporated into the bandit's feature vector without changing the algorithm architecture, extending the framework from a pure underwriting tool to a full customer relationship optimisation engine.</w:t>
      </w:r>
    </w:p>
    <w:p>
      <w:pPr>
        <w:spacing w:after="240" w:before="0" w:lineRule="auto" w:line="360"/>
        <w:jc w:val="left"/>
      </w:pPr>
      <w:r>
        <w:rPr>
          <w:rFonts w:ascii="Times New Roman" w:hAnsi="Times New Roman" w:eastAsia="Times New Roman"/>
          <w:b/>
          <w:i w:val="0"/>
          <w:sz w:val="28"/>
        </w:rPr>
        <w:t>6.4 Final Remarks</w:t>
      </w:r>
    </w:p>
    <w:p>
      <w:pPr>
        <w:spacing w:after="240" w:before="0" w:lineRule="auto" w:line="360"/>
        <w:ind w:firstLine="720"/>
        <w:jc w:val="both"/>
      </w:pPr>
      <w:r>
        <w:rPr>
          <w:rFonts w:ascii="Times New Roman" w:hAnsi="Times New Roman" w:eastAsia="Times New Roman"/>
          <w:b w:val="0"/>
          <w:i w:val="0"/>
          <w:sz w:val="24"/>
        </w:rPr>
        <w:t>This thesis has demonstrated that contextual bandit algorithms — specifically LinUCB, LinTS, and their human-in-the-loop extension — can learn actuarially sound underwriting policies from interaction data, outperforming static rule-based baselines by 25% in cumulative reward (Cohen's d = 2.98 across 20 seeds) while maintaining demographic parity across Cambodia's regional and occupational subgroups under both PSI and the EEOC four-fifths rule. PSI monitoring provides a lightweight, interpretable guardrail that signals when the approved portfolio has drifted too far from the reference distribution, triggering the human or algorithmic intervention required to keep the policy current.</w:t>
      </w:r>
    </w:p>
    <w:p>
      <w:pPr>
        <w:spacing w:after="240" w:before="0" w:lineRule="auto" w:line="360"/>
        <w:ind w:firstLine="720"/>
        <w:jc w:val="both"/>
      </w:pPr>
      <w:r>
        <w:rPr>
          <w:rFonts w:ascii="Times New Roman" w:hAnsi="Times New Roman" w:eastAsia="Times New Roman"/>
          <w:b w:val="0"/>
          <w:i w:val="0"/>
          <w:sz w:val="24"/>
        </w:rPr>
        <w:t>The broader implication is structural. Traditional insurance underwriting in emerging markets relies on rules calibrated on historical loss experience from mature markets, applied to populations whose disease profiles, occupational structures, and economic trajectories differ fundamentally. A contextual bandit learns directly from the population it serves, updating continuously as the portfolio evolves. Combined with PSI guardrails and human-in-the-loop escalation for borderline cases, this architecture offers a path to underwriting that is simultaneously more accurate, more fair, and more adaptable than the static alternatives it replaces.</w:t>
      </w:r>
    </w:p>
    <w:p>
      <w:pPr>
        <w:spacing w:after="240" w:before="0" w:lineRule="auto" w:line="360"/>
        <w:ind w:firstLine="720"/>
        <w:jc w:val="both"/>
      </w:pPr>
      <w:r>
        <w:rPr>
          <w:rFonts w:ascii="Times New Roman" w:hAnsi="Times New Roman" w:eastAsia="Times New Roman"/>
          <w:b w:val="0"/>
          <w:i w:val="0"/>
          <w:sz w:val="24"/>
        </w:rPr>
        <w:t>The work presented here is a proof of concept on synthetic data. Its value lies not in the specific numbers — which will differ on real Cambodian claims data — but in the demonstration that the full pipeline is feasible: data generation, bandit training, fairness auditing, benchmark comparison, human integration, and drift monitoring can all be operationalised within the resource and regulatory constraints of an emerging-market insurer. The next step is a pilot with a willing partner.</w:t>
      </w:r>
    </w:p>
    <w:p>
      <w:r>
        <w:br w:type="page"/>
      </w:r>
    </w:p>
    <w:p>
      <w:pPr>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are formatted in APA 7th edition style.</w:t>
      </w:r>
    </w:p>
    <w:p>
      <w:pPr>
        <w:spacing w:after="240" w:before="0" w:lineRule="auto" w:line="360"/>
        <w:ind w:firstLine="720"/>
        <w:jc w:val="both"/>
      </w:pPr>
      <w:r>
        <w:rPr>
          <w:rFonts w:ascii="Times New Roman" w:hAnsi="Times New Roman" w:eastAsia="Times New Roman"/>
          <w:b w:val="0"/>
          <w:i w:val="0"/>
          <w:sz w:val="24"/>
        </w:rPr>
        <w:t>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Ban, Y., Yan, Y., Banerjee, A., &amp; He, J. (2022). EE-Net: Exploitation–exploration neural networks in contextual bandits. Proceedings of the 10th International Conference on Learning Representations. https://arxiv.org/abs/2110.03177</w:t>
      </w:r>
    </w:p>
    <w:p>
      <w:pPr>
        <w:spacing w:after="240" w:before="0" w:lineRule="auto" w:line="360"/>
        <w:ind w:firstLine="720"/>
        <w:jc w:val="both"/>
      </w:pPr>
      <w:r>
        <w:rPr>
          <w:rFonts w:ascii="Times New Roman" w:hAnsi="Times New Roman" w:eastAsia="Times New Roman"/>
          <w:b w:val="0"/>
          <w:i w:val="0"/>
          <w:sz w:val="24"/>
        </w:rPr>
        <w:t>Bastani, H., Bayati, M., &amp; Khosravi, K. (2021). Mostly exploration-free algorithms for contextual bandits. Management Science, 67(3), 1329–1349.</w:t>
      </w:r>
    </w:p>
    <w:p>
      <w:pPr>
        <w:spacing w:after="240" w:before="0" w:lineRule="auto" w:line="360"/>
        <w:ind w:firstLine="720"/>
        <w:jc w:val="both"/>
      </w:pPr>
      <w:r>
        <w:rPr>
          <w:rFonts w:ascii="Times New Roman" w:hAnsi="Times New Roman" w:eastAsia="Times New Roman"/>
          <w:b w:val="0"/>
          <w:i w:val="0"/>
          <w:sz w:val="24"/>
        </w:rPr>
        <w:t>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Zhou, D., Li, L., &amp; Gu, Q.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Barocas, S., Hardt, M., &amp; Narayanan, A. (2019). Fairness and machine learning: Limitations and opportunities. fairmlbook.org.</w:t>
      </w:r>
    </w:p>
    <w:p>
      <w:pPr>
        <w:spacing w:after="240" w:before="0" w:lineRule="auto" w:line="360"/>
        <w:ind w:firstLine="720"/>
        <w:jc w:val="both"/>
      </w:pPr>
      <w:r>
        <w:rPr>
          <w:rFonts w:ascii="Times New Roman" w:hAnsi="Times New Roman" w:eastAsia="Times New Roman"/>
          <w:b w:val="0"/>
          <w:i w:val="0"/>
          <w:sz w:val="24"/>
        </w:rPr>
        <w:t>Ensign, D., Friedler, S. A., Neville, S., Scheidegger, C., &amp; Venkatasubramanian, S. (2018). Runaway feedback loops in predictive policing. Proceedings of the 1st Conference on Fairness, Accountability and Transparency, PMLR 81, 160–171.</w:t>
      </w:r>
    </w:p>
    <w:p>
      <w:pPr>
        <w:spacing w:after="240" w:before="0" w:lineRule="auto" w:line="360"/>
        <w:ind w:firstLine="720"/>
        <w:jc w:val="both"/>
      </w:pPr>
      <w:r>
        <w:rPr>
          <w:rFonts w:ascii="Times New Roman" w:hAnsi="Times New Roman" w:eastAsia="Times New Roman"/>
          <w:b w:val="0"/>
          <w:i w:val="0"/>
          <w:sz w:val="24"/>
        </w:rPr>
        <w:t>Shadish, W. R., Cook, T. D., &amp; Campbell, D. T. (2002). Experimental and quasi-experimental designs for generalized causal inference. Houghton Mifflin.</w:t>
      </w:r>
    </w:p>
    <w:p>
      <w:pPr>
        <w:spacing w:after="240" w:before="0" w:lineRule="auto" w:line="360"/>
        <w:ind w:firstLine="720"/>
        <w:jc w:val="both"/>
      </w:pPr>
      <w:r>
        <w:rPr>
          <w:rFonts w:ascii="Times New Roman" w:hAnsi="Times New Roman" w:eastAsia="Times New Roman"/>
          <w:b w:val="0"/>
          <w:i w:val="0"/>
          <w:sz w:val="24"/>
        </w:rPr>
        <w:t>Lewis, E. M. (1994). An introduction to credit scoring. Athena Press.</w:t>
      </w:r>
    </w:p>
    <w:p>
      <w:pPr>
        <w:spacing w:after="240" w:before="0" w:lineRule="auto" w:line="360"/>
        <w:ind w:firstLine="720"/>
        <w:jc w:val="both"/>
      </w:pPr>
      <w:r>
        <w:rPr>
          <w:rFonts w:ascii="Times New Roman" w:hAnsi="Times New Roman" w:eastAsia="Times New Roman"/>
          <w:b w:val="0"/>
          <w:i w:val="0"/>
          <w:sz w:val="24"/>
        </w:rPr>
        <w:t>Lin, J. (1991). Divergence measures based on the Shannon entropy. IEEE Transactions on Information Theory, 37(1), 145–151. https://doi.org/10.1109/18.61115</w:t>
      </w:r>
    </w:p>
    <w:p>
      <w:pPr>
        <w:spacing w:after="240" w:before="0" w:lineRule="auto" w:line="360"/>
        <w:ind w:firstLine="720"/>
        <w:jc w:val="both"/>
      </w:pPr>
      <w:r>
        <w:rPr>
          <w:rFonts w:ascii="Times New Roman" w:hAnsi="Times New Roman" w:eastAsia="Times New Roman"/>
          <w:b w:val="0"/>
          <w:i w:val="0"/>
          <w:sz w:val="24"/>
        </w:rPr>
        <w:t>Siddiqi, N. (2006). Credit risk scorecards: Developing and implementing intelligent credit scoring. John Wiley &amp; Sons. (Reprinted 2012, https://doi.org/10.1002/9781119201731).</w:t>
      </w:r>
    </w:p>
    <w:p>
      <w:pPr>
        <w:spacing w:after="240" w:before="0" w:lineRule="auto" w:line="360"/>
        <w:ind w:firstLine="720"/>
        <w:jc w:val="both"/>
      </w:pPr>
      <w:r>
        <w:rPr>
          <w:rFonts w:ascii="Times New Roman" w:hAnsi="Times New Roman" w:eastAsia="Times New Roman"/>
          <w:b w:val="0"/>
          <w:i w:val="0"/>
          <w:sz w:val="24"/>
        </w:rPr>
        <w:t>Thomas, L. C., Edelman, D. B., &amp; Crook, J. N. (2002). Credit scoring and its applications. SIAM Monographs on Mathematical Modeling and Computation. SIAM.</w:t>
      </w:r>
    </w:p>
    <w:p>
      <w:pPr>
        <w:spacing w:after="240" w:before="0" w:lineRule="auto" w:line="360"/>
        <w:ind w:firstLine="720"/>
        <w:jc w:val="both"/>
      </w:pPr>
      <w:r>
        <w:rPr>
          <w:rFonts w:ascii="Times New Roman" w:hAnsi="Times New Roman" w:eastAsia="Times New Roman"/>
          <w:b w:val="0"/>
          <w:i w:val="0"/>
          <w:sz w:val="24"/>
        </w:rPr>
        <w:t>Yurdakul, B., &amp; Naranjo, J. (2020). Statistical properties of the population stability index. Journal of Risk Model Validation, 14(4), 89–100. https://doi.org/10.21314/JRMV.2020.227</w:t>
      </w:r>
    </w:p>
    <w:p>
      <w:pPr>
        <w:spacing w:after="240" w:before="0" w:lineRule="auto" w:line="360"/>
        <w:ind w:firstLine="720"/>
        <w:jc w:val="both"/>
      </w:pPr>
      <w:r>
        <w:rPr>
          <w:rFonts w:ascii="Times New Roman" w:hAnsi="Times New Roman" w:eastAsia="Times New Roman"/>
          <w:b w:val="0"/>
          <w:i w:val="0"/>
          <w:sz w:val="24"/>
        </w:rPr>
        <w:t>Asian Development Bank. (2023). Asian Development Outlook April 2023 — Cambodia. Manila: ADB. https://www.adb.org/sites/default/files/publication/863591/cam-ado-april-2023.pdf</w:t>
      </w:r>
    </w:p>
    <w:p>
      <w:pPr>
        <w:spacing w:after="240" w:before="0" w:lineRule="auto" w:line="360"/>
        <w:ind w:firstLine="720"/>
        <w:jc w:val="both"/>
      </w:pPr>
      <w:r>
        <w:rPr>
          <w:rFonts w:ascii="Times New Roman" w:hAnsi="Times New Roman" w:eastAsia="Times New Roman"/>
          <w:b w:val="0"/>
          <w:i w:val="0"/>
          <w:sz w:val="24"/>
        </w:rPr>
        <w:t>BIMA Mobile. (2022). BIMA–Smart Axiata partnership: mobile micro-insurance in Cambodia. Company report. https://bimamobile.com</w:t>
      </w:r>
    </w:p>
    <w:p>
      <w:pPr>
        <w:spacing w:after="240" w:before="0" w:lineRule="auto" w:line="360"/>
        <w:ind w:firstLine="720"/>
        <w:jc w:val="both"/>
      </w:pPr>
      <w:r>
        <w:rPr>
          <w:rFonts w:ascii="Times New Roman" w:hAnsi="Times New Roman" w:eastAsia="Times New Roman"/>
          <w:b w:val="0"/>
          <w:i w:val="0"/>
          <w:sz w:val="24"/>
        </w:rPr>
        <w:t>International Labour Organization. (2022). Cambodian Garment and Footwear Sector Bulletin. ILO Country Office for Cambodia. https://www.ilo.org</w:t>
      </w:r>
    </w:p>
    <w:p>
      <w:pPr>
        <w:spacing w:after="240" w:before="0" w:lineRule="auto" w:line="360"/>
        <w:ind w:firstLine="720"/>
        <w:jc w:val="both"/>
      </w:pPr>
      <w:r>
        <w:rPr>
          <w:rFonts w:ascii="Times New Roman" w:hAnsi="Times New Roman" w:eastAsia="Times New Roman"/>
          <w:b w:val="0"/>
          <w:i w:val="0"/>
          <w:sz w:val="24"/>
        </w:rPr>
        <w:t>Ministry of Agriculture, Forestry and Fisheries of Cambodia. (2022). Annual report on the work of the agriculture, forestry and fisheries sector and direction for the following year. Phnom Penh: MAFF. https://maff.gov.kh</w:t>
      </w:r>
    </w:p>
    <w:p>
      <w:pPr>
        <w:spacing w:after="240" w:before="0" w:lineRule="auto" w:line="360"/>
        <w:ind w:firstLine="720"/>
        <w:jc w:val="both"/>
      </w:pPr>
      <w:r>
        <w:rPr>
          <w:rFonts w:ascii="Times New Roman" w:hAnsi="Times New Roman" w:eastAsia="Times New Roman"/>
          <w:b w:val="0"/>
          <w:i w:val="0"/>
          <w:sz w:val="24"/>
        </w:rPr>
        <w:t>National Institute of Statistics, Ministry of Health, &amp; ICF. (2023). Cambodia Demographic and Health Survey 2021–22. Phnom Penh, Cambodia, and Rockville, Maryland, USA: NIS, MoH, and ICF. https://dhsprogram.com/pubs/pdf/FR377/FR377.pdf</w:t>
      </w:r>
    </w:p>
    <w:p>
      <w:pPr>
        <w:spacing w:after="240" w:before="0" w:lineRule="auto" w:line="360"/>
        <w:ind w:firstLine="720"/>
        <w:jc w:val="both"/>
      </w:pPr>
      <w:r>
        <w:rPr>
          <w:rFonts w:ascii="Times New Roman" w:hAnsi="Times New Roman" w:eastAsia="Times New Roman"/>
          <w:b w:val="0"/>
          <w:i w:val="0"/>
          <w:sz w:val="24"/>
        </w:rPr>
        <w:t>Swiss Re Institute. (2023). Sigma 3/2023: World insurance — stirred, and not shaken. Zürich: Swiss Re. https://www.swissre.com/institute/research/sigma-research/sigma-2023-03.html</w:t>
      </w:r>
    </w:p>
    <w:p>
      <w:pPr>
        <w:spacing w:after="240" w:before="0" w:lineRule="auto" w:line="360"/>
        <w:ind w:firstLine="720"/>
        <w:jc w:val="both"/>
      </w:pPr>
      <w:r>
        <w:rPr>
          <w:rFonts w:ascii="Times New Roman" w:hAnsi="Times New Roman" w:eastAsia="Times New Roman"/>
          <w:b w:val="0"/>
          <w:i w:val="0"/>
          <w:sz w:val="24"/>
        </w:rPr>
        <w:t>World Bank. (2023). World Development Indicators — Cambodia. Washington, DC: World Bank. https://databank.worldbank.org/source/world-development-indicators</w:t>
      </w:r>
    </w:p>
    <w:p>
      <w:r>
        <w:br w:type="page"/>
      </w:r>
    </w:p>
    <w:p>
      <w:pPr>
        <w:spacing w:after="480" w:before="0" w:lineRule="auto" w:line="360"/>
        <w:jc w:val="center"/>
      </w:pPr>
      <w:r>
        <w:rPr>
          <w:rFonts w:ascii="Times New Roman" w:hAnsi="Times New Roman" w:eastAsia="Times New Roman"/>
          <w:b/>
          <w:i w:val="0"/>
          <w:sz w:val="32"/>
        </w:rPr>
        <w:t>APPENDICES</w:t>
      </w:r>
    </w:p>
    <w:p>
      <w:pPr>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data/cambodia/generate_cambodia_dataset.py]</w:t>
      </w:r>
    </w:p>
    <w:p>
      <w:pPr>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healthrl/underwriting_bandit.py]</w:t>
      </w:r>
    </w:p>
    <w:p>
      <w:pPr>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healthrl/experiments/exp_005_*.py, exp_006_*.py, exp_007_*.py]</w:t>
      </w:r>
    </w:p>
    <w:sectPr w:rsidR="00FC693F" w:rsidRPr="0006063C" w:rsidSect="00034616">
      <w:footerReference w:type="default" r:id="rId10"/>
      <w:pgSz w:w="11906" w:h="16838"/>
      <w:pgMar w:top="1440" w:right="1440" w:bottom="1440" w:left="1797" w:header="720" w:footer="720" w:gutter="0"/>
      <w:cols w:space="720"/>
      <w:docGrid w:linePitch="360"/>
      <w:titlePg/>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