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E"/>
          <w:sz w:val="32"/>
        </w:rPr>
        <w:t>RED-TEAM DEFENSE PREP: 30 QUESTIONS + PIVOT STRATEGY</w:t>
      </w:r>
    </w:p>
    <w:p>
      <w:pPr>
        <w:jc w:val="center"/>
      </w:pPr>
      <w:r>
        <w:rPr>
          <w:color w:val="404040"/>
          <w:sz w:val="22"/>
        </w:rPr>
        <w:t>Adaptive Health Insurance Underwriting via Contextual Bandits:</w:t>
        <w:br/>
        <w:t>A Reinforcement Learning Approach for Cambodia</w:t>
        <w:br/>
        <w:br/>
        <w:t>LUN CHANPOLY  ·  ITC-AMS  ·  8 July 2026</w:t>
      </w:r>
    </w:p>
    <w:p/>
    <w:p>
      <w:r>
        <w:rPr>
          <w:i/>
          <w:sz w:val="20"/>
        </w:rPr>
        <w:t>HOW TO USE THIS DOCUMENT</w:t>
        <w:br/>
        <w:t>This is Q&amp;A rehearsal material, not the timed presentation script (see Poly_defense_script_20min.docx for that). Read each question aloud, then answer from memory before checking the Framework / Evidence / Application text below it -- reciting is not the goal, internalizing the structure is. All numbers here are sourced from thesis/Thesis/Chapters/ch5-Results.tex as of 2026-07-01; if a number in your other defense materials (e.g. the older HITL '+6.5%' figure) conflicts with what's written here, THIS document and the current thesis chapter are correct.</w:t>
      </w:r>
    </w:p>
    <w:p>
      <w:r>
        <w:br w:type="page"/>
      </w:r>
    </w:p>
    <w:p>
      <w:pPr>
        <w:pStyle w:val="Heading1"/>
      </w:pPr>
      <w:r>
        <w:rPr>
          <w:color w:val="1F3A6E"/>
        </w:rPr>
        <w:t>PART I -- RED-TEAM Q&amp;A BANK</w:t>
      </w:r>
    </w:p>
    <w:p>
      <w:pPr>
        <w:pStyle w:val="Heading2"/>
      </w:pPr>
      <w:r>
        <w:rPr>
          <w:color w:val="2E74B5"/>
        </w:rPr>
        <w:t>METHODOLOGY / TECHNICAL</w:t>
      </w:r>
    </w:p>
    <w:p>
      <w:pPr>
        <w:spacing w:before="200"/>
      </w:pPr>
      <w:r>
        <w:rPr>
          <w:b/>
          <w:sz w:val="22"/>
        </w:rPr>
        <w:t>Q1. Why did you choose linear contextual bandits (LinUCB/LinTS) instead of a neural bandit, when you only have 2,000 synthetic applicants to learn from?</w:t>
      </w:r>
    </w:p>
    <w:p>
      <w:pPr>
        <w:spacing w:before="40" w:after="40"/>
      </w:pPr>
      <w:r>
        <w:rPr>
          <w:b/>
          <w:i/>
          <w:color w:val="707070"/>
          <w:sz w:val="20"/>
        </w:rPr>
        <w:t xml:space="preserve">Framework: </w:t>
      </w:r>
      <w:r>
        <w:rPr>
          <w:sz w:val="21"/>
        </w:rPr>
        <w:t>I matched model complexity to both the sample size and the regulatory need for an auditable decision -- this is a bias-variance call as much as an actuarial-governance call.</w:t>
      </w:r>
    </w:p>
    <w:p>
      <w:pPr>
        <w:spacing w:before="40" w:after="40"/>
      </w:pPr>
      <w:r>
        <w:rPr>
          <w:b/>
          <w:i/>
          <w:color w:val="707070"/>
          <w:sz w:val="20"/>
        </w:rPr>
        <w:t xml:space="preserve">Evidence: </w:t>
      </w:r>
      <w:r>
        <w:rPr>
          <w:sz w:val="21"/>
        </w:rPr>
        <w:t>With 2,000 applicants and a 34-dimensional context, linear bandits give closed-form ridge-regression updates and UCB/Thompson posteriors that converge fast. The ablation study actually shows the online ridge-regression updating itself -- not the exploration bonus -- is what beats Static XGB with d=3.01, so the linear update rule is doing the real work here, not raw model capacity.</w:t>
      </w:r>
    </w:p>
    <w:p>
      <w:pPr>
        <w:spacing w:before="40" w:after="40"/>
      </w:pPr>
      <w:r>
        <w:rPr>
          <w:b/>
          <w:i/>
          <w:color w:val="707070"/>
          <w:sz w:val="20"/>
        </w:rPr>
        <w:t xml:space="preserve">Application: </w:t>
      </w:r>
      <w:r>
        <w:rPr>
          <w:sz w:val="21"/>
        </w:rPr>
        <w:t>The thesis's contribution is a deployable, auditable underwriting policy, not a state-of-the-art capacity benchmark -- for a decision that declines or refers someone like Sophea, an actuary or regulator needs to see the coefficients, which a neural bandit can't offer and which we don't have the data to justify anyway.</w:t>
      </w:r>
    </w:p>
    <w:p>
      <w:pPr>
        <w:spacing w:before="200"/>
      </w:pPr>
      <w:r>
        <w:rPr>
          <w:b/>
          <w:sz w:val="22"/>
        </w:rPr>
        <w:t>Q2. Why is there no train/test split, and given that plus the fact the data is synthetic, how do you know these results generalize to real Cambodian claims?</w:t>
      </w:r>
    </w:p>
    <w:p>
      <w:pPr>
        <w:spacing w:before="40" w:after="40"/>
      </w:pPr>
      <w:r>
        <w:rPr>
          <w:b/>
          <w:i/>
          <w:color w:val="707070"/>
          <w:sz w:val="20"/>
        </w:rPr>
        <w:t xml:space="preserve">Framework: </w:t>
      </w:r>
      <w:r>
        <w:rPr>
          <w:sz w:val="21"/>
        </w:rPr>
        <w:t>This is online sequential learning, not batch supervised learning -- the right validation unit is independent random seeds under a pre-registered protocol, not a holdout set.</w:t>
      </w:r>
    </w:p>
    <w:p>
      <w:pPr>
        <w:spacing w:before="40" w:after="40"/>
      </w:pPr>
      <w:r>
        <w:rPr>
          <w:b/>
          <w:i/>
          <w:color w:val="707070"/>
          <w:sz w:val="20"/>
        </w:rPr>
        <w:t xml:space="preserve">Evidence: </w:t>
      </w:r>
      <w:r>
        <w:rPr>
          <w:sz w:val="21"/>
        </w:rPr>
        <w:t>The bandit selects an arm, observes reward, and updates one round at a time, exactly as it would in production; we measure generalization via 20 independent pre-registered seeds with bootstrap 95% CIs, giving the headline +25.2%, p&lt;0.001, d=2.98. The Static XGB comparator, by contrast, is fit offline and frozen exactly like standard supervised practice, so that comparison is fair. On real claims specifically -- I'll say it plainly, the thesis doesn't measure that; it's built on 2,000 CDHS/STEPS/ILO/WHO-anchored synthetic records, and that's a named limitation, not something I'm dressing up.</w:t>
      </w:r>
    </w:p>
    <w:p>
      <w:pPr>
        <w:spacing w:before="40" w:after="40"/>
      </w:pPr>
      <w:r>
        <w:rPr>
          <w:b/>
          <w:i/>
          <w:color w:val="707070"/>
          <w:sz w:val="20"/>
        </w:rPr>
        <w:t xml:space="preserve">Application: </w:t>
      </w:r>
      <w:r>
        <w:rPr>
          <w:sz w:val="21"/>
        </w:rPr>
        <w:t>That's exactly why the deployment roadmap starts in phase 1 shadow mode -- bandit recommends, doesn't decide -- so the real-claims generalization question gets answered empirically on live Cambodian data before a policy like this ever touches Sophea's actual outcome alone.</w:t>
      </w:r>
    </w:p>
    <w:p>
      <w:pPr>
        <w:spacing w:before="200"/>
      </w:pPr>
      <w:r>
        <w:rPr>
          <w:b/>
          <w:sz w:val="22"/>
        </w:rPr>
        <w:t>Q3. Criterion 6 of your fairness audit fails with p&lt;0.001 -- isn't a p-value that strong evidence of discrimination, regardless of how you'd like to interpret it?</w:t>
      </w:r>
    </w:p>
    <w:p>
      <w:pPr>
        <w:spacing w:before="40" w:after="40"/>
      </w:pPr>
      <w:r>
        <w:rPr>
          <w:b/>
          <w:i/>
          <w:color w:val="707070"/>
          <w:sz w:val="20"/>
        </w:rPr>
        <w:t xml:space="preserve">Framework: </w:t>
      </w:r>
      <w:r>
        <w:rPr>
          <w:sz w:val="21"/>
        </w:rPr>
        <w:t>Statistical significance tells you an association exists; practical, actuarial significance tells you whether it matters -- with 2,000 records, even small real effects become detectable.</w:t>
      </w:r>
    </w:p>
    <w:p>
      <w:pPr>
        <w:spacing w:before="40" w:after="40"/>
      </w:pPr>
      <w:r>
        <w:rPr>
          <w:b/>
          <w:i/>
          <w:color w:val="707070"/>
          <w:sz w:val="20"/>
        </w:rPr>
        <w:t xml:space="preserve">Evidence: </w:t>
      </w:r>
      <w:r>
        <w:rPr>
          <w:sz w:val="21"/>
        </w:rPr>
        <w:t>Occupation-to-action independence failed at p&lt;0.001, but occupation PSI sits at 0.123, AMBER not RED, and the occupation four-fifths rule still passes at 90.12%. The interpretation I stand behind is that occupation is a genuine actuarial signal in this dataset -- rural, high-labor occupations carry real elevated Hepatitis B/TB/injury prevalence -- so I call this result FAILED-with-interpretation rather than hiding or softening it.</w:t>
      </w:r>
    </w:p>
    <w:p>
      <w:pPr>
        <w:spacing w:before="40" w:after="40"/>
      </w:pPr>
      <w:r>
        <w:rPr>
          <w:b/>
          <w:i/>
          <w:color w:val="707070"/>
          <w:sz w:val="20"/>
        </w:rPr>
        <w:t xml:space="preserve">Application: </w:t>
      </w:r>
      <w:r>
        <w:rPr>
          <w:sz w:val="21"/>
        </w:rPr>
        <w:t>That's why the thesis treats PSI as a monitor, not an enforcer, and names constrained-action fairness guardrails as future work -- in a market with zero fairness monitoring in underwriting today, an honest amber flag is a real contribution, not a cover-up.</w:t>
      </w:r>
    </w:p>
    <w:p>
      <w:pPr>
        <w:spacing w:before="200"/>
      </w:pPr>
      <w:r>
        <w:rPr>
          <w:b/>
          <w:sz w:val="22"/>
        </w:rPr>
        <w:t>Q4. A trivial constant policy, AlwaysRATED, beats both of your bandits by roughly 30% -- doesn't that undermine the whole thesis?</w:t>
      </w:r>
    </w:p>
    <w:p>
      <w:pPr>
        <w:spacing w:before="40" w:after="40"/>
      </w:pPr>
      <w:r>
        <w:rPr>
          <w:b/>
          <w:i/>
          <w:color w:val="707070"/>
          <w:sz w:val="20"/>
        </w:rPr>
        <w:t xml:space="preserve">Framework: </w:t>
      </w:r>
      <w:r>
        <w:rPr>
          <w:sz w:val="21"/>
        </w:rPr>
        <w:t>The claim is scoped to admissible, deployable policies -- a policy no insurer can lawfully or commercially run isn't a competitor, it's a ceiling.</w:t>
      </w:r>
    </w:p>
    <w:p>
      <w:pPr>
        <w:spacing w:before="40" w:after="40"/>
      </w:pPr>
      <w:r>
        <w:rPr>
          <w:b/>
          <w:i/>
          <w:color w:val="707070"/>
          <w:sz w:val="20"/>
        </w:rPr>
        <w:t xml:space="preserve">Evidence: </w:t>
      </w:r>
      <w:r>
        <w:rPr>
          <w:sz w:val="21"/>
        </w:rPr>
        <w:t>Yes, AlwaysRATED reaches $122,287 versus LinUCB's $90,540, and the pre-registered hypothesis 'bandit beats best simple baseline' was falsified once that constant is included, p&lt;0.0001 -- I report that directly as the honest, scientifically informative outcome. But AlwaysRATED means slapping a 25% loading on every applicant regardless of risk, which triggers severe adverse selection, pushes healthy applicants out of the market, and would not survive Cambodian regulatory review.</w:t>
      </w:r>
    </w:p>
    <w:p>
      <w:pPr>
        <w:spacing w:before="40" w:after="40"/>
      </w:pPr>
      <w:r>
        <w:rPr>
          <w:b/>
          <w:i/>
          <w:color w:val="707070"/>
          <w:sz w:val="20"/>
        </w:rPr>
        <w:t xml:space="preserve">Application: </w:t>
      </w:r>
      <w:r>
        <w:rPr>
          <w:sz w:val="21"/>
        </w:rPr>
        <w:t>Among every admissible policy -- the ones an insurer could actually run -- LinUCB and LinTS rank first and second, beating the frozen Static XGB system that currently declines someone like Sophea, by 25.2%; that honestly-scoped claim is the real contribution, and I'd rather defend that than an inflated one.</w:t>
      </w:r>
    </w:p>
    <w:p>
      <w:pPr>
        <w:spacing w:before="200"/>
      </w:pPr>
      <w:r>
        <w:rPr>
          <w:b/>
          <w:sz w:val="22"/>
        </w:rPr>
        <w:t>Q5. Your cold-start result for LinUCB at T=2,000 is only 'softened' -- p=0.084, not significant -- so is that actually a result, or just a hope?</w:t>
      </w:r>
    </w:p>
    <w:p>
      <w:pPr>
        <w:spacing w:before="40" w:after="40"/>
      </w:pPr>
      <w:r>
        <w:rPr>
          <w:b/>
          <w:i/>
          <w:color w:val="707070"/>
          <w:sz w:val="20"/>
        </w:rPr>
        <w:t xml:space="preserve">Framework: </w:t>
      </w:r>
      <w:r>
        <w:rPr>
          <w:sz w:val="21"/>
        </w:rPr>
        <w:t>I distinguish a point estimate from a statistically confirmed effect; a p-value above threshold means 'not distinguishable from zero,' not 'false,' and I report both bandits by that standard rather than rounding up.</w:t>
      </w:r>
    </w:p>
    <w:p>
      <w:pPr>
        <w:spacing w:before="40" w:after="40"/>
      </w:pPr>
      <w:r>
        <w:rPr>
          <w:b/>
          <w:i/>
          <w:color w:val="707070"/>
          <w:sz w:val="20"/>
        </w:rPr>
        <w:t xml:space="preserve">Evidence: </w:t>
      </w:r>
      <w:r>
        <w:rPr>
          <w:sz w:val="21"/>
        </w:rPr>
        <w:t>LinTS beats FreshXGB at T=2,000 with p=0.0039, d=1.48 -- a real, pre-registered pass. LinUCB's point estimate also exceeds FreshXGB at T=2,000, but with only p=0.084 under the 10-seed CRN Bonferroni-corrected test, so I explicitly say it 'draws level' rather than claim a proven win.</w:t>
      </w:r>
    </w:p>
    <w:p>
      <w:pPr>
        <w:spacing w:before="40" w:after="40"/>
      </w:pPr>
      <w:r>
        <w:rPr>
          <w:b/>
          <w:i/>
          <w:color w:val="707070"/>
          <w:sz w:val="20"/>
        </w:rPr>
        <w:t xml:space="preserve">Application: </w:t>
      </w:r>
      <w:r>
        <w:rPr>
          <w:sz w:val="21"/>
        </w:rPr>
        <w:t>That's exactly why the thesis recommends a warm-start hybrid -- run FreshXGB for the first 1,000 to 2,000 applicants, then hand off to the bandit -- so deployment doesn't lean on a LinUCB cold-start claim that isn't statistically nailed down yet.</w:t>
      </w:r>
    </w:p>
    <w:p>
      <w:pPr>
        <w:spacing w:before="200"/>
      </w:pPr>
      <w:r>
        <w:rPr>
          <w:b/>
          <w:sz w:val="22"/>
        </w:rPr>
        <w:t>Q6. Your own ablation shows the UCB exploration bonus isn't load-bearing (p=0.580) -- so what is LinUCB actually contributing that Static XGB doesn't?</w:t>
      </w:r>
    </w:p>
    <w:p>
      <w:pPr>
        <w:spacing w:before="40" w:after="40"/>
      </w:pPr>
      <w:r>
        <w:rPr>
          <w:b/>
          <w:i/>
          <w:color w:val="707070"/>
          <w:sz w:val="20"/>
        </w:rPr>
        <w:t xml:space="preserve">Framework: </w:t>
      </w:r>
      <w:r>
        <w:rPr>
          <w:sz w:val="21"/>
        </w:rPr>
        <w:t>Ablation isolates mechanism -- I separate the exploration bonus from the online ridge-regression updating that underlies both LinUCB and LinTS.</w:t>
      </w:r>
    </w:p>
    <w:p>
      <w:pPr>
        <w:spacing w:before="40" w:after="40"/>
      </w:pPr>
      <w:r>
        <w:rPr>
          <w:b/>
          <w:i/>
          <w:color w:val="707070"/>
          <w:sz w:val="20"/>
        </w:rPr>
        <w:t xml:space="preserve">Evidence: </w:t>
      </w:r>
      <w:r>
        <w:rPr>
          <w:sz w:val="21"/>
        </w:rPr>
        <w:t>Greedy-only, with alpha set to zero and no exploration bonus, statistically ties Full LinUCB, p=0.580, d=0.13. But that same greedy-only variant still beats Static XGB by $18,969, p&lt;0.001, d=3.01 -- so the advantage comes from continuously updating on every new applicant online, not from the exploration term.</w:t>
      </w:r>
    </w:p>
    <w:p>
      <w:pPr>
        <w:spacing w:before="40" w:after="40"/>
      </w:pPr>
      <w:r>
        <w:rPr>
          <w:b/>
          <w:i/>
          <w:color w:val="707070"/>
          <w:sz w:val="20"/>
        </w:rPr>
        <w:t xml:space="preserve">Application: </w:t>
      </w:r>
      <w:r>
        <w:rPr>
          <w:sz w:val="21"/>
        </w:rPr>
        <w:t>That's actually a stronger story for Cambodia deployment -- the value driver is adaptivity to a changing applicant pool over time, not a fragile exploration hyperparameter, which matters more than a UCB bonus when DAC has to maintain this system in production.</w:t>
      </w:r>
    </w:p>
    <w:p>
      <w:pPr>
        <w:spacing w:before="200"/>
      </w:pPr>
      <w:r>
        <w:rPr>
          <w:b/>
          <w:sz w:val="22"/>
        </w:rPr>
        <w:t>Q7. Your reward simulator uses an 8% noise band and a 1.35 adverse-selection multiplier -- is that a realistic actuarial proxy, or a number you picked to make the results work?</w:t>
      </w:r>
    </w:p>
    <w:p>
      <w:pPr>
        <w:spacing w:before="40" w:after="40"/>
      </w:pPr>
      <w:r>
        <w:rPr>
          <w:b/>
          <w:i/>
          <w:color w:val="707070"/>
          <w:sz w:val="20"/>
        </w:rPr>
        <w:t xml:space="preserve">Framework: </w:t>
      </w:r>
      <w:r>
        <w:rPr>
          <w:sz w:val="21"/>
        </w:rPr>
        <w:t>A synthetic reward model is only credible if its parameters trace to a defensible external source, not something tuned after seeing results.</w:t>
      </w:r>
    </w:p>
    <w:p>
      <w:pPr>
        <w:spacing w:before="40" w:after="40"/>
      </w:pPr>
      <w:r>
        <w:rPr>
          <w:b/>
          <w:i/>
          <w:color w:val="707070"/>
          <w:sz w:val="20"/>
        </w:rPr>
        <w:t xml:space="preserve">Evidence: </w:t>
      </w:r>
      <w:r>
        <w:rPr>
          <w:sz w:val="21"/>
        </w:rPr>
        <w:t>The adverse-selection factor, 1.35, applied when the risk multiplier exceeds 2.0, is a DAC actuarial prior, not a self-selected number, and it was held fixed at that externally-sourced value while other parameters -- price elasticity, base 3.5, stressed at 2.5 and 4.5, among others -- were swept in the EXP-012 sensitivity grid, which found the ranking of LinUCB and LinTS above the other admissible policies held stable across that full grid.</w:t>
      </w:r>
    </w:p>
    <w:p>
      <w:pPr>
        <w:spacing w:before="40" w:after="40"/>
      </w:pPr>
      <w:r>
        <w:rPr>
          <w:b/>
          <w:i/>
          <w:color w:val="707070"/>
          <w:sz w:val="20"/>
        </w:rPr>
        <w:t xml:space="preserve">Application: </w:t>
      </w:r>
      <w:r>
        <w:rPr>
          <w:sz w:val="21"/>
        </w:rPr>
        <w:t>It's a proxy, not ground truth, and the thesis names single-period reward and synthetic-data limitations directly -- but it's the same kind of actuarially-anchored simplification DAC uses in real pricing work, which is why it's a credible basis for the phase-1 shadow-mode rollout rather than a toy simulation.</w:t>
      </w:r>
    </w:p>
    <w:p>
      <w:pPr>
        <w:spacing w:before="200"/>
      </w:pPr>
      <w:r>
        <w:rPr>
          <w:b/>
          <w:sz w:val="22"/>
        </w:rPr>
        <w:t>Q8. Why is 20 seeds enough to support claims like p&lt;0.001 and d=2.98 -- why not run more?</w:t>
      </w:r>
    </w:p>
    <w:p>
      <w:pPr>
        <w:spacing w:before="40" w:after="40"/>
      </w:pPr>
      <w:r>
        <w:rPr>
          <w:b/>
          <w:i/>
          <w:color w:val="707070"/>
          <w:sz w:val="20"/>
        </w:rPr>
        <w:t xml:space="preserve">Framework: </w:t>
      </w:r>
      <w:r>
        <w:rPr>
          <w:sz w:val="21"/>
        </w:rPr>
        <w:t>For a randomized-seed comparison, the question isn't 'more is always better,' it's whether the variance estimate is stable enough to support the statistical tests being run -- bootstrap CIs and effect sizes answer that directly.</w:t>
      </w:r>
    </w:p>
    <w:p>
      <w:pPr>
        <w:spacing w:before="40" w:after="40"/>
      </w:pPr>
      <w:r>
        <w:rPr>
          <w:b/>
          <w:i/>
          <w:color w:val="707070"/>
          <w:sz w:val="20"/>
        </w:rPr>
        <w:t xml:space="preserve">Evidence: </w:t>
      </w:r>
      <w:r>
        <w:rPr>
          <w:sz w:val="21"/>
        </w:rPr>
        <w:t>The headline result, LinUCB $90,540 plus or minus $5,382 versus Static XGB $72,292 plus or minus $4,120, comes from 20 fixed, pre-registered seeds with bootstrap 95% CIs, paired Wilcoxon tests, and Bonferroni correction, landing at d=2.98, a large effect. When a specific comparison needed a different seed count, I said so explicitly -- cold start used 10 CRN seeds with its own Bonferroni-corrected alpha of 0.025 rather than silently reusing 20.</w:t>
      </w:r>
    </w:p>
    <w:p>
      <w:pPr>
        <w:spacing w:before="40" w:after="40"/>
      </w:pPr>
      <w:r>
        <w:rPr>
          <w:b/>
          <w:i/>
          <w:color w:val="707070"/>
          <w:sz w:val="20"/>
        </w:rPr>
        <w:t xml:space="preserve">Application: </w:t>
      </w:r>
      <w:r>
        <w:rPr>
          <w:sz w:val="21"/>
        </w:rPr>
        <w:t>Twenty fixed seeds pre-registered before running experiments, combined with a large effect size, means the headline +25.2% isn't a lucky draw -- that discipline is exactly what protects this thesis from the seed-shopping risk a skeptical committee should be looking for.</w:t>
      </w:r>
    </w:p>
    <w:p>
      <w:pPr>
        <w:spacing w:before="200"/>
      </w:pPr>
      <w:r>
        <w:rPr>
          <w:b/>
          <w:sz w:val="22"/>
        </w:rPr>
        <w:t>Q9. Under your drift experiment, even a discounted version of LinUCB barely recovers performance after a shock -- what does that say about deploying this in a real, shifting market?</w:t>
      </w:r>
    </w:p>
    <w:p>
      <w:pPr>
        <w:spacing w:before="40" w:after="40"/>
      </w:pPr>
      <w:r>
        <w:rPr>
          <w:b/>
          <w:i/>
          <w:color w:val="707070"/>
          <w:sz w:val="20"/>
        </w:rPr>
        <w:t xml:space="preserve">Framework: </w:t>
      </w:r>
      <w:r>
        <w:rPr>
          <w:sz w:val="21"/>
        </w:rPr>
        <w:t>I treat this as a named boundary of the framework, not a hidden flaw -- non-stationarity is a known open problem in bandit theory, and I test it rather than assume it away.</w:t>
      </w:r>
    </w:p>
    <w:p>
      <w:pPr>
        <w:spacing w:before="40" w:after="40"/>
      </w:pPr>
      <w:r>
        <w:rPr>
          <w:b/>
          <w:i/>
          <w:color w:val="707070"/>
          <w:sz w:val="20"/>
        </w:rPr>
        <w:t xml:space="preserve">Evidence: </w:t>
      </w:r>
      <w:r>
        <w:rPr>
          <w:sz w:val="21"/>
        </w:rPr>
        <w:t>Under a realistic drift shock, LinTS drops 39% to $71,429 and LinUCB drops 39.2% to $71,373, while DiscountedLinUCB with gamma=0.999 only reaches $70,995 -- essentially no improvement over the undiscounted version -- and AlwaysRATED holds up much better at $99,321. I report this directly: non-stationarity does not rescue the bandit's ranking against the constant.</w:t>
      </w:r>
    </w:p>
    <w:p>
      <w:pPr>
        <w:spacing w:before="40" w:after="40"/>
      </w:pPr>
      <w:r>
        <w:rPr>
          <w:b/>
          <w:i/>
          <w:color w:val="707070"/>
          <w:sz w:val="20"/>
        </w:rPr>
        <w:t xml:space="preserve">Application: </w:t>
      </w:r>
      <w:r>
        <w:rPr>
          <w:sz w:val="21"/>
        </w:rPr>
        <w:t>That's precisely why the deployment roadmap is staged -- shadow mode, then human-confirmed assisted mode, before any automated phase -- so that if Cambodia's risk landscape shifts in ways this drift model doesn't fully capture, a human is still in the loop before it affects someone like Sophea.</w:t>
      </w:r>
    </w:p>
    <w:p>
      <w:pPr>
        <w:spacing w:before="200"/>
      </w:pPr>
      <w:r>
        <w:rPr>
          <w:b/>
          <w:sz w:val="22"/>
        </w:rPr>
        <w:t>Q10. Was alpha=1.0 cherry-picked after you saw it gave the best headline number, or is it genuinely a robust choice?</w:t>
      </w:r>
    </w:p>
    <w:p>
      <w:pPr>
        <w:spacing w:before="40" w:after="40"/>
      </w:pPr>
      <w:r>
        <w:rPr>
          <w:b/>
          <w:i/>
          <w:color w:val="707070"/>
          <w:sz w:val="20"/>
        </w:rPr>
        <w:t xml:space="preserve">Framework: </w:t>
      </w:r>
      <w:r>
        <w:rPr>
          <w:sz w:val="21"/>
        </w:rPr>
        <w:t>A parameter is only defensible if it comes out of a pre-registered sweep, not one selected after seeing which value wins.</w:t>
      </w:r>
    </w:p>
    <w:p>
      <w:pPr>
        <w:spacing w:before="40" w:after="40"/>
      </w:pPr>
      <w:r>
        <w:rPr>
          <w:b/>
          <w:i/>
          <w:color w:val="707070"/>
          <w:sz w:val="20"/>
        </w:rPr>
        <w:t xml:space="preserve">Evidence: </w:t>
      </w:r>
      <w:r>
        <w:rPr>
          <w:sz w:val="21"/>
        </w:rPr>
        <w:t>EXP-012 swept alpha from 0.5 to 2.0 and selected 1.0 as the regret-minimizing value, and separately swept HITL's conservatism kappa across 0.3, 0.5, and 0.7 -- finding the ranking of LinUCB and LinTS above the other admissible policies stable across that grid. LinTS's posterior width and the ridge penalty were held fixed at 1.0 rather than swept.</w:t>
      </w:r>
    </w:p>
    <w:p>
      <w:pPr>
        <w:spacing w:before="40" w:after="40"/>
      </w:pPr>
      <w:r>
        <w:rPr>
          <w:b/>
          <w:i/>
          <w:color w:val="707070"/>
          <w:sz w:val="20"/>
        </w:rPr>
        <w:t xml:space="preserve">Application: </w:t>
      </w:r>
      <w:r>
        <w:rPr>
          <w:sz w:val="21"/>
        </w:rPr>
        <w:t>So alpha=1.0 is a systematically-selected operating point, not a reverse-engineered one -- which matters if DAC or a Cambodian insurer ever needs to retune exploration for a different applicant population than the one Sophea represents in this dataset.</w:t>
      </w:r>
    </w:p>
    <w:p>
      <w:pPr>
        <w:pStyle w:val="Heading2"/>
      </w:pPr>
      <w:r>
        <w:rPr>
          <w:color w:val="2E74B5"/>
        </w:rPr>
        <w:t>ACTUARIAL ETHICS</w:t>
      </w:r>
    </w:p>
    <w:p>
      <w:pPr>
        <w:spacing w:before="200"/>
      </w:pPr>
      <w:r>
        <w:rPr>
          <w:b/>
          <w:sz w:val="22"/>
        </w:rPr>
        <w:t>Q11. Is it ethical to let occupation drive underwriting decisions, given Criterion 6 shows a statistically significant occupation-to-action association?</w:t>
      </w:r>
    </w:p>
    <w:p>
      <w:pPr>
        <w:spacing w:before="40" w:after="40"/>
      </w:pPr>
      <w:r>
        <w:rPr>
          <w:b/>
          <w:i/>
          <w:color w:val="707070"/>
          <w:sz w:val="20"/>
        </w:rPr>
        <w:t xml:space="preserve">Framework: </w:t>
      </w:r>
      <w:r>
        <w:rPr>
          <w:sz w:val="21"/>
        </w:rPr>
        <w:t>Actuarial fairness turns on distinguishing legitimate risk classification from proxy discrimination -- the test isn't 'is there a correlation,' it's 'is the correlation actuarially justified.'</w:t>
      </w:r>
    </w:p>
    <w:p>
      <w:pPr>
        <w:spacing w:before="40" w:after="40"/>
      </w:pPr>
      <w:r>
        <w:rPr>
          <w:b/>
          <w:i/>
          <w:color w:val="707070"/>
          <w:sz w:val="20"/>
        </w:rPr>
        <w:t xml:space="preserve">Evidence: </w:t>
      </w:r>
      <w:r>
        <w:rPr>
          <w:sz w:val="21"/>
        </w:rPr>
        <w:t>Criterion 6's permutation test failed at p&lt;0.001 -- I don't hide that. But Criterion 4, the four-fifths rule on occupation, passed at 90.12% against an 80% threshold, and occupation PSI landed at 0.123, AMBER, below the 0.25 RED line. My interpretation is that rural/high-labor occupations carry genuinely higher Hepatitis B, TB, and injury prevalence in this dataset, so it reads as real risk signal, not a discriminatory proxy -- statistically significant, practically small, no regulatory threshold breached.</w:t>
      </w:r>
    </w:p>
    <w:p>
      <w:pPr>
        <w:spacing w:before="40" w:after="40"/>
      </w:pPr>
      <w:r>
        <w:rPr>
          <w:b/>
          <w:i/>
          <w:color w:val="707070"/>
          <w:sz w:val="20"/>
        </w:rPr>
        <w:t xml:space="preserve">Application: </w:t>
      </w:r>
      <w:r>
        <w:rPr>
          <w:sz w:val="21"/>
        </w:rPr>
        <w:t>I call this 'FAILED-with-interpretation' throughout the thesis rather than sweep it under the rug, and that honesty is exactly why I name PSI as a monitor, not an enforcer, and put constrained-action fairness guardrails on the future-work list instead of claiming the system is already bulletproof.</w:t>
      </w:r>
    </w:p>
    <w:p>
      <w:pPr>
        <w:spacing w:before="200"/>
      </w:pPr>
      <w:r>
        <w:rPr>
          <w:b/>
          <w:sz w:val="22"/>
        </w:rPr>
        <w:t>Q12. Can you explain a DECLINE decision to a rejected applicant, given the model isn't a simple rule engine?</w:t>
      </w:r>
    </w:p>
    <w:p>
      <w:pPr>
        <w:spacing w:before="40" w:after="40"/>
      </w:pPr>
      <w:r>
        <w:rPr>
          <w:b/>
          <w:i/>
          <w:color w:val="707070"/>
          <w:sz w:val="20"/>
        </w:rPr>
        <w:t xml:space="preserve">Framework: </w:t>
      </w:r>
      <w:r>
        <w:rPr>
          <w:sz w:val="21"/>
        </w:rPr>
        <w:t>This is the right-to-explanation problem in algorithmic decisions -- the bar is different for linear models, where you can decompose a score into feature contributions, versus true black boxes.</w:t>
      </w:r>
    </w:p>
    <w:p>
      <w:pPr>
        <w:spacing w:before="40" w:after="40"/>
      </w:pPr>
      <w:r>
        <w:rPr>
          <w:b/>
          <w:i/>
          <w:color w:val="707070"/>
          <w:sz w:val="20"/>
        </w:rPr>
        <w:t xml:space="preserve">Evidence: </w:t>
      </w:r>
      <w:r>
        <w:rPr>
          <w:sz w:val="21"/>
        </w:rPr>
        <w:t>Honestly, the thesis doesn't report a built explanation deliverable for individual applicants -- no SHAP output or explanation UI is part of my results, and I won't pretend otherwise. What I can say is that LinUCB and LinTS are linear-in-context, so Sophea's arm-value estimate is literally a weighted sum over her 34 standardized features -- more decomposable than a neural net, even if I haven't built the applicant-facing explanation layer yet.</w:t>
      </w:r>
    </w:p>
    <w:p>
      <w:pPr>
        <w:spacing w:before="40" w:after="40"/>
      </w:pPr>
      <w:r>
        <w:rPr>
          <w:b/>
          <w:i/>
          <w:color w:val="707070"/>
          <w:sz w:val="20"/>
        </w:rPr>
        <w:t xml:space="preserve">Application: </w:t>
      </w:r>
      <w:r>
        <w:rPr>
          <w:sz w:val="21"/>
        </w:rPr>
        <w:t>That's a concrete gap I'd flag for deployment: phase 1 of my roadmap is shadow mode precisely so a human underwriter can translate that linear score into a plain-language reason before an applicant like Sophea ever receives a decision.</w:t>
      </w:r>
    </w:p>
    <w:p>
      <w:pPr>
        <w:spacing w:before="200"/>
      </w:pPr>
      <w:r>
        <w:rPr>
          <w:b/>
          <w:sz w:val="22"/>
        </w:rPr>
        <w:t>Q13. What about data privacy and informed consent for the health data used here, even though the current dataset is synthetic?</w:t>
      </w:r>
    </w:p>
    <w:p>
      <w:pPr>
        <w:spacing w:before="40" w:after="40"/>
      </w:pPr>
      <w:r>
        <w:rPr>
          <w:b/>
          <w:i/>
          <w:color w:val="707070"/>
          <w:sz w:val="20"/>
        </w:rPr>
        <w:t xml:space="preserve">Framework: </w:t>
      </w:r>
      <w:r>
        <w:rPr>
          <w:sz w:val="21"/>
        </w:rPr>
        <w:t>Privacy-by-design and informed consent are prospective obligations -- they apply to what a system would do with real data, and shouldn't be conflated with what a synthetic prototype needs today.</w:t>
      </w:r>
    </w:p>
    <w:p>
      <w:pPr>
        <w:spacing w:before="40" w:after="40"/>
      </w:pPr>
      <w:r>
        <w:rPr>
          <w:b/>
          <w:i/>
          <w:color w:val="707070"/>
          <w:sz w:val="20"/>
        </w:rPr>
        <w:t xml:space="preserve">Evidence: </w:t>
      </w:r>
      <w:r>
        <w:rPr>
          <w:sz w:val="21"/>
        </w:rPr>
        <w:t>Every one of the 2,000 records is synthetic, CDHS/STEPS/ILO/WHO-anchored -- there's no real applicant PII or claims history in this thesis, so no consent framework was triggered. I'll be direct: the thesis contains no data-governance or consent protocol, because none was needed at this stage.</w:t>
      </w:r>
    </w:p>
    <w:p>
      <w:pPr>
        <w:spacing w:before="40" w:after="40"/>
      </w:pPr>
      <w:r>
        <w:rPr>
          <w:b/>
          <w:i/>
          <w:color w:val="707070"/>
          <w:sz w:val="20"/>
        </w:rPr>
        <w:t xml:space="preserve">Application: </w:t>
      </w:r>
      <w:r>
        <w:rPr>
          <w:sz w:val="21"/>
        </w:rPr>
        <w:t>Before any real-data pilot -- with DAC or the MSIG Vietnam personal-accident concept -- informed consent and governance design has to happen first; that's explicitly out of scope here, and I'd rather say that plainly than imply it's solved.</w:t>
      </w:r>
    </w:p>
    <w:p>
      <w:pPr>
        <w:spacing w:before="200"/>
      </w:pPr>
      <w:r>
        <w:rPr>
          <w:b/>
          <w:sz w:val="22"/>
        </w:rPr>
        <w:t>Q14. Who is liable if the bandit makes a catastrophic wrong underwriting decision?</w:t>
      </w:r>
    </w:p>
    <w:p>
      <w:pPr>
        <w:spacing w:before="40" w:after="40"/>
      </w:pPr>
      <w:r>
        <w:rPr>
          <w:b/>
          <w:i/>
          <w:color w:val="707070"/>
          <w:sz w:val="20"/>
        </w:rPr>
        <w:t xml:space="preserve">Framework: </w:t>
      </w:r>
      <w:r>
        <w:rPr>
          <w:sz w:val="21"/>
        </w:rPr>
        <w:t>Liability tracks the locus of final decision authority -- a staged human-in-the-loop rollout is itself partly an answer to the liability question, not just a performance feature.</w:t>
      </w:r>
    </w:p>
    <w:p>
      <w:pPr>
        <w:spacing w:before="40" w:after="40"/>
      </w:pPr>
      <w:r>
        <w:rPr>
          <w:b/>
          <w:i/>
          <w:color w:val="707070"/>
          <w:sz w:val="20"/>
        </w:rPr>
        <w:t xml:space="preserve">Evidence: </w:t>
      </w:r>
      <w:r>
        <w:rPr>
          <w:sz w:val="21"/>
        </w:rPr>
        <w:t>My HITL wrapper keeps a human in the loop with a measured review cost of about 2.2% of reward and an override rate of 1.3% of rounds (20-seed mean). The deployment roadmap is staged: phase 1 shadow mode where the bandit only recommends, phase 2 assisted where every decision is human-confirmed, and phase 3 automation limited to low-risk, high-confidence, GREEN-PSI cases.</w:t>
      </w:r>
    </w:p>
    <w:p>
      <w:pPr>
        <w:spacing w:before="40" w:after="40"/>
      </w:pPr>
      <w:r>
        <w:rPr>
          <w:b/>
          <w:i/>
          <w:color w:val="707070"/>
          <w:sz w:val="20"/>
        </w:rPr>
        <w:t xml:space="preserve">Application: </w:t>
      </w:r>
      <w:r>
        <w:rPr>
          <w:sz w:val="21"/>
        </w:rPr>
        <w:t>In phases 1 and 2, liability sits with the human underwriter exactly as it does today -- the bandit is decision support, not an autonomous decision-maker, and that staged design is meant to keep accountability unambiguous before automation is even on the table.</w:t>
      </w:r>
    </w:p>
    <w:p>
      <w:pPr>
        <w:spacing w:before="200"/>
      </w:pPr>
      <w:r>
        <w:rPr>
          <w:b/>
          <w:sz w:val="22"/>
        </w:rPr>
        <w:t>Q15. Is PSI, which you describe as 'a monitor, not an enforcer,' actually a strong enough ethical safeguard?</w:t>
      </w:r>
    </w:p>
    <w:p>
      <w:pPr>
        <w:spacing w:before="40" w:after="40"/>
      </w:pPr>
      <w:r>
        <w:rPr>
          <w:b/>
          <w:i/>
          <w:color w:val="707070"/>
          <w:sz w:val="20"/>
        </w:rPr>
        <w:t xml:space="preserve">Framework: </w:t>
      </w:r>
      <w:r>
        <w:rPr>
          <w:sz w:val="21"/>
        </w:rPr>
        <w:t>Monitoring and enforcement are different jobs -- a monitor detects and alerts after the fact, an enforcer constrains the action space in real time -- and conflating them overstates the protection PSI actually provides.</w:t>
      </w:r>
    </w:p>
    <w:p>
      <w:pPr>
        <w:spacing w:before="40" w:after="40"/>
      </w:pPr>
      <w:r>
        <w:rPr>
          <w:b/>
          <w:i/>
          <w:color w:val="707070"/>
          <w:sz w:val="20"/>
        </w:rPr>
        <w:t xml:space="preserve">Evidence: </w:t>
      </w:r>
      <w:r>
        <w:rPr>
          <w:sz w:val="21"/>
        </w:rPr>
        <w:t>PSI passed GREEN on region at 0.082 and AMBER on occupation at 0.123, both under the 0.25 RED ceiling, and the four-fifths rule passed on both dimensions. But Criterion 6's permutation test still failed -- PSI measured and flagged the occupation association, it didn't prevent it from existing.</w:t>
      </w:r>
    </w:p>
    <w:p>
      <w:pPr>
        <w:spacing w:before="40" w:after="40"/>
      </w:pPr>
      <w:r>
        <w:rPr>
          <w:b/>
          <w:i/>
          <w:color w:val="707070"/>
          <w:sz w:val="20"/>
        </w:rPr>
        <w:t xml:space="preserve">Application: </w:t>
      </w:r>
      <w:r>
        <w:rPr>
          <w:sz w:val="21"/>
        </w:rPr>
        <w:t>Honestly, no, I don't think PSI alone is sufficient for full automation -- that's exactly why constrained-action fairness guardrails are named as future work, and why my roadmap holds full automation until a stronger enforcement layer exists, not just a monitoring one.</w:t>
      </w:r>
    </w:p>
    <w:p>
      <w:pPr>
        <w:spacing w:before="200"/>
      </w:pPr>
      <w:r>
        <w:rPr>
          <w:b/>
          <w:sz w:val="22"/>
        </w:rPr>
        <w:t>Q16. Isn't it an ethical problem that the single best-performing policy by profit, AlwaysRATED, is the one you call inadmissible?</w:t>
      </w:r>
    </w:p>
    <w:p>
      <w:pPr>
        <w:spacing w:before="40" w:after="40"/>
      </w:pPr>
      <w:r>
        <w:rPr>
          <w:b/>
          <w:i/>
          <w:color w:val="707070"/>
          <w:sz w:val="20"/>
        </w:rPr>
        <w:t xml:space="preserve">Framework: </w:t>
      </w:r>
      <w:r>
        <w:rPr>
          <w:sz w:val="21"/>
        </w:rPr>
        <w:t>This is the classic actuarial tension between profit-maximization and social/regulatory admissibility -- the highest-profit policy on paper isn't automatically the right policy to deploy.</w:t>
      </w:r>
    </w:p>
    <w:p>
      <w:pPr>
        <w:spacing w:before="40" w:after="40"/>
      </w:pPr>
      <w:r>
        <w:rPr>
          <w:b/>
          <w:i/>
          <w:color w:val="707070"/>
          <w:sz w:val="20"/>
        </w:rPr>
        <w:t xml:space="preserve">Evidence: </w:t>
      </w:r>
      <w:r>
        <w:rPr>
          <w:sz w:val="21"/>
        </w:rPr>
        <w:t>AlwaysRATED reaches $122,287 over 20 seeds versus LinUCB's $90,540 -- about 30% more. But it means a blanket 25% premium loading on every applicant regardless of actual risk, which drives healthy applicants out through adverse selection and would face real regulatory pushback in Cambodia. My pre-registered hypothesis that the bandit beats the best simple baseline was literally falsified once this constant is included, p&lt;0.0001 -- and I report that as the scientifically informative outcome, not something to bury.</w:t>
      </w:r>
    </w:p>
    <w:p>
      <w:pPr>
        <w:spacing w:before="40" w:after="40"/>
      </w:pPr>
      <w:r>
        <w:rPr>
          <w:b/>
          <w:i/>
          <w:color w:val="707070"/>
          <w:sz w:val="20"/>
        </w:rPr>
        <w:t xml:space="preserve">Application: </w:t>
      </w:r>
      <w:r>
        <w:rPr>
          <w:sz w:val="21"/>
        </w:rPr>
        <w:t>That falsification is exactly why I built the 'admissible policy' framing: among policies any Cambodian insurer could actually deploy, LinUCB and LinTS rank first and second, and that narrower, honest claim is the one I actually stand behind.</w:t>
      </w:r>
    </w:p>
    <w:p>
      <w:pPr>
        <w:spacing w:before="200"/>
      </w:pPr>
      <w:r>
        <w:rPr>
          <w:b/>
          <w:sz w:val="22"/>
        </w:rPr>
        <w:t>Q17. The HITL alignment score is only 60% -- what should an applicant infer from that level of human/machine disagreement?</w:t>
      </w:r>
    </w:p>
    <w:p>
      <w:pPr>
        <w:spacing w:before="40" w:after="40"/>
      </w:pPr>
      <w:r>
        <w:rPr>
          <w:b/>
          <w:i/>
          <w:color w:val="707070"/>
          <w:sz w:val="20"/>
        </w:rPr>
        <w:t xml:space="preserve">Framework: </w:t>
      </w:r>
      <w:r>
        <w:rPr>
          <w:sz w:val="21"/>
        </w:rPr>
        <w:t>Alignment with a human heuristic isn't the same thing as correctness -- divergence can mean the machine is wrong, or it can mean the fixed human rule was leaving value on the table; you need the outcome metric to tell those apart, not just the agreement number.</w:t>
      </w:r>
    </w:p>
    <w:p>
      <w:pPr>
        <w:spacing w:before="40" w:after="40"/>
      </w:pPr>
      <w:r>
        <w:rPr>
          <w:b/>
          <w:i/>
          <w:color w:val="707070"/>
          <w:sz w:val="20"/>
        </w:rPr>
        <w:t xml:space="preserve">Evidence: </w:t>
      </w:r>
      <w:r>
        <w:rPr>
          <w:sz w:val="21"/>
        </w:rPr>
        <w:t>Final alignment is 60.0% at c=0.7, down from 75.0% early-window to 45.95% late-window -- still clearing the pre-registered 30% threshold, so it passed. That same converged policy is the one producing the +14.8% reward gain over the vanilla bandit, p&lt;0.001, d=2.65 -- one of all four pre-registered HITL criteria that passed.</w:t>
      </w:r>
    </w:p>
    <w:p>
      <w:pPr>
        <w:spacing w:before="40" w:after="40"/>
      </w:pPr>
      <w:r>
        <w:rPr>
          <w:b/>
          <w:i/>
          <w:color w:val="707070"/>
          <w:sz w:val="20"/>
        </w:rPr>
        <w:t xml:space="preserve">Application: </w:t>
      </w:r>
      <w:r>
        <w:rPr>
          <w:sz w:val="21"/>
        </w:rPr>
        <w:t>For an applicant like Sophea, I'd frame that 60% as the system learning where the human's conservative heuristic under-valued certain borderline REFER cases -- not the system going rogue -- and a human reviewer is still catching roughly 1.3% of rounds via override.</w:t>
      </w:r>
    </w:p>
    <w:p>
      <w:pPr>
        <w:spacing w:before="200"/>
      </w:pPr>
      <w:r>
        <w:rPr>
          <w:b/>
          <w:sz w:val="22"/>
        </w:rPr>
        <w:t>Q18. Does a self-learning underwriting system meet actuarial standards of practice for rate-making transparency?</w:t>
      </w:r>
    </w:p>
    <w:p>
      <w:pPr>
        <w:spacing w:before="40" w:after="40"/>
      </w:pPr>
      <w:r>
        <w:rPr>
          <w:b/>
          <w:i/>
          <w:color w:val="707070"/>
          <w:sz w:val="20"/>
        </w:rPr>
        <w:t xml:space="preserve">Framework: </w:t>
      </w:r>
      <w:r>
        <w:rPr>
          <w:sz w:val="21"/>
        </w:rPr>
        <w:t>Standards of practice want rate bases that are documented, testable, and reproducible -- the real question is whether continuous online learning can meet that bar the way a frozen, auditable rate table does.</w:t>
      </w:r>
    </w:p>
    <w:p>
      <w:pPr>
        <w:spacing w:before="40" w:after="40"/>
      </w:pPr>
      <w:r>
        <w:rPr>
          <w:b/>
          <w:i/>
          <w:color w:val="707070"/>
          <w:sz w:val="20"/>
        </w:rPr>
        <w:t xml:space="preserve">Evidence: </w:t>
      </w:r>
      <w:r>
        <w:rPr>
          <w:sz w:val="21"/>
        </w:rPr>
        <w:t>The bandit updates online, one applicant at a time, with no held-out test set -- generalization is instead validated across 20 pre-registered independent seeds, with every experiment documented via paired Wilcoxon tests, Bonferroni correction, and Cohen's d. The Static XGB comparator, by contrast, is fit offline and frozen, matching today's standard, auditable practice.</w:t>
      </w:r>
    </w:p>
    <w:p>
      <w:pPr>
        <w:spacing w:before="40" w:after="40"/>
      </w:pPr>
      <w:r>
        <w:rPr>
          <w:b/>
          <w:i/>
          <w:color w:val="707070"/>
          <w:sz w:val="20"/>
        </w:rPr>
        <w:t xml:space="preserve">Application: </w:t>
      </w:r>
      <w:r>
        <w:rPr>
          <w:sz w:val="21"/>
        </w:rPr>
        <w:t>I won't claim that's fully solved -- a continuously-updating model is a harder transparency case than a frozen table -- which is why the roadmap keeps a human in the loop through phase 2 before any low-risk, GREEN-PSI cases move to phase 3 automation.</w:t>
      </w:r>
    </w:p>
    <w:p>
      <w:pPr>
        <w:spacing w:before="200"/>
      </w:pPr>
      <w:r>
        <w:rPr>
          <w:b/>
          <w:sz w:val="22"/>
        </w:rPr>
        <w:t>Q19. Does this system threaten to displace human underwriters' jobs?</w:t>
      </w:r>
    </w:p>
    <w:p>
      <w:pPr>
        <w:spacing w:before="40" w:after="40"/>
      </w:pPr>
      <w:r>
        <w:rPr>
          <w:b/>
          <w:i/>
          <w:color w:val="707070"/>
          <w:sz w:val="20"/>
        </w:rPr>
        <w:t xml:space="preserve">Framework: </w:t>
      </w:r>
      <w:r>
        <w:rPr>
          <w:sz w:val="21"/>
        </w:rPr>
        <w:t>Displacement risk depends on where in the pipeline the tool sits -- augmentation, where a human still decides, is a very different labor outcome than substitution, where the tool decides alone.</w:t>
      </w:r>
    </w:p>
    <w:p>
      <w:pPr>
        <w:spacing w:before="40" w:after="40"/>
      </w:pPr>
      <w:r>
        <w:rPr>
          <w:b/>
          <w:i/>
          <w:color w:val="707070"/>
          <w:sz w:val="20"/>
        </w:rPr>
        <w:t xml:space="preserve">Evidence: </w:t>
      </w:r>
      <w:r>
        <w:rPr>
          <w:sz w:val="21"/>
        </w:rPr>
        <w:t>The roadmap is explicitly staged: phase 1 shadow mode where the bandit only recommends, phase 2 assisted where a human confirms every decision, and only phase 3 automates low-risk, high-confidence, GREEN-PSI cases. Even in the tested HITL configuration, a human reviews about 1.3% of rounds at roughly 2.2% review cost of reward.</w:t>
      </w:r>
    </w:p>
    <w:p>
      <w:pPr>
        <w:spacing w:before="40" w:after="40"/>
      </w:pPr>
      <w:r>
        <w:rPr>
          <w:b/>
          <w:i/>
          <w:color w:val="707070"/>
          <w:sz w:val="20"/>
        </w:rPr>
        <w:t xml:space="preserve">Application: </w:t>
      </w:r>
      <w:r>
        <w:rPr>
          <w:sz w:val="21"/>
        </w:rPr>
        <w:t>Given that agent networks in Cambodia currently consume 15-30% of premium revenue on manual underwriting, with penetration under 2% and roughly 84% of the population outside NSSF's mandate, I'd frame this as redeploying scarce underwriting expertise toward that uncovered population, not eliminating the role, at least in the phases this thesis actually validates.</w:t>
      </w:r>
    </w:p>
    <w:p>
      <w:pPr>
        <w:spacing w:before="200"/>
      </w:pPr>
      <w:r>
        <w:rPr>
          <w:b/>
          <w:sz w:val="22"/>
        </w:rPr>
        <w:t>Q20. Could optimizing for profit systematically exclude the poorest, highest-risk applicants, undermining your SDG framing?</w:t>
      </w:r>
    </w:p>
    <w:p>
      <w:pPr>
        <w:spacing w:before="40" w:after="40"/>
      </w:pPr>
      <w:r>
        <w:rPr>
          <w:b/>
          <w:i/>
          <w:color w:val="707070"/>
          <w:sz w:val="20"/>
        </w:rPr>
        <w:t xml:space="preserve">Framework: </w:t>
      </w:r>
      <w:r>
        <w:rPr>
          <w:sz w:val="21"/>
        </w:rPr>
        <w:t>Profit-maximizing risk classification and inclusion goals can genuinely conflict -- that tension needs to be checked empirically through fairness metrics, not just asserted away by citing SDG language.</w:t>
      </w:r>
    </w:p>
    <w:p>
      <w:pPr>
        <w:spacing w:before="40" w:after="40"/>
      </w:pPr>
      <w:r>
        <w:rPr>
          <w:b/>
          <w:i/>
          <w:color w:val="707070"/>
          <w:sz w:val="20"/>
        </w:rPr>
        <w:t xml:space="preserve">Evidence: </w:t>
      </w:r>
      <w:r>
        <w:rPr>
          <w:sz w:val="21"/>
        </w:rPr>
        <w:t>The reward function applies an adverse-selection factor of 1.35 when the risk multiplier exceeds 2.0, so it isn't simply excluding every high-risk applicant outright. Region PSI passed GREEN at 0.082, occupation PSI passed AMBER at 0.123, and the four-fifths rule passed on both region (85.72%) and occupation (90.12%) -- so I didn't observe disparate exclusion along those two dimensions in this synthetic population. I don't have an income or poverty-decile breakdown in my results, so I won't claim more than that.</w:t>
      </w:r>
    </w:p>
    <w:p>
      <w:pPr>
        <w:spacing w:before="40" w:after="40"/>
      </w:pPr>
      <w:r>
        <w:rPr>
          <w:b/>
          <w:i/>
          <w:color w:val="707070"/>
          <w:sz w:val="20"/>
        </w:rPr>
        <w:t xml:space="preserve">Application: </w:t>
      </w:r>
      <w:r>
        <w:rPr>
          <w:sz w:val="21"/>
        </w:rPr>
        <w:t>The SDG 1/3/10 framing is a stated design intent, with the PSI guardrail as the concrete mechanism aimed at SDG 10, but I'd be upfront that this thesis validates fairness across region and occupation, not an explicit poverty-decile audit -- that's a natural next check before any real deployment.</w:t>
      </w:r>
    </w:p>
    <w:p>
      <w:pPr>
        <w:pStyle w:val="Heading2"/>
      </w:pPr>
      <w:r>
        <w:rPr>
          <w:color w:val="2E74B5"/>
        </w:rPr>
        <w:t>REGIONAL IMPLEMENTATION</w:t>
      </w:r>
    </w:p>
    <w:p>
      <w:pPr>
        <w:spacing w:before="200"/>
      </w:pPr>
      <w:r>
        <w:rPr>
          <w:b/>
          <w:sz w:val="22"/>
        </w:rPr>
        <w:t>Q21. Why did you build this on synthetic data instead of partnering with a real Cambodian insurer for real claims data from the start?</w:t>
      </w:r>
    </w:p>
    <w:p>
      <w:pPr>
        <w:spacing w:before="40" w:after="40"/>
      </w:pPr>
      <w:r>
        <w:rPr>
          <w:b/>
          <w:i/>
          <w:color w:val="707070"/>
          <w:sz w:val="20"/>
        </w:rPr>
        <w:t xml:space="preserve">Framework: </w:t>
      </w:r>
      <w:r>
        <w:rPr>
          <w:sz w:val="21"/>
        </w:rPr>
        <w:t>This is a research-sequencing question -- you validate a new decision-making algorithm on controlled, ground-truth data before you ever let it touch live underwriting decisions and real people's premiums.</w:t>
      </w:r>
    </w:p>
    <w:p>
      <w:pPr>
        <w:spacing w:before="40" w:after="40"/>
      </w:pPr>
      <w:r>
        <w:rPr>
          <w:b/>
          <w:i/>
          <w:color w:val="707070"/>
          <w:sz w:val="20"/>
        </w:rPr>
        <w:t xml:space="preserve">Evidence: </w:t>
      </w:r>
      <w:r>
        <w:rPr>
          <w:sz w:val="21"/>
        </w:rPr>
        <w:t>The dataset is 2,000 synthetic applicants anchored on CDHS 2021-22, STEPS, ILO, and WHO sources -- real Cambodian population statistics, just not real claims records. I name this directly as a limitation: it's synthetic, it can't capture rare comorbidities or fraud patterns, and it isn't a substitute for real claims history.</w:t>
      </w:r>
    </w:p>
    <w:p>
      <w:pPr>
        <w:spacing w:before="40" w:after="40"/>
      </w:pPr>
      <w:r>
        <w:rPr>
          <w:b/>
          <w:i/>
          <w:color w:val="707070"/>
          <w:sz w:val="20"/>
        </w:rPr>
        <w:t xml:space="preserve">Application: </w:t>
      </w:r>
      <w:r>
        <w:rPr>
          <w:sz w:val="21"/>
        </w:rPr>
        <w:t>This thesis is the proof-of-concept gate, done during a DAC internship, before any real-data partnership -- the deployment roadmap's phase 1 'shadow mode' is exactly where real insurer data would enter the loop next, with the bandit recommending but not deciding.</w:t>
      </w:r>
    </w:p>
    <w:p>
      <w:pPr>
        <w:spacing w:before="200"/>
      </w:pPr>
      <w:r>
        <w:rPr>
          <w:b/>
          <w:sz w:val="22"/>
        </w:rPr>
        <w:t>Q22. How does this actually help the 84% of Cambodians outside NSSF if voluntary private insurance still requires the ability to pay a premium?</w:t>
      </w:r>
    </w:p>
    <w:p>
      <w:pPr>
        <w:spacing w:before="40" w:after="40"/>
      </w:pPr>
      <w:r>
        <w:rPr>
          <w:b/>
          <w:i/>
          <w:color w:val="707070"/>
          <w:sz w:val="20"/>
        </w:rPr>
        <w:t xml:space="preserve">Framework: </w:t>
      </w:r>
      <w:r>
        <w:rPr>
          <w:sz w:val="21"/>
        </w:rPr>
        <w:t>I'd separate two different problems here -- affordability of the premium itself, versus efficiency and fairness of who gets approved and at what loading. This thesis only targets the second one.</w:t>
      </w:r>
    </w:p>
    <w:p>
      <w:pPr>
        <w:spacing w:before="40" w:after="40"/>
      </w:pPr>
      <w:r>
        <w:rPr>
          <w:b/>
          <w:i/>
          <w:color w:val="707070"/>
          <w:sz w:val="20"/>
        </w:rPr>
        <w:t xml:space="preserve">Evidence: </w:t>
      </w:r>
      <w:r>
        <w:rPr>
          <w:sz w:val="21"/>
        </w:rPr>
        <w:t>Cambodia's private voluntary health insurance penetration is under 2%, and manual agent-network underwriting currently consumes an estimated 15-30% of premium revenue with no demographic-parity monitoring at all. The bandit's +25.2% cumulative reward gain over the static incumbent is an underwriting-efficiency result, not a premium-pricing or subsidy result -- the thesis doesn't measure premium affordability directly.</w:t>
      </w:r>
    </w:p>
    <w:p>
      <w:pPr>
        <w:spacing w:before="40" w:after="40"/>
      </w:pPr>
      <w:r>
        <w:rPr>
          <w:b/>
          <w:i/>
          <w:color w:val="707070"/>
          <w:sz w:val="20"/>
        </w:rPr>
        <w:t xml:space="preserve">Application: </w:t>
      </w:r>
      <w:r>
        <w:rPr>
          <w:sz w:val="21"/>
        </w:rPr>
        <w:t>The honest claim is narrower than 'solves access' -- it's that a more efficient, monitored underwriting engine is one lever that could eventually lower distribution overhead and free capacity, which is a precondition for expanding coverage, not the whole solution to the 84% affordability gap.</w:t>
      </w:r>
    </w:p>
    <w:p>
      <w:pPr>
        <w:spacing w:before="200"/>
      </w:pPr>
      <w:r>
        <w:rPr>
          <w:b/>
          <w:sz w:val="22"/>
        </w:rPr>
        <w:t>Q23. Is this system actually deployment-feasible given Cambodia's real-world connectivity and mobile infrastructure, and the existing agent network?</w:t>
      </w:r>
    </w:p>
    <w:p>
      <w:pPr>
        <w:spacing w:before="40" w:after="40"/>
      </w:pPr>
      <w:r>
        <w:rPr>
          <w:b/>
          <w:i/>
          <w:color w:val="707070"/>
          <w:sz w:val="20"/>
        </w:rPr>
        <w:t xml:space="preserve">Framework: </w:t>
      </w:r>
      <w:r>
        <w:rPr>
          <w:sz w:val="21"/>
        </w:rPr>
        <w:t>I lean on a staged-autonomy deployment principle here -- you don't hand a new algorithm the keys on day one, you let it earn trust incrementally while the existing infrastructure keeps working.</w:t>
      </w:r>
    </w:p>
    <w:p>
      <w:pPr>
        <w:spacing w:before="40" w:after="40"/>
      </w:pPr>
      <w:r>
        <w:rPr>
          <w:b/>
          <w:i/>
          <w:color w:val="707070"/>
          <w:sz w:val="20"/>
        </w:rPr>
        <w:t xml:space="preserve">Evidence: </w:t>
      </w:r>
      <w:r>
        <w:rPr>
          <w:sz w:val="21"/>
        </w:rPr>
        <w:t>The thesis names an explicit three-phase roadmap: phase 1 shadow mode where the bandit only recommends, phase 2 assisted mode where every decision is human-confirmed, and phase 3 automation limited to low-risk, high-confidence, GREEN-PSI cases only. I'll be honest -- the thesis doesn't include field measurements of connectivity, latency, or agent-network throughput; that's outside its scope.</w:t>
      </w:r>
    </w:p>
    <w:p>
      <w:pPr>
        <w:spacing w:before="40" w:after="40"/>
      </w:pPr>
      <w:r>
        <w:rPr>
          <w:b/>
          <w:i/>
          <w:color w:val="707070"/>
          <w:sz w:val="20"/>
        </w:rPr>
        <w:t xml:space="preserve">Application: </w:t>
      </w:r>
      <w:r>
        <w:rPr>
          <w:sz w:val="21"/>
        </w:rPr>
        <w:t>This staged rollout is designed precisely so the existing agent network isn't replaced but augmented -- the HITL wrapper keeps a human in the loop at exactly the volume (about 1.3% of rounds) where infrastructure or judgment gaps would matter most.</w:t>
      </w:r>
    </w:p>
    <w:p>
      <w:pPr>
        <w:spacing w:before="200"/>
      </w:pPr>
      <w:r>
        <w:rPr>
          <w:b/>
          <w:sz w:val="22"/>
        </w:rPr>
        <w:t>Q24. Has this fairness and underwriting framework been validated against Cambodia's actual insurance regulatory framework?</w:t>
      </w:r>
    </w:p>
    <w:p>
      <w:pPr>
        <w:spacing w:before="40" w:after="40"/>
      </w:pPr>
      <w:r>
        <w:rPr>
          <w:b/>
          <w:i/>
          <w:color w:val="707070"/>
          <w:sz w:val="20"/>
        </w:rPr>
        <w:t xml:space="preserve">Framework: </w:t>
      </w:r>
      <w:r>
        <w:rPr>
          <w:sz w:val="21"/>
        </w:rPr>
        <w:t>I used internationally recognized fairness benchmarks -- the EEOC four-fifths rule and population stability index thresholds -- as a proxy standard, since I'm not aware of an equivalent codified underwriting-fairness regulation in Cambodia today.</w:t>
      </w:r>
    </w:p>
    <w:p>
      <w:pPr>
        <w:spacing w:before="40" w:after="40"/>
      </w:pPr>
      <w:r>
        <w:rPr>
          <w:b/>
          <w:i/>
          <w:color w:val="707070"/>
          <w:sz w:val="20"/>
        </w:rPr>
        <w:t xml:space="preserve">Evidence: </w:t>
      </w:r>
      <w:r>
        <w:rPr>
          <w:sz w:val="21"/>
        </w:rPr>
        <w:t>Region PSI came in at 0.082, GREEN; occupation PSI at 0.123, AMBER but still passing; the four-fifths rule passed at 85.72% for region and 90.12% for occupation. All of that is new -- the thesis notes current manual underwriting in Cambodia has no demographic-parity monitoring in practice at all.</w:t>
      </w:r>
    </w:p>
    <w:p>
      <w:pPr>
        <w:spacing w:before="40" w:after="40"/>
      </w:pPr>
      <w:r>
        <w:rPr>
          <w:b/>
          <w:i/>
          <w:color w:val="707070"/>
          <w:sz w:val="20"/>
        </w:rPr>
        <w:t xml:space="preserve">Application: </w:t>
      </w:r>
      <w:r>
        <w:rPr>
          <w:sz w:val="21"/>
        </w:rPr>
        <w:t>I'm not claiming regulatory certification -- I'm claiming this builds the monitoring infrastructure a regulator could plausibly require later, which is exactly the SDG 10 angle: PSI as an ongoing guardrail, not a one-time compliance stamp.</w:t>
      </w:r>
    </w:p>
    <w:p>
      <w:pPr>
        <w:spacing w:before="200"/>
      </w:pPr>
      <w:r>
        <w:rPr>
          <w:b/>
          <w:sz w:val="22"/>
        </w:rPr>
        <w:t>Q25. Why would a Cambodian insurer trust a bandit algorithm over its existing experienced manual underwriters?</w:t>
      </w:r>
    </w:p>
    <w:p>
      <w:pPr>
        <w:spacing w:before="40" w:after="40"/>
      </w:pPr>
      <w:r>
        <w:rPr>
          <w:b/>
          <w:i/>
          <w:color w:val="707070"/>
          <w:sz w:val="20"/>
        </w:rPr>
        <w:t xml:space="preserve">Framework: </w:t>
      </w:r>
      <w:r>
        <w:rPr>
          <w:sz w:val="21"/>
        </w:rPr>
        <w:t>Trust isn't built by replacing the underwriter, it's built by keeping them in control while proving the algorithm's contribution incrementally -- that's the whole design logic of the human-in-the-loop wrapper.</w:t>
      </w:r>
    </w:p>
    <w:p>
      <w:pPr>
        <w:spacing w:before="40" w:after="40"/>
      </w:pPr>
      <w:r>
        <w:rPr>
          <w:b/>
          <w:i/>
          <w:color w:val="707070"/>
          <w:sz w:val="20"/>
        </w:rPr>
        <w:t xml:space="preserve">Evidence: </w:t>
      </w:r>
      <w:r>
        <w:rPr>
          <w:sz w:val="21"/>
        </w:rPr>
        <w:t>With HITL at conservatism c=0.7, reward reaches $103,951 versus $90,540 for the vanilla bandit -- a +14.8% gain, p&lt;0.001, d=2.65 -- at a review cost of only about 2.2% of reward and human overrides on just 1.3% of rounds. And the ablation shows the core advantage over the static incumbent comes from continuous online learning, not some opaque exploration trick -- greedy-only LinUCB still beats Static XGB by +$18,969, p&lt;0.001, d=3.01.</w:t>
      </w:r>
    </w:p>
    <w:p>
      <w:pPr>
        <w:spacing w:before="40" w:after="40"/>
      </w:pPr>
      <w:r>
        <w:rPr>
          <w:b/>
          <w:i/>
          <w:color w:val="707070"/>
          <w:sz w:val="20"/>
        </w:rPr>
        <w:t xml:space="preserve">Application: </w:t>
      </w:r>
      <w:r>
        <w:rPr>
          <w:sz w:val="21"/>
        </w:rPr>
        <w:t>For a case like Sophea -- a borderline applicant a static rule declines outright -- the human underwriter still makes the final call under HITL, but the system learns from that call and gets measurably better over time, which is a much easier sell than 'trust the black box.'</w:t>
      </w:r>
    </w:p>
    <w:p>
      <w:pPr>
        <w:spacing w:before="200"/>
      </w:pPr>
      <w:r>
        <w:rPr>
          <w:b/>
          <w:sz w:val="22"/>
        </w:rPr>
        <w:t>Q26. How current and representative are the CDHS, STEPS, ILO, and WHO sources, given how fast Cambodia's demographics and risk profile are shifting?</w:t>
      </w:r>
    </w:p>
    <w:p>
      <w:pPr>
        <w:spacing w:before="40" w:after="40"/>
      </w:pPr>
      <w:r>
        <w:rPr>
          <w:b/>
          <w:i/>
          <w:color w:val="707070"/>
          <w:sz w:val="20"/>
        </w:rPr>
        <w:t xml:space="preserve">Framework: </w:t>
      </w:r>
      <w:r>
        <w:rPr>
          <w:sz w:val="21"/>
        </w:rPr>
        <w:t>This is a construct-validity question about the data-generating anchors -- a synthetic dataset is only as good as the surveys it's built from, and surveys age.</w:t>
      </w:r>
    </w:p>
    <w:p>
      <w:pPr>
        <w:spacing w:before="40" w:after="40"/>
      </w:pPr>
      <w:r>
        <w:rPr>
          <w:b/>
          <w:i/>
          <w:color w:val="707070"/>
          <w:sz w:val="20"/>
        </w:rPr>
        <w:t xml:space="preserve">Evidence: </w:t>
      </w:r>
      <w:r>
        <w:rPr>
          <w:sz w:val="21"/>
        </w:rPr>
        <w:t>The dataset is anchored on CDHS 2021-22 -- the most recent Demographic and Health Survey round available -- plus STEPS, ILO, and WHO data. I have to be honest: the thesis doesn't quantify how much demographic drift has occurred since those surveys were fielded; that's not something it measures.</w:t>
      </w:r>
    </w:p>
    <w:p>
      <w:pPr>
        <w:spacing w:before="40" w:after="40"/>
      </w:pPr>
      <w:r>
        <w:rPr>
          <w:b/>
          <w:i/>
          <w:color w:val="707070"/>
          <w:sz w:val="20"/>
        </w:rPr>
        <w:t xml:space="preserve">Application: </w:t>
      </w:r>
      <w:r>
        <w:rPr>
          <w:sz w:val="21"/>
        </w:rPr>
        <w:t>This is exactly why the thesis names synthetic data as a limitation rather than a finished product -- the path forward the thesis actually names is validating against real Cambodian claims data through an industry partnership, not periodically refreshing the survey anchors, which the thesis does not propose.</w:t>
      </w:r>
    </w:p>
    <w:p>
      <w:pPr>
        <w:spacing w:before="200"/>
      </w:pPr>
      <w:r>
        <w:rPr>
          <w:b/>
          <w:sz w:val="22"/>
        </w:rPr>
        <w:t>Q27. Does the same bandit architecture really transfer to the MSIG Vietnam personal-accident proof-of-concept, or is that connection being oversold?</w:t>
      </w:r>
    </w:p>
    <w:p>
      <w:pPr>
        <w:spacing w:before="40" w:after="40"/>
      </w:pPr>
      <w:r>
        <w:rPr>
          <w:b/>
          <w:i/>
          <w:color w:val="707070"/>
          <w:sz w:val="20"/>
        </w:rPr>
        <w:t xml:space="preserve">Framework: </w:t>
      </w:r>
      <w:r>
        <w:rPr>
          <w:sz w:val="21"/>
        </w:rPr>
        <w:t>I'd draw a hard line between mechanism generality and outcome generality -- the contextual-bandit machinery is domain-agnostic, but reward design, context features, and risk calibration are product- and market-specific and have to be redone.</w:t>
      </w:r>
    </w:p>
    <w:p>
      <w:pPr>
        <w:spacing w:before="40" w:after="40"/>
      </w:pPr>
      <w:r>
        <w:rPr>
          <w:b/>
          <w:i/>
          <w:color w:val="707070"/>
          <w:sz w:val="20"/>
        </w:rPr>
        <w:t xml:space="preserve">Evidence: </w:t>
      </w:r>
      <w:r>
        <w:rPr>
          <w:sz w:val="21"/>
        </w:rPr>
        <w:t>I need to be direct here: the MSIG Vietnam PA proof-of-concept is design-locked but not yet built. I have no performance numbers for it, and I'm not going to invent any -- everything in this thesis's headline ladder is specific to the Cambodia health-underwriting dataset.</w:t>
      </w:r>
    </w:p>
    <w:p>
      <w:pPr>
        <w:spacing w:before="40" w:after="40"/>
      </w:pPr>
      <w:r>
        <w:rPr>
          <w:b/>
          <w:i/>
          <w:color w:val="707070"/>
          <w:sz w:val="20"/>
        </w:rPr>
        <w:t xml:space="preserve">Application: </w:t>
      </w:r>
      <w:r>
        <w:rPr>
          <w:sz w:val="21"/>
        </w:rPr>
        <w:t>What transfers is the pattern -- LinUCB/LinTS plus PSI monitoring plus HITL wrapper -- as an architecture worth reusing; whether it delivers a comparable +25.2%-style result in personal accident insurance is an open question the MSIG POC still has to answer under its own pre-registered protocol.</w:t>
      </w:r>
    </w:p>
    <w:p>
      <w:pPr>
        <w:spacing w:before="200"/>
      </w:pPr>
      <w:r>
        <w:rPr>
          <w:b/>
          <w:sz w:val="22"/>
        </w:rPr>
        <w:t>Q28. Is a 1,000-2,000 applicant cold-start warm-up period actually realistic for a mid-size Cambodian insurer's real application volume and timeline?</w:t>
      </w:r>
    </w:p>
    <w:p>
      <w:pPr>
        <w:spacing w:before="40" w:after="40"/>
      </w:pPr>
      <w:r>
        <w:rPr>
          <w:b/>
          <w:i/>
          <w:color w:val="707070"/>
          <w:sz w:val="20"/>
        </w:rPr>
        <w:t xml:space="preserve">Framework: </w:t>
      </w:r>
      <w:r>
        <w:rPr>
          <w:sz w:val="21"/>
        </w:rPr>
        <w:t>This is why the thesis doesn't recommend a cold-turkey bandit launch -- it recommends a hybrid warm-start design specifically to absorb the period where the bandit is weakest.</w:t>
      </w:r>
    </w:p>
    <w:p>
      <w:pPr>
        <w:spacing w:before="40" w:after="40"/>
      </w:pPr>
      <w:r>
        <w:rPr>
          <w:b/>
          <w:i/>
          <w:color w:val="707070"/>
          <w:sz w:val="20"/>
        </w:rPr>
        <w:t xml:space="preserve">Evidence: </w:t>
      </w:r>
      <w:r>
        <w:rPr>
          <w:sz w:val="21"/>
        </w:rPr>
        <w:t>At T=200 applicants a freshly-trained XGBoost baseline (FreshXGB) leads bandits by 2.1x; at T=500 it's still ahead 1.26x; by T=1,000 they're tied; by T=2,000 the bandits cross over, with LinTS reaching significance (p=0.0039, d=1.48) while LinUCB draws level without reaching significance (p=0.084, d=0.55). I don't have a Cambodia-specific applicant-per-day volume figure in the thesis, so I can't convert that 2,000 into calendar time honestly.</w:t>
      </w:r>
    </w:p>
    <w:p>
      <w:pPr>
        <w:spacing w:before="40" w:after="40"/>
      </w:pPr>
      <w:r>
        <w:rPr>
          <w:b/>
          <w:i/>
          <w:color w:val="707070"/>
          <w:sz w:val="20"/>
        </w:rPr>
        <w:t xml:space="preserve">Application: </w:t>
      </w:r>
      <w:r>
        <w:rPr>
          <w:sz w:val="21"/>
        </w:rPr>
        <w:t>The operational recommendation is a hybrid rollout -- run a freshly-trained XGBoost model (FreshXGB) until crossover, then hand off to the bandit -- which maps directly onto the phase 1/phase 2 shadow-and-assisted deployment roadmap, so the insurer's real volume determines the calendar, not the algorithm.</w:t>
      </w:r>
    </w:p>
    <w:p>
      <w:pPr>
        <w:spacing w:before="200"/>
      </w:pPr>
      <w:r>
        <w:rPr>
          <w:b/>
          <w:sz w:val="22"/>
        </w:rPr>
        <w:t>Q29. Was this applicant-facing decision framework tested with any real Cambodian users, underwriters, or with language and cultural considerations?</w:t>
      </w:r>
    </w:p>
    <w:p>
      <w:pPr>
        <w:spacing w:before="40" w:after="40"/>
      </w:pPr>
      <w:r>
        <w:rPr>
          <w:b/>
          <w:i/>
          <w:color w:val="707070"/>
          <w:sz w:val="20"/>
        </w:rPr>
        <w:t xml:space="preserve">Framework: </w:t>
      </w:r>
      <w:r>
        <w:rPr>
          <w:sz w:val="21"/>
        </w:rPr>
        <w:t>I'll separate algorithmic validation from human-centered design validation -- this thesis did the former rigorously and did not attempt the latter.</w:t>
      </w:r>
    </w:p>
    <w:p>
      <w:pPr>
        <w:spacing w:before="40" w:after="40"/>
      </w:pPr>
      <w:r>
        <w:rPr>
          <w:b/>
          <w:i/>
          <w:color w:val="707070"/>
          <w:sz w:val="20"/>
        </w:rPr>
        <w:t xml:space="preserve">Evidence: </w:t>
      </w:r>
      <w:r>
        <w:rPr>
          <w:sz w:val="21"/>
        </w:rPr>
        <w:t>The human-in-the-loop component uses a simulated conservative labeling policy governed by a kappa parameter, not real underwriters or applicants interacting with a live interface, and there's no language or cultural adaptation study in this work.</w:t>
      </w:r>
    </w:p>
    <w:p>
      <w:pPr>
        <w:spacing w:before="40" w:after="40"/>
      </w:pPr>
      <w:r>
        <w:rPr>
          <w:b/>
          <w:i/>
          <w:color w:val="707070"/>
          <w:sz w:val="20"/>
        </w:rPr>
        <w:t xml:space="preserve">Application: </w:t>
      </w:r>
      <w:r>
        <w:rPr>
          <w:sz w:val="21"/>
        </w:rPr>
        <w:t>That's a genuine gap I'd name as future work rather than paper over -- the shadow-mode phase of the deployment roadmap is exactly where real underwriters would start interacting with recommendations, but that user-facing validation hasn't happened yet.</w:t>
      </w:r>
    </w:p>
    <w:p>
      <w:pPr>
        <w:spacing w:before="200"/>
      </w:pPr>
      <w:r>
        <w:rPr>
          <w:b/>
          <w:sz w:val="22"/>
        </w:rPr>
        <w:t>Q30. How does the SDG 1, 3, and 10 framing translate into an actual measurable development outcome rather than just a narrative wrapped around a research result?</w:t>
      </w:r>
    </w:p>
    <w:p>
      <w:pPr>
        <w:spacing w:before="40" w:after="40"/>
      </w:pPr>
      <w:r>
        <w:rPr>
          <w:b/>
          <w:i/>
          <w:color w:val="707070"/>
          <w:sz w:val="20"/>
        </w:rPr>
        <w:t xml:space="preserve">Framework: </w:t>
      </w:r>
      <w:r>
        <w:rPr>
          <w:sz w:val="21"/>
        </w:rPr>
        <w:t>I'd frame this as a theory-of-change: the thesis measures the technical precondition -- algorithmic efficiency and fairness monitoring -- not the downstream population-level outcome, and I want to be upfront about that distinction.</w:t>
      </w:r>
    </w:p>
    <w:p>
      <w:pPr>
        <w:spacing w:before="40" w:after="40"/>
      </w:pPr>
      <w:r>
        <w:rPr>
          <w:b/>
          <w:i/>
          <w:color w:val="707070"/>
          <w:sz w:val="20"/>
        </w:rPr>
        <w:t xml:space="preserve">Evidence: </w:t>
      </w:r>
      <w:r>
        <w:rPr>
          <w:sz w:val="21"/>
        </w:rPr>
        <w:t>SDG 3 and SDG 1 connect through the +25.2% underwriting efficiency gain and catastrophic-health-cost coverage itself; SDG 10 connects through the PSI guardrail -- region PSI 0.082 GREEN, four-fifths rule 85.72% and 90.12% passed, occupation PSI 0.123 AMBER with the occupation-association test flagged FAILED-with-interpretation rather than hidden. None of that is a measured change in actual coverage rates, poverty, or health outcomes in the population -- the thesis doesn't have field deployment data to make that claim.</w:t>
      </w:r>
    </w:p>
    <w:p>
      <w:pPr>
        <w:spacing w:before="40" w:after="40"/>
      </w:pPr>
      <w:r>
        <w:rPr>
          <w:b/>
          <w:i/>
          <w:color w:val="707070"/>
          <w:sz w:val="20"/>
        </w:rPr>
        <w:t xml:space="preserve">Application: </w:t>
      </w:r>
      <w:r>
        <w:rPr>
          <w:sz w:val="21"/>
        </w:rPr>
        <w:t>Given penetration under 2% and 84% of the population outside NSSF, this thesis's honest contribution is building the monitored, efficient underwriting layer that SDG-aligned expansion would need -- it's an enabling technical result, and I'm careful not to overstate it as a proven development outcome.</w:t>
      </w:r>
    </w:p>
    <w:p>
      <w:r>
        <w:br w:type="page"/>
      </w:r>
    </w:p>
    <w:p>
      <w:pPr>
        <w:pStyle w:val="Heading1"/>
      </w:pPr>
      <w:r>
        <w:rPr>
          <w:color w:val="1F3A6E"/>
        </w:rPr>
        <w:t>PART II -- THE PIVOT STRATEGY</w:t>
      </w:r>
    </w:p>
    <w:p>
      <w:pPr>
        <w:pStyle w:val="Heading2"/>
      </w:pPr>
      <w:r>
        <w:rPr>
          <w:color w:val="2E74B5"/>
        </w:rPr>
        <w:t>Recovering When a Committee Member Challenges Your Fundamental Methodology</w:t>
      </w:r>
    </w:p>
    <w:p>
      <w:pPr>
        <w:spacing w:after="160"/>
      </w:pPr>
      <w:r>
        <w:t>At some point in this defense, a committee member may not ask about a specific number -- they may challenge the premise of the entire thesis: "Why should I believe this approach works at all?" How you respond to that moment matters more than any individual slide. A composed, honest pivot signals research maturity; a defensive or over-apologetic one signals the opposite. Use the four-step framework below.</w:t>
      </w:r>
    </w:p>
    <w:p>
      <w:pPr>
        <w:pStyle w:val="Heading3"/>
      </w:pPr>
      <w:r>
        <w:rPr>
          <w:color w:val="2E74B5"/>
        </w:rPr>
        <w:t>Framework: Acknowledge -&gt; Anchor -&gt; Bridge -&gt; Bound</w:t>
      </w:r>
    </w:p>
    <w:p>
      <w:pPr>
        <w:pStyle w:val="ListBullet"/>
      </w:pPr>
      <w:r>
        <w:rPr>
          <w:b/>
        </w:rPr>
        <w:t xml:space="preserve">ACKNOWLEDGE (2-5 seconds): </w:t>
      </w:r>
      <w:r>
        <w:t>Name the valid part of the critique explicitly, in your own words, before defending anything. "You're right that AlwaysRATED beats both bandits on raw reward" -- not "well, actually...". Acknowledging first disarms the adversarial framing and buys you a half-second to think.</w:t>
      </w:r>
    </w:p>
    <w:p>
      <w:pPr>
        <w:pStyle w:val="ListBullet"/>
      </w:pPr>
      <w:r>
        <w:rPr>
          <w:b/>
        </w:rPr>
        <w:t xml:space="preserve">ANCHOR: </w:t>
      </w:r>
      <w:r>
        <w:t>Restate what the thesis actually claims -- its real, scoped contribution -- not the inflated version the question assumes. Most "fundamental" challenges are attacking a stronger claim than the one you're making.</w:t>
      </w:r>
    </w:p>
    <w:p>
      <w:pPr>
        <w:pStyle w:val="ListBullet"/>
      </w:pPr>
      <w:r>
        <w:rPr>
          <w:b/>
        </w:rPr>
        <w:t xml:space="preserve">BRIDGE: </w:t>
      </w:r>
      <w:r>
        <w:t>Cite the specific evidence already in the thesis that supports the anchored (scoped) claim. Use one number, not five -- precision reads as confidence.</w:t>
      </w:r>
    </w:p>
    <w:p>
      <w:pPr>
        <w:pStyle w:val="ListBullet"/>
      </w:pPr>
      <w:r>
        <w:rPr>
          <w:b/>
        </w:rPr>
        <w:t xml:space="preserve">BOUND: </w:t>
      </w:r>
      <w:r>
        <w:t>Name the remaining gap as a stated limitation or future-work direction, in the thesis's own words if possible. This converts "your work is incomplete" into "I have already identified exactly where this goes next."</w:t>
      </w:r>
    </w:p>
    <w:p>
      <w:pPr>
        <w:pStyle w:val="Heading3"/>
      </w:pPr>
      <w:r>
        <w:rPr>
          <w:color w:val="2E74B5"/>
        </w:rPr>
        <w:t>Delivery notes</w:t>
      </w:r>
    </w:p>
    <w:p>
      <w:pPr>
        <w:pStyle w:val="ListBullet"/>
      </w:pPr>
      <w:r>
        <w:t>Pause for one full second before answering a hostile question. Rushing in reads as anxiety; a beat reads as composure.</w:t>
      </w:r>
    </w:p>
    <w:p>
      <w:pPr>
        <w:pStyle w:val="ListBullet"/>
      </w:pPr>
      <w:r>
        <w:t>It is fine to briefly repeat the question back in your own words ("So the concern is whether admissibility scoping is just special pleading -- let me answer that directly") -- this buys thinking time without looking evasive.</w:t>
      </w:r>
    </w:p>
    <w:p>
      <w:pPr>
        <w:pStyle w:val="ListBullet"/>
      </w:pPr>
      <w:r>
        <w:t>Keep your hands visible and still: gesture to the specific slide/number, not into the air.</w:t>
      </w:r>
    </w:p>
    <w:p>
      <w:pPr>
        <w:pStyle w:val="ListBullet"/>
      </w:pPr>
      <w:r>
        <w:t>If you don't know something, say "That's outside what this thesis measured" -- plainly, once, and move on. Never guess at a number.</w:t>
      </w:r>
    </w:p>
    <w:p>
      <w:pPr>
        <w:pStyle w:val="ListBullet"/>
      </w:pPr>
      <w:r>
        <w:t>Do not repeat the examiner's negative framing verbatim ("no, my thesis is NOT a failure") -- reframe positively instead.</w:t>
      </w:r>
    </w:p>
    <w:p>
      <w:pPr>
        <w:pStyle w:val="Heading3"/>
      </w:pPr>
      <w:r>
        <w:rPr>
          <w:color w:val="2E74B5"/>
        </w:rPr>
        <w:t>Worked example 1 -- "Your bandit doesn't even beat a trivial constant policy. Isn't that a failure?"</w:t>
      </w:r>
    </w:p>
    <w:p>
      <w:pPr>
        <w:spacing w:before="40" w:after="40"/>
      </w:pPr>
      <w:r>
        <w:rPr>
          <w:b/>
          <w:color w:val="707070"/>
        </w:rPr>
        <w:t xml:space="preserve">Acknowledge: </w:t>
      </w:r>
      <w:r>
        <w:t>"You're right -- AlwaysRATED, a blanket 25 percent loading on every applicant, earns $122,287, ahead of both LinTS at $93,723 and LinUCB at $90,540. I report that directly in Section 5.0.1, and my pre-registered hypothesis that bandits would beat every baseline was falsified."</w:t>
      </w:r>
    </w:p>
    <w:p>
      <w:pPr>
        <w:spacing w:before="40" w:after="40"/>
      </w:pPr>
      <w:r>
        <w:rPr>
          <w:b/>
          <w:color w:val="707070"/>
        </w:rPr>
        <w:t xml:space="preserve">Anchor: </w:t>
      </w:r>
      <w:r>
        <w:t>"But the thesis's claim was never 'bandits beat every possible policy' -- it's that bandits are the best-performing policy among those an insurer can actually deploy. AlwaysRATED cannot be deployed: a uniform surcharge on every applicant regardless of risk triggers adverse selection and would not survive regulatory review."</w:t>
      </w:r>
    </w:p>
    <w:p>
      <w:pPr>
        <w:spacing w:before="40" w:after="40"/>
      </w:pPr>
      <w:r>
        <w:rPr>
          <w:b/>
          <w:color w:val="707070"/>
        </w:rPr>
        <w:t xml:space="preserve">Bridge: </w:t>
      </w:r>
      <w:r>
        <w:t>"Among admissible policies, LinUCB beats Static XGB by 25.2 percent, p less than 0.001, d equals 2.98 -- the largest effect size in the whole ladder."</w:t>
      </w:r>
    </w:p>
    <w:p>
      <w:pPr>
        <w:spacing w:before="40" w:after="40"/>
      </w:pPr>
      <w:r>
        <w:rPr>
          <w:b/>
          <w:color w:val="707070"/>
        </w:rPr>
        <w:t xml:space="preserve">Bound: </w:t>
      </w:r>
      <w:r>
        <w:t>"The headroom between the admissible frontier and the theoretical ceiling is real, and I name it directly in the limitations section -- closing that gap with constrained-action fairness guardrails is exactly the next research step, not something I'm hiding from you."</w:t>
      </w:r>
    </w:p>
    <w:p>
      <w:pPr>
        <w:pStyle w:val="Heading3"/>
      </w:pPr>
      <w:r>
        <w:rPr>
          <w:color w:val="2E74B5"/>
        </w:rPr>
        <w:t>Worked example 2 -- "Doesn't Criterion 6 prove your system discriminates by occupation?"</w:t>
      </w:r>
    </w:p>
    <w:p>
      <w:pPr>
        <w:spacing w:before="40" w:after="40"/>
      </w:pPr>
      <w:r>
        <w:rPr>
          <w:b/>
          <w:color w:val="707070"/>
        </w:rPr>
        <w:t xml:space="preserve">Acknowledge: </w:t>
      </w:r>
      <w:r>
        <w:t>"The permutation test is significant -- p less than 0.001 -- so yes, the system's decisions are statistically associated with occupation. I don't dispute that number."</w:t>
      </w:r>
    </w:p>
    <w:p>
      <w:pPr>
        <w:spacing w:before="40" w:after="40"/>
      </w:pPr>
      <w:r>
        <w:rPr>
          <w:b/>
          <w:color w:val="707070"/>
        </w:rPr>
        <w:t xml:space="preserve">Anchor: </w:t>
      </w:r>
      <w:r>
        <w:t>"Statistical association isn't the same as unjustified discrimination, though. The question that matters for fairness is whether occupation is being used as a proxy for something illegitimate, or whether it's carrying genuine actuarial signal."</w:t>
      </w:r>
    </w:p>
    <w:p>
      <w:pPr>
        <w:spacing w:before="40" w:after="40"/>
      </w:pPr>
      <w:r>
        <w:rPr>
          <w:b/>
          <w:color w:val="707070"/>
        </w:rPr>
        <w:t xml:space="preserve">Bridge: </w:t>
      </w:r>
      <w:r>
        <w:t>"In this dataset, occupation correlates with real health-risk differences -- agricultural and other high-labor occupations show higher rates of Hepatitis B, TB co-morbidity, and physical-injury risk in the underlying CDHS-anchored data. Both EEOC four-fifths tests still pass, at 85.72 and 90.12 percent."</w:t>
      </w:r>
    </w:p>
    <w:p>
      <w:pPr>
        <w:spacing w:before="40" w:after="40"/>
      </w:pPr>
      <w:r>
        <w:rPr>
          <w:b/>
          <w:color w:val="707070"/>
        </w:rPr>
        <w:t xml:space="preserve">Bound: </w:t>
      </w:r>
      <w:r>
        <w:t>"That's why I call this FAILED-with-interpretation rather than quietly passing it or hiding it -- PSI is a monitor, not an enforcer, and a constrained-action layer that would suppress even actuarially valid occupation signal is future work I name explicitly."</w:t>
      </w:r>
    </w:p>
    <w:p>
      <w:pPr>
        <w:pStyle w:val="Heading3"/>
      </w:pPr>
      <w:r>
        <w:rPr>
          <w:color w:val="2E74B5"/>
        </w:rPr>
        <w:t>Worked example 3 -- "This is one synthetic dataset with no live deployment. How do you know any of this generalizes?"</w:t>
      </w:r>
    </w:p>
    <w:p>
      <w:pPr>
        <w:spacing w:before="40" w:after="40"/>
      </w:pPr>
      <w:r>
        <w:rPr>
          <w:b/>
          <w:color w:val="707070"/>
        </w:rPr>
        <w:t xml:space="preserve">Acknowledge: </w:t>
      </w:r>
      <w:r>
        <w:t>"You're right that I cannot claim this generalizes to real Cambodian claims data -- I don't have access to it, and I say so directly in the limitations chapter."</w:t>
      </w:r>
    </w:p>
    <w:p>
      <w:pPr>
        <w:spacing w:before="40" w:after="40"/>
      </w:pPr>
      <w:r>
        <w:rPr>
          <w:b/>
          <w:color w:val="707070"/>
        </w:rPr>
        <w:t xml:space="preserve">Anchor: </w:t>
      </w:r>
      <w:r>
        <w:t>"What this thesis claims is narrower and, I'd argue, still useful: that under a CDHS-anchored, actuarially-grounded simulation of the Cambodian market, an online-learning policy decisively outperforms the frozen status quo, and that the effect is robust across 20 independent seeds and the full sensitivity grid."</w:t>
      </w:r>
    </w:p>
    <w:p>
      <w:pPr>
        <w:spacing w:before="40" w:after="40"/>
      </w:pPr>
      <w:r>
        <w:rPr>
          <w:b/>
          <w:color w:val="707070"/>
        </w:rPr>
        <w:t xml:space="preserve">Bridge: </w:t>
      </w:r>
      <w:r>
        <w:t>"The dataset itself is anchored on four real sources -- CDHS 2021-22, STEPS, ILO, WHO -- not invented from nothing, and the ranking of LinUCB and LinTS above other admissible policies held stable across every parameter combination tested in EXP-012."</w:t>
      </w:r>
    </w:p>
    <w:p>
      <w:pPr>
        <w:spacing w:before="40" w:after="40"/>
      </w:pPr>
      <w:r>
        <w:rPr>
          <w:b/>
          <w:color w:val="707070"/>
        </w:rPr>
        <w:t xml:space="preserve">Bound: </w:t>
      </w:r>
      <w:r>
        <w:t>"The natural next step, and one I name directly, is a live pilot with a real insurer -- that's precisely the production-readiness track I'm continuing with DAC after this defense."</w:t>
      </w:r>
    </w:p>
    <w:p>
      <w:pPr>
        <w:pStyle w:val="Heading3"/>
      </w:pPr>
      <w:r>
        <w:rPr>
          <w:color w:val="2E74B5"/>
        </w:rPr>
        <w:t>Never do this</w:t>
      </w:r>
    </w:p>
    <w:p>
      <w:pPr>
        <w:pStyle w:val="ListBullet"/>
      </w:pPr>
      <w:r>
        <w:t>Never say "that's not a fair question," or otherwise challenge the examiner's right to ask it.</w:t>
      </w:r>
    </w:p>
    <w:p>
      <w:pPr>
        <w:pStyle w:val="ListBullet"/>
      </w:pPr>
      <w:r>
        <w:t>Never cave completely ("you're totally right, I have no answer") -- always land on the ANCHOR/BRIDGE, even briefly.</w:t>
      </w:r>
    </w:p>
    <w:p>
      <w:pPr>
        <w:pStyle w:val="ListBullet"/>
      </w:pPr>
      <w:r>
        <w:t>Never invent a number you don't have memorized -- say "I'd have to check the exact figure" and move to what you do know.</w:t>
      </w:r>
    </w:p>
    <w:p>
      <w:pPr>
        <w:pStyle w:val="ListBullet"/>
      </w:pPr>
      <w:r>
        <w:t>Never let one hard question visibly rattle your delivery on the next slide -- if it happens, take the pause you're allowed to take.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