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DD87" w14:textId="77777777" w:rsidR="009B32AB" w:rsidRDefault="009B32AB" w:rsidP="00410620">
      <w:pPr>
        <w:jc w:val="center"/>
        <w:rPr>
          <w:b/>
          <w:bCs/>
          <w:i/>
          <w:iCs/>
          <w:sz w:val="36"/>
          <w:szCs w:val="36"/>
        </w:rPr>
      </w:pPr>
      <w:r w:rsidRPr="00410620">
        <w:rPr>
          <w:b/>
          <w:bCs/>
          <w:i/>
          <w:iCs/>
          <w:sz w:val="36"/>
          <w:szCs w:val="36"/>
        </w:rPr>
        <w:t>CASE 1: INSURANCE CLAIMS AND DEDUCTIBLES</w:t>
      </w:r>
    </w:p>
    <w:p w14:paraId="387EA1A6" w14:textId="77777777" w:rsidR="00410620" w:rsidRPr="00410620" w:rsidRDefault="00410620" w:rsidP="00410620">
      <w:pPr>
        <w:jc w:val="center"/>
        <w:rPr>
          <w:b/>
          <w:bCs/>
          <w:i/>
          <w:iCs/>
          <w:sz w:val="36"/>
          <w:szCs w:val="36"/>
        </w:rPr>
      </w:pPr>
    </w:p>
    <w:tbl>
      <w:tblPr>
        <w:tblStyle w:val="TableGrid"/>
        <w:tblW w:w="0" w:type="auto"/>
        <w:tblLook w:val="04A0" w:firstRow="1" w:lastRow="0" w:firstColumn="1" w:lastColumn="0" w:noHBand="0" w:noVBand="1"/>
      </w:tblPr>
      <w:tblGrid>
        <w:gridCol w:w="3037"/>
        <w:gridCol w:w="1703"/>
        <w:gridCol w:w="1758"/>
        <w:gridCol w:w="1420"/>
        <w:gridCol w:w="1432"/>
      </w:tblGrid>
      <w:tr w:rsidR="009B32AB" w:rsidRPr="00457CBD" w14:paraId="235F55E9" w14:textId="77777777" w:rsidTr="00410620">
        <w:trPr>
          <w:trHeight w:val="314"/>
        </w:trPr>
        <w:tc>
          <w:tcPr>
            <w:tcW w:w="4005" w:type="dxa"/>
          </w:tcPr>
          <w:p w14:paraId="3C7B3A04" w14:textId="77777777" w:rsidR="009B32AB" w:rsidRPr="00457CBD" w:rsidRDefault="009B32AB" w:rsidP="000B38C1">
            <w:pPr>
              <w:jc w:val="center"/>
            </w:pPr>
            <w:r>
              <w:t>Variable</w:t>
            </w:r>
          </w:p>
        </w:tc>
        <w:tc>
          <w:tcPr>
            <w:tcW w:w="2232" w:type="dxa"/>
          </w:tcPr>
          <w:p w14:paraId="5E6D8271" w14:textId="77777777" w:rsidR="009B32AB" w:rsidRPr="00457CBD" w:rsidRDefault="009B32AB" w:rsidP="000B38C1">
            <w:pPr>
              <w:jc w:val="center"/>
            </w:pPr>
            <w:r>
              <w:t>Mean</w:t>
            </w:r>
          </w:p>
        </w:tc>
        <w:tc>
          <w:tcPr>
            <w:tcW w:w="2232" w:type="dxa"/>
          </w:tcPr>
          <w:p w14:paraId="2A3224D5" w14:textId="77777777" w:rsidR="009B32AB" w:rsidRPr="00457CBD" w:rsidRDefault="009B32AB" w:rsidP="000B38C1">
            <w:pPr>
              <w:jc w:val="center"/>
            </w:pPr>
            <w:r>
              <w:t>STD.DEV</w:t>
            </w:r>
          </w:p>
        </w:tc>
        <w:tc>
          <w:tcPr>
            <w:tcW w:w="1934" w:type="dxa"/>
          </w:tcPr>
          <w:p w14:paraId="60BBDBEA" w14:textId="77777777" w:rsidR="009B32AB" w:rsidRPr="00457CBD" w:rsidRDefault="009B32AB" w:rsidP="000B38C1">
            <w:pPr>
              <w:jc w:val="center"/>
            </w:pPr>
            <w:r>
              <w:t>Min</w:t>
            </w:r>
          </w:p>
        </w:tc>
        <w:tc>
          <w:tcPr>
            <w:tcW w:w="1865" w:type="dxa"/>
          </w:tcPr>
          <w:p w14:paraId="21F0865D" w14:textId="77777777" w:rsidR="009B32AB" w:rsidRPr="00457CBD" w:rsidRDefault="009B32AB" w:rsidP="000B38C1">
            <w:pPr>
              <w:jc w:val="center"/>
            </w:pPr>
            <w:r>
              <w:t>Max</w:t>
            </w:r>
          </w:p>
        </w:tc>
      </w:tr>
      <w:tr w:rsidR="009B32AB" w:rsidRPr="00457CBD" w14:paraId="7CFDF15D" w14:textId="77777777" w:rsidTr="00410620">
        <w:trPr>
          <w:trHeight w:val="297"/>
        </w:trPr>
        <w:tc>
          <w:tcPr>
            <w:tcW w:w="4005" w:type="dxa"/>
          </w:tcPr>
          <w:p w14:paraId="1B6F80FF" w14:textId="77777777" w:rsidR="009B32AB" w:rsidRPr="00457CBD" w:rsidRDefault="009B32AB" w:rsidP="000B38C1">
            <w:r w:rsidRPr="00457CBD">
              <w:t>Claimsper100</w:t>
            </w:r>
          </w:p>
        </w:tc>
        <w:tc>
          <w:tcPr>
            <w:tcW w:w="2232" w:type="dxa"/>
          </w:tcPr>
          <w:p w14:paraId="1FB476B4" w14:textId="77777777" w:rsidR="009B32AB" w:rsidRPr="00457CBD" w:rsidRDefault="009B32AB" w:rsidP="000B38C1">
            <w:pPr>
              <w:jc w:val="center"/>
            </w:pPr>
            <w:r w:rsidRPr="00457CBD">
              <w:t>10.864</w:t>
            </w:r>
          </w:p>
        </w:tc>
        <w:tc>
          <w:tcPr>
            <w:tcW w:w="2232" w:type="dxa"/>
          </w:tcPr>
          <w:p w14:paraId="693A967A" w14:textId="77777777" w:rsidR="009B32AB" w:rsidRPr="00457CBD" w:rsidRDefault="009B32AB" w:rsidP="000B38C1">
            <w:pPr>
              <w:jc w:val="center"/>
            </w:pPr>
            <w:r w:rsidRPr="00457CBD">
              <w:t>9.408</w:t>
            </w:r>
          </w:p>
        </w:tc>
        <w:tc>
          <w:tcPr>
            <w:tcW w:w="1934" w:type="dxa"/>
          </w:tcPr>
          <w:p w14:paraId="07ABC447" w14:textId="77777777" w:rsidR="009B32AB" w:rsidRPr="00457CBD" w:rsidRDefault="009B32AB" w:rsidP="000B38C1">
            <w:pPr>
              <w:jc w:val="center"/>
            </w:pPr>
            <w:r w:rsidRPr="00457CBD">
              <w:t>0</w:t>
            </w:r>
          </w:p>
        </w:tc>
        <w:tc>
          <w:tcPr>
            <w:tcW w:w="1865" w:type="dxa"/>
          </w:tcPr>
          <w:p w14:paraId="6395983B" w14:textId="77777777" w:rsidR="009B32AB" w:rsidRPr="00457CBD" w:rsidRDefault="009B32AB" w:rsidP="000B38C1">
            <w:pPr>
              <w:jc w:val="center"/>
            </w:pPr>
            <w:r w:rsidRPr="00457CBD">
              <w:t>34.61</w:t>
            </w:r>
          </w:p>
        </w:tc>
      </w:tr>
      <w:tr w:rsidR="009B32AB" w:rsidRPr="00457CBD" w14:paraId="21886F81" w14:textId="77777777" w:rsidTr="00410620">
        <w:trPr>
          <w:trHeight w:val="314"/>
        </w:trPr>
        <w:tc>
          <w:tcPr>
            <w:tcW w:w="4005" w:type="dxa"/>
          </w:tcPr>
          <w:p w14:paraId="35216623" w14:textId="77777777" w:rsidR="009B32AB" w:rsidRPr="00457CBD" w:rsidRDefault="009B32AB" w:rsidP="000B38C1">
            <w:r w:rsidRPr="00457CBD">
              <w:t>Deductible</w:t>
            </w:r>
          </w:p>
        </w:tc>
        <w:tc>
          <w:tcPr>
            <w:tcW w:w="2232" w:type="dxa"/>
          </w:tcPr>
          <w:p w14:paraId="5D580F2D" w14:textId="77777777" w:rsidR="009B32AB" w:rsidRPr="00457CBD" w:rsidRDefault="009B32AB" w:rsidP="000B38C1">
            <w:pPr>
              <w:jc w:val="center"/>
            </w:pPr>
            <w:r w:rsidRPr="00457CBD">
              <w:t>496.4</w:t>
            </w:r>
          </w:p>
        </w:tc>
        <w:tc>
          <w:tcPr>
            <w:tcW w:w="2232" w:type="dxa"/>
          </w:tcPr>
          <w:p w14:paraId="164B0F9C" w14:textId="77777777" w:rsidR="009B32AB" w:rsidRPr="00457CBD" w:rsidRDefault="009B32AB" w:rsidP="000B38C1">
            <w:pPr>
              <w:jc w:val="center"/>
            </w:pPr>
            <w:r w:rsidRPr="00457CBD">
              <w:t>282.961</w:t>
            </w:r>
          </w:p>
        </w:tc>
        <w:tc>
          <w:tcPr>
            <w:tcW w:w="1934" w:type="dxa"/>
          </w:tcPr>
          <w:p w14:paraId="58A29A7A" w14:textId="77777777" w:rsidR="009B32AB" w:rsidRPr="00457CBD" w:rsidRDefault="009B32AB" w:rsidP="000B38C1">
            <w:pPr>
              <w:jc w:val="center"/>
            </w:pPr>
            <w:r w:rsidRPr="00457CBD">
              <w:t>0</w:t>
            </w:r>
          </w:p>
        </w:tc>
        <w:tc>
          <w:tcPr>
            <w:tcW w:w="1865" w:type="dxa"/>
          </w:tcPr>
          <w:p w14:paraId="710D2D1C" w14:textId="77777777" w:rsidR="009B32AB" w:rsidRPr="00457CBD" w:rsidRDefault="009B32AB" w:rsidP="000B38C1">
            <w:pPr>
              <w:jc w:val="center"/>
            </w:pPr>
            <w:r w:rsidRPr="00457CBD">
              <w:t>1000</w:t>
            </w:r>
          </w:p>
        </w:tc>
      </w:tr>
      <w:tr w:rsidR="009B32AB" w:rsidRPr="00457CBD" w14:paraId="3A85AE25" w14:textId="77777777" w:rsidTr="00410620">
        <w:trPr>
          <w:trHeight w:val="297"/>
        </w:trPr>
        <w:tc>
          <w:tcPr>
            <w:tcW w:w="4005" w:type="dxa"/>
          </w:tcPr>
          <w:p w14:paraId="0A2A63BC" w14:textId="77777777" w:rsidR="009B32AB" w:rsidRPr="00457CBD" w:rsidRDefault="009B32AB" w:rsidP="000B38C1">
            <w:r w:rsidRPr="00457CBD">
              <w:t>% Local</w:t>
            </w:r>
            <w:r>
              <w:t xml:space="preserve"> </w:t>
            </w:r>
            <w:r w:rsidRPr="00457CBD">
              <w:t>Pop.25-65</w:t>
            </w:r>
          </w:p>
        </w:tc>
        <w:tc>
          <w:tcPr>
            <w:tcW w:w="2232" w:type="dxa"/>
          </w:tcPr>
          <w:p w14:paraId="1740DBCC" w14:textId="77777777" w:rsidR="009B32AB" w:rsidRPr="00457CBD" w:rsidRDefault="009B32AB" w:rsidP="000B38C1">
            <w:pPr>
              <w:jc w:val="center"/>
            </w:pPr>
            <w:r w:rsidRPr="00457CBD">
              <w:t>60.342</w:t>
            </w:r>
          </w:p>
        </w:tc>
        <w:tc>
          <w:tcPr>
            <w:tcW w:w="2232" w:type="dxa"/>
          </w:tcPr>
          <w:p w14:paraId="2E3CD2F0" w14:textId="77777777" w:rsidR="009B32AB" w:rsidRPr="00457CBD" w:rsidRDefault="009B32AB" w:rsidP="000B38C1">
            <w:pPr>
              <w:jc w:val="center"/>
            </w:pPr>
            <w:r w:rsidRPr="00457CBD">
              <w:t>8.925</w:t>
            </w:r>
          </w:p>
        </w:tc>
        <w:tc>
          <w:tcPr>
            <w:tcW w:w="1934" w:type="dxa"/>
          </w:tcPr>
          <w:p w14:paraId="6E751302" w14:textId="77777777" w:rsidR="009B32AB" w:rsidRPr="00457CBD" w:rsidRDefault="009B32AB" w:rsidP="000B38C1">
            <w:pPr>
              <w:jc w:val="center"/>
            </w:pPr>
            <w:r w:rsidRPr="00457CBD">
              <w:t>45</w:t>
            </w:r>
          </w:p>
        </w:tc>
        <w:tc>
          <w:tcPr>
            <w:tcW w:w="1865" w:type="dxa"/>
          </w:tcPr>
          <w:p w14:paraId="1C671B0E" w14:textId="77777777" w:rsidR="009B32AB" w:rsidRPr="00457CBD" w:rsidRDefault="009B32AB" w:rsidP="000B38C1">
            <w:pPr>
              <w:jc w:val="center"/>
            </w:pPr>
            <w:r w:rsidRPr="00457CBD">
              <w:t>75</w:t>
            </w:r>
          </w:p>
        </w:tc>
      </w:tr>
      <w:tr w:rsidR="009B32AB" w:rsidRPr="00457CBD" w14:paraId="3F2E5F9D" w14:textId="77777777" w:rsidTr="00410620">
        <w:trPr>
          <w:trHeight w:val="314"/>
        </w:trPr>
        <w:tc>
          <w:tcPr>
            <w:tcW w:w="4005" w:type="dxa"/>
          </w:tcPr>
          <w:p w14:paraId="357694EA" w14:textId="4669626A" w:rsidR="009B32AB" w:rsidRPr="00457CBD" w:rsidRDefault="009B32AB" w:rsidP="000B38C1">
            <w:r w:rsidRPr="00457CBD">
              <w:t>% Local</w:t>
            </w:r>
            <w:r>
              <w:t xml:space="preserve"> </w:t>
            </w:r>
            <w:r w:rsidRPr="00457CBD">
              <w:t>Pop</w:t>
            </w:r>
            <w:r>
              <w:t xml:space="preserve"> </w:t>
            </w:r>
            <w:r w:rsidRPr="00457CBD">
              <w:t>Married</w:t>
            </w:r>
          </w:p>
        </w:tc>
        <w:tc>
          <w:tcPr>
            <w:tcW w:w="2232" w:type="dxa"/>
          </w:tcPr>
          <w:p w14:paraId="213B95D3" w14:textId="77777777" w:rsidR="009B32AB" w:rsidRPr="00457CBD" w:rsidRDefault="009B32AB" w:rsidP="000B38C1">
            <w:pPr>
              <w:jc w:val="center"/>
            </w:pPr>
            <w:r w:rsidRPr="00457CBD">
              <w:t>62.99</w:t>
            </w:r>
          </w:p>
        </w:tc>
        <w:tc>
          <w:tcPr>
            <w:tcW w:w="2232" w:type="dxa"/>
          </w:tcPr>
          <w:p w14:paraId="05EF77B4" w14:textId="77777777" w:rsidR="009B32AB" w:rsidRPr="00457CBD" w:rsidRDefault="009B32AB" w:rsidP="000B38C1">
            <w:pPr>
              <w:jc w:val="center"/>
            </w:pPr>
            <w:r w:rsidRPr="00457CBD">
              <w:t>10.509</w:t>
            </w:r>
          </w:p>
        </w:tc>
        <w:tc>
          <w:tcPr>
            <w:tcW w:w="1934" w:type="dxa"/>
          </w:tcPr>
          <w:p w14:paraId="4ECFE2C5" w14:textId="77777777" w:rsidR="009B32AB" w:rsidRPr="00457CBD" w:rsidRDefault="009B32AB" w:rsidP="000B38C1">
            <w:pPr>
              <w:jc w:val="center"/>
            </w:pPr>
            <w:r w:rsidRPr="00457CBD">
              <w:t>45</w:t>
            </w:r>
          </w:p>
        </w:tc>
        <w:tc>
          <w:tcPr>
            <w:tcW w:w="1865" w:type="dxa"/>
          </w:tcPr>
          <w:p w14:paraId="183B8A1E" w14:textId="77777777" w:rsidR="009B32AB" w:rsidRPr="00457CBD" w:rsidRDefault="009B32AB" w:rsidP="000B38C1">
            <w:pPr>
              <w:jc w:val="center"/>
            </w:pPr>
            <w:r w:rsidRPr="00457CBD">
              <w:t>80</w:t>
            </w:r>
          </w:p>
        </w:tc>
      </w:tr>
      <w:tr w:rsidR="009B32AB" w:rsidRPr="00457CBD" w14:paraId="733C2D10" w14:textId="77777777" w:rsidTr="00410620">
        <w:trPr>
          <w:trHeight w:val="314"/>
        </w:trPr>
        <w:tc>
          <w:tcPr>
            <w:tcW w:w="4005" w:type="dxa"/>
          </w:tcPr>
          <w:p w14:paraId="7116E525" w14:textId="10147DB8" w:rsidR="009B32AB" w:rsidRPr="00457CBD" w:rsidRDefault="009B32AB" w:rsidP="000B38C1">
            <w:r w:rsidRPr="00457CBD">
              <w:t>Local</w:t>
            </w:r>
            <w:r>
              <w:t xml:space="preserve"> </w:t>
            </w:r>
            <w:r w:rsidRPr="00457CBD">
              <w:t>Traffic</w:t>
            </w:r>
            <w:r>
              <w:t xml:space="preserve"> </w:t>
            </w:r>
            <w:r w:rsidRPr="00457CBD">
              <w:t>Index</w:t>
            </w:r>
          </w:p>
        </w:tc>
        <w:tc>
          <w:tcPr>
            <w:tcW w:w="2232" w:type="dxa"/>
          </w:tcPr>
          <w:p w14:paraId="1661B7DA" w14:textId="77777777" w:rsidR="009B32AB" w:rsidRPr="00457CBD" w:rsidRDefault="009B32AB" w:rsidP="000B38C1">
            <w:pPr>
              <w:jc w:val="center"/>
            </w:pPr>
            <w:r w:rsidRPr="00457CBD">
              <w:t>5.638</w:t>
            </w:r>
          </w:p>
        </w:tc>
        <w:tc>
          <w:tcPr>
            <w:tcW w:w="2232" w:type="dxa"/>
          </w:tcPr>
          <w:p w14:paraId="3DD6DFF7" w14:textId="77777777" w:rsidR="009B32AB" w:rsidRPr="00457CBD" w:rsidRDefault="009B32AB" w:rsidP="000B38C1">
            <w:pPr>
              <w:jc w:val="center"/>
            </w:pPr>
            <w:r w:rsidRPr="00457CBD">
              <w:t>2.866</w:t>
            </w:r>
          </w:p>
        </w:tc>
        <w:tc>
          <w:tcPr>
            <w:tcW w:w="1934" w:type="dxa"/>
          </w:tcPr>
          <w:p w14:paraId="775AE24A" w14:textId="77777777" w:rsidR="009B32AB" w:rsidRPr="00457CBD" w:rsidRDefault="009B32AB" w:rsidP="000B38C1">
            <w:pPr>
              <w:jc w:val="center"/>
            </w:pPr>
            <w:r w:rsidRPr="00457CBD">
              <w:t>1</w:t>
            </w:r>
          </w:p>
        </w:tc>
        <w:tc>
          <w:tcPr>
            <w:tcW w:w="1865" w:type="dxa"/>
          </w:tcPr>
          <w:p w14:paraId="74A82FBC" w14:textId="77777777" w:rsidR="009B32AB" w:rsidRPr="00457CBD" w:rsidRDefault="009B32AB" w:rsidP="000B38C1">
            <w:pPr>
              <w:jc w:val="center"/>
            </w:pPr>
            <w:r w:rsidRPr="00457CBD">
              <w:t>10</w:t>
            </w:r>
          </w:p>
        </w:tc>
      </w:tr>
      <w:tr w:rsidR="009B32AB" w:rsidRPr="00457CBD" w14:paraId="66E3B006" w14:textId="77777777" w:rsidTr="00410620">
        <w:trPr>
          <w:trHeight w:val="297"/>
        </w:trPr>
        <w:tc>
          <w:tcPr>
            <w:tcW w:w="4005" w:type="dxa"/>
          </w:tcPr>
          <w:p w14:paraId="6699C30F" w14:textId="770D67FE" w:rsidR="009B32AB" w:rsidRPr="00457CBD" w:rsidRDefault="009B32AB" w:rsidP="000B38C1">
            <w:r w:rsidRPr="00457CBD">
              <w:t>Local</w:t>
            </w:r>
            <w:r>
              <w:t xml:space="preserve"> </w:t>
            </w:r>
            <w:r w:rsidRPr="00457CBD">
              <w:t>Wealth</w:t>
            </w:r>
            <w:r>
              <w:t xml:space="preserve"> i</w:t>
            </w:r>
            <w:r w:rsidRPr="00457CBD">
              <w:t>ndex</w:t>
            </w:r>
          </w:p>
        </w:tc>
        <w:tc>
          <w:tcPr>
            <w:tcW w:w="2232" w:type="dxa"/>
          </w:tcPr>
          <w:p w14:paraId="33DD0738" w14:textId="77777777" w:rsidR="009B32AB" w:rsidRPr="00457CBD" w:rsidRDefault="009B32AB" w:rsidP="000B38C1">
            <w:pPr>
              <w:jc w:val="center"/>
            </w:pPr>
            <w:r w:rsidRPr="00457CBD">
              <w:t>5.522</w:t>
            </w:r>
          </w:p>
        </w:tc>
        <w:tc>
          <w:tcPr>
            <w:tcW w:w="2232" w:type="dxa"/>
          </w:tcPr>
          <w:p w14:paraId="416AB0FB" w14:textId="77777777" w:rsidR="009B32AB" w:rsidRPr="00457CBD" w:rsidRDefault="009B32AB" w:rsidP="000B38C1">
            <w:pPr>
              <w:jc w:val="center"/>
            </w:pPr>
            <w:r w:rsidRPr="00457CBD">
              <w:t>2.949</w:t>
            </w:r>
          </w:p>
        </w:tc>
        <w:tc>
          <w:tcPr>
            <w:tcW w:w="1934" w:type="dxa"/>
          </w:tcPr>
          <w:p w14:paraId="35146B85" w14:textId="77777777" w:rsidR="009B32AB" w:rsidRPr="00457CBD" w:rsidRDefault="009B32AB" w:rsidP="000B38C1">
            <w:pPr>
              <w:jc w:val="center"/>
            </w:pPr>
            <w:r w:rsidRPr="00457CBD">
              <w:t>1</w:t>
            </w:r>
          </w:p>
        </w:tc>
        <w:tc>
          <w:tcPr>
            <w:tcW w:w="1865" w:type="dxa"/>
          </w:tcPr>
          <w:p w14:paraId="6B6D9B17" w14:textId="77777777" w:rsidR="009B32AB" w:rsidRPr="00457CBD" w:rsidRDefault="009B32AB" w:rsidP="000B38C1">
            <w:pPr>
              <w:jc w:val="center"/>
            </w:pPr>
            <w:r w:rsidRPr="00457CBD">
              <w:t>10</w:t>
            </w:r>
          </w:p>
        </w:tc>
      </w:tr>
    </w:tbl>
    <w:p w14:paraId="2101F88E" w14:textId="77777777" w:rsidR="00E164D9" w:rsidRDefault="00E164D9"/>
    <w:p w14:paraId="237E3369" w14:textId="1AD30710" w:rsidR="009B32AB" w:rsidRPr="00410620" w:rsidRDefault="009B32AB" w:rsidP="009B32AB">
      <w:pPr>
        <w:rPr>
          <w:b/>
          <w:bCs/>
          <w:sz w:val="28"/>
          <w:szCs w:val="28"/>
        </w:rPr>
      </w:pPr>
      <w:r w:rsidRPr="00410620">
        <w:rPr>
          <w:b/>
          <w:bCs/>
          <w:sz w:val="28"/>
          <w:szCs w:val="28"/>
        </w:rPr>
        <w:t xml:space="preserve">1. </w:t>
      </w:r>
      <w:r w:rsidRPr="00410620">
        <w:rPr>
          <w:b/>
          <w:bCs/>
          <w:sz w:val="28"/>
          <w:szCs w:val="28"/>
        </w:rPr>
        <w:t>Describe</w:t>
      </w:r>
      <w:r w:rsidRPr="00410620">
        <w:rPr>
          <w:b/>
          <w:bCs/>
          <w:sz w:val="28"/>
          <w:szCs w:val="28"/>
        </w:rPr>
        <w:t xml:space="preserve"> </w:t>
      </w:r>
      <w:r w:rsidRPr="00410620">
        <w:rPr>
          <w:b/>
          <w:bCs/>
          <w:sz w:val="28"/>
          <w:szCs w:val="28"/>
        </w:rPr>
        <w:t>results in Table A.4:</w:t>
      </w:r>
    </w:p>
    <w:p w14:paraId="3B87175D" w14:textId="0DD6FAC5" w:rsidR="009B32AB" w:rsidRDefault="009B32AB" w:rsidP="009B32AB">
      <w:pPr>
        <w:pStyle w:val="ListParagraph"/>
        <w:numPr>
          <w:ilvl w:val="0"/>
          <w:numId w:val="1"/>
        </w:numPr>
      </w:pPr>
      <w:r>
        <w:t>Claims</w:t>
      </w:r>
      <w:r>
        <w:t xml:space="preserve"> </w:t>
      </w:r>
      <w:r>
        <w:t>per</w:t>
      </w:r>
      <w:r>
        <w:t xml:space="preserve"> </w:t>
      </w:r>
      <w:r>
        <w:t>100:</w:t>
      </w:r>
    </w:p>
    <w:p w14:paraId="10B354F0" w14:textId="77777777" w:rsidR="009B32AB" w:rsidRDefault="009B32AB" w:rsidP="009B32AB">
      <w:pPr>
        <w:ind w:left="360"/>
      </w:pPr>
      <w:r>
        <w:t>Mean (10.864): On average, there are approximately 10.864 claims per 100 units.</w:t>
      </w:r>
    </w:p>
    <w:p w14:paraId="4ACE2D50" w14:textId="77777777" w:rsidR="009B32AB" w:rsidRDefault="009B32AB" w:rsidP="009B32AB">
      <w:pPr>
        <w:ind w:left="360"/>
      </w:pPr>
      <w:r>
        <w:t>Standard Deviation (9.408): The variability in the number of claims is quite high, with values ranging from 0 to 34.61.</w:t>
      </w:r>
    </w:p>
    <w:p w14:paraId="62AD43C1" w14:textId="157905EA" w:rsidR="009B32AB" w:rsidRDefault="009B32AB" w:rsidP="009B32AB">
      <w:pPr>
        <w:pStyle w:val="ListParagraph"/>
        <w:numPr>
          <w:ilvl w:val="0"/>
          <w:numId w:val="1"/>
        </w:numPr>
      </w:pPr>
      <w:r>
        <w:t>Deductible:</w:t>
      </w:r>
    </w:p>
    <w:p w14:paraId="13695146" w14:textId="77777777" w:rsidR="009B32AB" w:rsidRDefault="009B32AB" w:rsidP="009B32AB">
      <w:pPr>
        <w:ind w:left="360"/>
      </w:pPr>
      <w:r>
        <w:t>Mean (496.4): The average deductible amount is 496.4.</w:t>
      </w:r>
    </w:p>
    <w:p w14:paraId="4A5FA8D8" w14:textId="77777777" w:rsidR="009B32AB" w:rsidRDefault="009B32AB" w:rsidP="009B32AB">
      <w:pPr>
        <w:ind w:left="360"/>
      </w:pPr>
      <w:r>
        <w:t>Standard Deviation (282.961): There is significant variability in deductible amounts, with values ranging from 0 to 1000.</w:t>
      </w:r>
    </w:p>
    <w:p w14:paraId="0EBC3412" w14:textId="62CC1AAF" w:rsidR="009B32AB" w:rsidRDefault="009B32AB" w:rsidP="009B32AB">
      <w:pPr>
        <w:pStyle w:val="ListParagraph"/>
        <w:numPr>
          <w:ilvl w:val="0"/>
          <w:numId w:val="1"/>
        </w:numPr>
      </w:pPr>
      <w:r>
        <w:t>% Local Pop.25-65:</w:t>
      </w:r>
    </w:p>
    <w:p w14:paraId="65264EBC" w14:textId="77777777" w:rsidR="009B32AB" w:rsidRDefault="009B32AB" w:rsidP="009B32AB">
      <w:pPr>
        <w:ind w:left="360"/>
      </w:pPr>
      <w:r>
        <w:t>Mean (60.342): On average, 60.342% of the local population falls within the age range of 25 to 65.</w:t>
      </w:r>
    </w:p>
    <w:p w14:paraId="09A764FB" w14:textId="77777777" w:rsidR="009B32AB" w:rsidRDefault="009B32AB" w:rsidP="009B32AB">
      <w:pPr>
        <w:ind w:left="360"/>
      </w:pPr>
      <w:r>
        <w:t>Standard Deviation (8.925): The percentage of the population in this age range varies, with values ranging from 45% to 75%.</w:t>
      </w:r>
    </w:p>
    <w:p w14:paraId="3AD38A74" w14:textId="5B44D184" w:rsidR="009B32AB" w:rsidRDefault="009B32AB" w:rsidP="009B32AB">
      <w:pPr>
        <w:pStyle w:val="ListParagraph"/>
        <w:numPr>
          <w:ilvl w:val="0"/>
          <w:numId w:val="1"/>
        </w:numPr>
      </w:pPr>
      <w:r>
        <w:t>% Local Pop</w:t>
      </w:r>
      <w:r>
        <w:t xml:space="preserve"> </w:t>
      </w:r>
      <w:r>
        <w:t>Married:</w:t>
      </w:r>
    </w:p>
    <w:p w14:paraId="60735849" w14:textId="77777777" w:rsidR="009B32AB" w:rsidRDefault="009B32AB" w:rsidP="009B32AB">
      <w:pPr>
        <w:ind w:left="360"/>
      </w:pPr>
      <w:r>
        <w:t>Mean (62.99): On average, 62.99% of the local population is married.</w:t>
      </w:r>
    </w:p>
    <w:p w14:paraId="440EC1AF" w14:textId="77777777" w:rsidR="009B32AB" w:rsidRDefault="009B32AB" w:rsidP="009B32AB">
      <w:pPr>
        <w:ind w:left="360"/>
      </w:pPr>
      <w:r>
        <w:t>Standard Deviation (10.509): The percentage of married individuals in the population varies, with values ranging from 45% to 80%.</w:t>
      </w:r>
    </w:p>
    <w:p w14:paraId="19135A18" w14:textId="13A422AD" w:rsidR="009B32AB" w:rsidRDefault="009B32AB" w:rsidP="009B32AB">
      <w:pPr>
        <w:pStyle w:val="ListParagraph"/>
        <w:numPr>
          <w:ilvl w:val="0"/>
          <w:numId w:val="1"/>
        </w:numPr>
      </w:pPr>
      <w:r>
        <w:t>Local</w:t>
      </w:r>
      <w:r>
        <w:t xml:space="preserve"> </w:t>
      </w:r>
      <w:r>
        <w:t>Traffic</w:t>
      </w:r>
      <w:r>
        <w:t xml:space="preserve"> </w:t>
      </w:r>
      <w:r>
        <w:t>Index:</w:t>
      </w:r>
    </w:p>
    <w:p w14:paraId="16741593" w14:textId="77777777" w:rsidR="009B32AB" w:rsidRDefault="009B32AB" w:rsidP="009B32AB">
      <w:pPr>
        <w:ind w:left="360"/>
      </w:pPr>
      <w:r>
        <w:t>Mean (5.638): The average local traffic index is 5.638.</w:t>
      </w:r>
    </w:p>
    <w:p w14:paraId="7E6C6D7C" w14:textId="77777777" w:rsidR="009B32AB" w:rsidRDefault="009B32AB" w:rsidP="009B32AB">
      <w:pPr>
        <w:ind w:left="360"/>
      </w:pPr>
      <w:r>
        <w:t>Standard Deviation (2.866): There is variability in local traffic index values, ranging from 1 to 10.</w:t>
      </w:r>
    </w:p>
    <w:p w14:paraId="454001EA" w14:textId="0F35EF58" w:rsidR="009B32AB" w:rsidRDefault="009B32AB" w:rsidP="009B32AB">
      <w:pPr>
        <w:pStyle w:val="ListParagraph"/>
        <w:numPr>
          <w:ilvl w:val="0"/>
          <w:numId w:val="1"/>
        </w:numPr>
      </w:pPr>
      <w:r>
        <w:t>Local</w:t>
      </w:r>
      <w:r>
        <w:t xml:space="preserve"> </w:t>
      </w:r>
      <w:r>
        <w:t>Wealth</w:t>
      </w:r>
      <w:r>
        <w:t xml:space="preserve"> </w:t>
      </w:r>
      <w:r>
        <w:t>Index:</w:t>
      </w:r>
    </w:p>
    <w:p w14:paraId="43964E84" w14:textId="77777777" w:rsidR="009B32AB" w:rsidRDefault="009B32AB" w:rsidP="009B32AB">
      <w:pPr>
        <w:ind w:left="360"/>
      </w:pPr>
      <w:r>
        <w:t>Mean (5.522): The average local wealth index is 5.522.</w:t>
      </w:r>
    </w:p>
    <w:p w14:paraId="77DC5240" w14:textId="77777777" w:rsidR="009B32AB" w:rsidRDefault="009B32AB" w:rsidP="009B32AB">
      <w:pPr>
        <w:ind w:left="360"/>
      </w:pPr>
      <w:r>
        <w:t>Standard Deviation (2.949): The wealth index varies across different locations, with values ranging from 1 to 10.</w:t>
      </w:r>
    </w:p>
    <w:p w14:paraId="5B848FA5" w14:textId="6FADC144" w:rsidR="009B32AB" w:rsidRDefault="009B32AB" w:rsidP="009B32AB">
      <w:r>
        <w:t>-</w:t>
      </w:r>
      <w:r>
        <w:t xml:space="preserve"> Is variation in Deductible important? If so, why?</w:t>
      </w:r>
    </w:p>
    <w:p w14:paraId="37D8D97E" w14:textId="7DC53314" w:rsidR="009B32AB" w:rsidRDefault="009B32AB" w:rsidP="009B32AB">
      <w:pPr>
        <w:ind w:firstLine="720"/>
      </w:pPr>
      <w:r>
        <w:t>The variation in Deductible is important for several reasons:</w:t>
      </w:r>
    </w:p>
    <w:p w14:paraId="151C7A10" w14:textId="77777777" w:rsidR="009B32AB" w:rsidRDefault="009B32AB" w:rsidP="009B32AB">
      <w:pPr>
        <w:pStyle w:val="ListParagraph"/>
        <w:numPr>
          <w:ilvl w:val="0"/>
          <w:numId w:val="3"/>
        </w:numPr>
      </w:pPr>
      <w:r>
        <w:t>Risk Management:</w:t>
      </w:r>
    </w:p>
    <w:p w14:paraId="4D5E800E" w14:textId="1E915796" w:rsidR="009B32AB" w:rsidRDefault="009B32AB" w:rsidP="009B32AB">
      <w:pPr>
        <w:pStyle w:val="ListParagraph"/>
      </w:pPr>
      <w:r>
        <w:t>Understanding the variability in deductible amounts is crucial for risk management. Higher variability may indicate a broader range of potential financial risks for the insurance provider. This variability could affect the company's ability to predict and manage financial exposure.</w:t>
      </w:r>
    </w:p>
    <w:p w14:paraId="3D6369A3" w14:textId="77777777" w:rsidR="009B32AB" w:rsidRDefault="009B32AB" w:rsidP="009B32AB">
      <w:pPr>
        <w:pStyle w:val="ListParagraph"/>
        <w:numPr>
          <w:ilvl w:val="0"/>
          <w:numId w:val="3"/>
        </w:numPr>
      </w:pPr>
      <w:r>
        <w:t>Customer Behavior:</w:t>
      </w:r>
    </w:p>
    <w:p w14:paraId="6C3243B9" w14:textId="0B29CE77" w:rsidR="009B32AB" w:rsidRDefault="009B32AB" w:rsidP="009B32AB">
      <w:pPr>
        <w:pStyle w:val="ListParagraph"/>
      </w:pPr>
      <w:r>
        <w:t>Variability in deductible amounts may reflect differences in customer behavior and preferences. Some customers may opt for higher deductibles to lower their premium costs, while others may choose lower deductibles for more predictable out-of-pocket expenses. Insurers need to be aware of these preferences to tailor their offerings effectively.</w:t>
      </w:r>
    </w:p>
    <w:p w14:paraId="5F5D125B" w14:textId="77777777" w:rsidR="009B32AB" w:rsidRDefault="009B32AB" w:rsidP="009B32AB">
      <w:pPr>
        <w:pStyle w:val="ListParagraph"/>
        <w:numPr>
          <w:ilvl w:val="0"/>
          <w:numId w:val="3"/>
        </w:numPr>
      </w:pPr>
      <w:r>
        <w:t>Profitability and Pricing:</w:t>
      </w:r>
    </w:p>
    <w:p w14:paraId="10961A88" w14:textId="77777777" w:rsidR="009B32AB" w:rsidRDefault="009B32AB" w:rsidP="009B32AB">
      <w:pPr>
        <w:pStyle w:val="ListParagraph"/>
      </w:pPr>
      <w:r>
        <w:t>The variation in deductible amounts can impact the profitability of insurance products. Insurers set premiums based on their expectations of future claims and associated costs. Understanding the range of deductibles helps insurers determine appropriate pricing strategies to remain competitive while ensuring profitability.</w:t>
      </w:r>
    </w:p>
    <w:p w14:paraId="30FD9C24" w14:textId="77777777" w:rsidR="009B32AB" w:rsidRDefault="009B32AB" w:rsidP="009B32AB"/>
    <w:p w14:paraId="00D2EF55" w14:textId="62036834" w:rsidR="009B32AB" w:rsidRPr="00410620" w:rsidRDefault="009B32AB" w:rsidP="009B32AB">
      <w:pPr>
        <w:rPr>
          <w:b/>
          <w:bCs/>
          <w:sz w:val="28"/>
          <w:szCs w:val="28"/>
        </w:rPr>
      </w:pPr>
      <w:r w:rsidRPr="00410620">
        <w:rPr>
          <w:b/>
          <w:bCs/>
          <w:sz w:val="28"/>
          <w:szCs w:val="28"/>
        </w:rPr>
        <w:t xml:space="preserve">2. </w:t>
      </w:r>
      <w:r w:rsidRPr="00410620">
        <w:rPr>
          <w:b/>
          <w:bCs/>
          <w:sz w:val="28"/>
          <w:szCs w:val="28"/>
        </w:rPr>
        <w:t>Explain the results for Deductible in Table A.5</w:t>
      </w:r>
    </w:p>
    <w:tbl>
      <w:tblPr>
        <w:tblStyle w:val="TableGrid"/>
        <w:tblW w:w="0" w:type="auto"/>
        <w:tblLook w:val="04A0" w:firstRow="1" w:lastRow="0" w:firstColumn="1" w:lastColumn="0" w:noHBand="0" w:noVBand="1"/>
      </w:tblPr>
      <w:tblGrid>
        <w:gridCol w:w="2242"/>
        <w:gridCol w:w="1261"/>
        <w:gridCol w:w="1522"/>
        <w:gridCol w:w="1008"/>
        <w:gridCol w:w="875"/>
        <w:gridCol w:w="1011"/>
        <w:gridCol w:w="1205"/>
      </w:tblGrid>
      <w:tr w:rsidR="009B32AB" w:rsidRPr="00EA158C" w14:paraId="7ED308F4" w14:textId="77777777" w:rsidTr="000B38C1">
        <w:tc>
          <w:tcPr>
            <w:tcW w:w="2242" w:type="dxa"/>
          </w:tcPr>
          <w:p w14:paraId="0C0019CA" w14:textId="77777777" w:rsidR="009B32AB" w:rsidRPr="00EA158C" w:rsidRDefault="009B32AB" w:rsidP="000B38C1"/>
        </w:tc>
        <w:tc>
          <w:tcPr>
            <w:tcW w:w="481" w:type="dxa"/>
          </w:tcPr>
          <w:p w14:paraId="7AEA01DE" w14:textId="77777777" w:rsidR="009B32AB" w:rsidRPr="00EA158C" w:rsidRDefault="009B32AB" w:rsidP="000B38C1">
            <w:r>
              <w:t>Coefficients</w:t>
            </w:r>
          </w:p>
        </w:tc>
        <w:tc>
          <w:tcPr>
            <w:tcW w:w="0" w:type="auto"/>
          </w:tcPr>
          <w:p w14:paraId="7E569748" w14:textId="77777777" w:rsidR="009B32AB" w:rsidRPr="00EA158C" w:rsidRDefault="009B32AB" w:rsidP="000B38C1">
            <w:r>
              <w:t>Standard error</w:t>
            </w:r>
          </w:p>
        </w:tc>
        <w:tc>
          <w:tcPr>
            <w:tcW w:w="0" w:type="auto"/>
          </w:tcPr>
          <w:p w14:paraId="5AF6AC40" w14:textId="77777777" w:rsidR="009B32AB" w:rsidRPr="00EA158C" w:rsidRDefault="009B32AB" w:rsidP="000B38C1">
            <w:r>
              <w:t>t-stat</w:t>
            </w:r>
          </w:p>
        </w:tc>
        <w:tc>
          <w:tcPr>
            <w:tcW w:w="0" w:type="auto"/>
          </w:tcPr>
          <w:p w14:paraId="443B0045" w14:textId="77777777" w:rsidR="009B32AB" w:rsidRPr="00EA158C" w:rsidRDefault="009B32AB" w:rsidP="000B38C1">
            <w:r>
              <w:t>p-value</w:t>
            </w:r>
          </w:p>
        </w:tc>
        <w:tc>
          <w:tcPr>
            <w:tcW w:w="0" w:type="auto"/>
          </w:tcPr>
          <w:p w14:paraId="26863BEC" w14:textId="77777777" w:rsidR="009B32AB" w:rsidRPr="00EA158C" w:rsidRDefault="009B32AB" w:rsidP="000B38C1">
            <w:r>
              <w:t>Low 95%</w:t>
            </w:r>
          </w:p>
        </w:tc>
        <w:tc>
          <w:tcPr>
            <w:tcW w:w="0" w:type="auto"/>
          </w:tcPr>
          <w:p w14:paraId="06B592F2" w14:textId="77777777" w:rsidR="009B32AB" w:rsidRPr="00EA158C" w:rsidRDefault="009B32AB" w:rsidP="000B38C1">
            <w:r>
              <w:t xml:space="preserve">Upper 95% </w:t>
            </w:r>
          </w:p>
        </w:tc>
      </w:tr>
      <w:tr w:rsidR="009B32AB" w:rsidRPr="00EA158C" w14:paraId="2481B94B" w14:textId="77777777" w:rsidTr="000B38C1">
        <w:tc>
          <w:tcPr>
            <w:tcW w:w="2242" w:type="dxa"/>
          </w:tcPr>
          <w:p w14:paraId="010B7DF1" w14:textId="77777777" w:rsidR="009B32AB" w:rsidRPr="00EA158C" w:rsidRDefault="009B32AB" w:rsidP="000B38C1">
            <w:r w:rsidRPr="00EA158C">
              <w:t>Intercept</w:t>
            </w:r>
          </w:p>
        </w:tc>
        <w:tc>
          <w:tcPr>
            <w:tcW w:w="481" w:type="dxa"/>
          </w:tcPr>
          <w:p w14:paraId="30EB3F6C" w14:textId="77777777" w:rsidR="009B32AB" w:rsidRPr="00EA158C" w:rsidRDefault="009B32AB" w:rsidP="000B38C1">
            <w:r w:rsidRPr="00EA158C">
              <w:t>29.1421</w:t>
            </w:r>
          </w:p>
        </w:tc>
        <w:tc>
          <w:tcPr>
            <w:tcW w:w="0" w:type="auto"/>
          </w:tcPr>
          <w:p w14:paraId="4BECE6E7" w14:textId="77777777" w:rsidR="009B32AB" w:rsidRPr="00EA158C" w:rsidRDefault="009B32AB" w:rsidP="000B38C1">
            <w:r w:rsidRPr="00EA158C">
              <w:t>17911</w:t>
            </w:r>
          </w:p>
        </w:tc>
        <w:tc>
          <w:tcPr>
            <w:tcW w:w="0" w:type="auto"/>
          </w:tcPr>
          <w:p w14:paraId="5A631AFF" w14:textId="77777777" w:rsidR="009B32AB" w:rsidRPr="00EA158C" w:rsidRDefault="009B32AB" w:rsidP="000B38C1">
            <w:r w:rsidRPr="00EA158C">
              <w:t>16.2704</w:t>
            </w:r>
          </w:p>
        </w:tc>
        <w:tc>
          <w:tcPr>
            <w:tcW w:w="0" w:type="auto"/>
          </w:tcPr>
          <w:p w14:paraId="270FA086" w14:textId="77777777" w:rsidR="009B32AB" w:rsidRPr="00EA158C" w:rsidRDefault="009B32AB" w:rsidP="000B38C1">
            <w:r w:rsidRPr="00EA158C">
              <w:t>0.0000</w:t>
            </w:r>
          </w:p>
        </w:tc>
        <w:tc>
          <w:tcPr>
            <w:tcW w:w="0" w:type="auto"/>
          </w:tcPr>
          <w:p w14:paraId="1D8E0023" w14:textId="77777777" w:rsidR="009B32AB" w:rsidRPr="00EA158C" w:rsidRDefault="009B32AB" w:rsidP="000B38C1">
            <w:r w:rsidRPr="00EA158C">
              <w:t>25.6229</w:t>
            </w:r>
          </w:p>
        </w:tc>
        <w:tc>
          <w:tcPr>
            <w:tcW w:w="0" w:type="auto"/>
          </w:tcPr>
          <w:p w14:paraId="6BA7EED1" w14:textId="77777777" w:rsidR="009B32AB" w:rsidRPr="00EA158C" w:rsidRDefault="009B32AB" w:rsidP="000B38C1">
            <w:r w:rsidRPr="00EA158C">
              <w:t>32.6612</w:t>
            </w:r>
          </w:p>
        </w:tc>
      </w:tr>
      <w:tr w:rsidR="009B32AB" w:rsidRPr="00EA158C" w14:paraId="70D5417F" w14:textId="77777777" w:rsidTr="000B38C1">
        <w:tc>
          <w:tcPr>
            <w:tcW w:w="2242" w:type="dxa"/>
          </w:tcPr>
          <w:p w14:paraId="1FAE4558" w14:textId="77777777" w:rsidR="009B32AB" w:rsidRPr="00EA158C" w:rsidRDefault="009B32AB" w:rsidP="000B38C1">
            <w:r w:rsidRPr="00EA158C">
              <w:t>Deductible</w:t>
            </w:r>
          </w:p>
        </w:tc>
        <w:tc>
          <w:tcPr>
            <w:tcW w:w="481" w:type="dxa"/>
          </w:tcPr>
          <w:p w14:paraId="7BA7054D" w14:textId="77777777" w:rsidR="009B32AB" w:rsidRPr="00EA158C" w:rsidRDefault="009B32AB" w:rsidP="000B38C1">
            <w:r>
              <w:t>-</w:t>
            </w:r>
            <w:r w:rsidRPr="00EA158C">
              <w:t>0.0323</w:t>
            </w:r>
          </w:p>
        </w:tc>
        <w:tc>
          <w:tcPr>
            <w:tcW w:w="0" w:type="auto"/>
          </w:tcPr>
          <w:p w14:paraId="51834DFD" w14:textId="77777777" w:rsidR="009B32AB" w:rsidRPr="00EA158C" w:rsidRDefault="009B32AB" w:rsidP="000B38C1">
            <w:r w:rsidRPr="00EA158C">
              <w:t>0.0007</w:t>
            </w:r>
          </w:p>
        </w:tc>
        <w:tc>
          <w:tcPr>
            <w:tcW w:w="0" w:type="auto"/>
          </w:tcPr>
          <w:p w14:paraId="3553B5DB" w14:textId="77777777" w:rsidR="009B32AB" w:rsidRPr="00EA158C" w:rsidRDefault="009B32AB" w:rsidP="000B38C1">
            <w:r>
              <w:t>-</w:t>
            </w:r>
            <w:r w:rsidRPr="00EA158C">
              <w:t>44.0612</w:t>
            </w:r>
          </w:p>
        </w:tc>
        <w:tc>
          <w:tcPr>
            <w:tcW w:w="0" w:type="auto"/>
          </w:tcPr>
          <w:p w14:paraId="67746F51" w14:textId="77777777" w:rsidR="009B32AB" w:rsidRPr="00EA158C" w:rsidRDefault="009B32AB" w:rsidP="000B38C1">
            <w:r w:rsidRPr="00EA158C">
              <w:t>0.0000</w:t>
            </w:r>
          </w:p>
        </w:tc>
        <w:tc>
          <w:tcPr>
            <w:tcW w:w="0" w:type="auto"/>
          </w:tcPr>
          <w:p w14:paraId="78DF71AE" w14:textId="77777777" w:rsidR="009B32AB" w:rsidRPr="00EA158C" w:rsidRDefault="009B32AB" w:rsidP="000B38C1">
            <w:r>
              <w:t>-</w:t>
            </w:r>
            <w:r w:rsidRPr="00EA158C">
              <w:t>0.0337.</w:t>
            </w:r>
          </w:p>
        </w:tc>
        <w:tc>
          <w:tcPr>
            <w:tcW w:w="0" w:type="auto"/>
          </w:tcPr>
          <w:p w14:paraId="2F1918B2" w14:textId="77777777" w:rsidR="009B32AB" w:rsidRPr="00EA158C" w:rsidRDefault="009B32AB" w:rsidP="000B38C1">
            <w:r w:rsidRPr="00EA158C">
              <w:t>-0.0309</w:t>
            </w:r>
          </w:p>
        </w:tc>
      </w:tr>
      <w:tr w:rsidR="009B32AB" w:rsidRPr="00EA158C" w14:paraId="6F6D33A5" w14:textId="77777777" w:rsidTr="000B38C1">
        <w:tc>
          <w:tcPr>
            <w:tcW w:w="2242" w:type="dxa"/>
          </w:tcPr>
          <w:p w14:paraId="403EA75D" w14:textId="77777777" w:rsidR="009B32AB" w:rsidRPr="00EA158C" w:rsidRDefault="009B32AB" w:rsidP="000B38C1">
            <w:r w:rsidRPr="00EA158C">
              <w:t>%</w:t>
            </w:r>
            <w:r>
              <w:t xml:space="preserve"> </w:t>
            </w:r>
            <w:r w:rsidRPr="00EA158C">
              <w:t>Between</w:t>
            </w:r>
            <w:r>
              <w:t xml:space="preserve"> </w:t>
            </w:r>
            <w:r w:rsidRPr="00EA158C">
              <w:t>25-65</w:t>
            </w:r>
          </w:p>
        </w:tc>
        <w:tc>
          <w:tcPr>
            <w:tcW w:w="481" w:type="dxa"/>
          </w:tcPr>
          <w:p w14:paraId="3EA768F0" w14:textId="77777777" w:rsidR="009B32AB" w:rsidRPr="00EA158C" w:rsidRDefault="009B32AB" w:rsidP="000B38C1">
            <w:r w:rsidRPr="00EA158C">
              <w:t>0.0028</w:t>
            </w:r>
          </w:p>
        </w:tc>
        <w:tc>
          <w:tcPr>
            <w:tcW w:w="0" w:type="auto"/>
          </w:tcPr>
          <w:p w14:paraId="377183F9" w14:textId="77777777" w:rsidR="009B32AB" w:rsidRPr="00EA158C" w:rsidRDefault="009B32AB" w:rsidP="000B38C1">
            <w:r w:rsidRPr="00EA158C">
              <w:t>0.0170</w:t>
            </w:r>
          </w:p>
        </w:tc>
        <w:tc>
          <w:tcPr>
            <w:tcW w:w="0" w:type="auto"/>
          </w:tcPr>
          <w:p w14:paraId="18E0B78F" w14:textId="77777777" w:rsidR="009B32AB" w:rsidRPr="00EA158C" w:rsidRDefault="009B32AB" w:rsidP="000B38C1">
            <w:r w:rsidRPr="00EA158C">
              <w:t>01631</w:t>
            </w:r>
          </w:p>
        </w:tc>
        <w:tc>
          <w:tcPr>
            <w:tcW w:w="0" w:type="auto"/>
          </w:tcPr>
          <w:p w14:paraId="7FEEA317" w14:textId="77777777" w:rsidR="009B32AB" w:rsidRPr="00EA158C" w:rsidRDefault="009B32AB" w:rsidP="000B38C1">
            <w:r w:rsidRPr="00EA158C">
              <w:t>0.8705</w:t>
            </w:r>
          </w:p>
        </w:tc>
        <w:tc>
          <w:tcPr>
            <w:tcW w:w="0" w:type="auto"/>
          </w:tcPr>
          <w:p w14:paraId="00F3A7C4" w14:textId="77777777" w:rsidR="009B32AB" w:rsidRPr="00EA158C" w:rsidRDefault="009B32AB" w:rsidP="000B38C1">
            <w:r w:rsidRPr="00EA158C">
              <w:t>-0.0307</w:t>
            </w:r>
          </w:p>
        </w:tc>
        <w:tc>
          <w:tcPr>
            <w:tcW w:w="0" w:type="auto"/>
          </w:tcPr>
          <w:p w14:paraId="1E77A7CD" w14:textId="77777777" w:rsidR="009B32AB" w:rsidRPr="00EA158C" w:rsidRDefault="009B32AB" w:rsidP="000B38C1">
            <w:r w:rsidRPr="00EA158C">
              <w:t>0.0362</w:t>
            </w:r>
          </w:p>
        </w:tc>
      </w:tr>
      <w:tr w:rsidR="009B32AB" w:rsidRPr="00EA158C" w14:paraId="6202379D" w14:textId="77777777" w:rsidTr="000B38C1">
        <w:tc>
          <w:tcPr>
            <w:tcW w:w="2242" w:type="dxa"/>
          </w:tcPr>
          <w:p w14:paraId="4B6333EB" w14:textId="77777777" w:rsidR="009B32AB" w:rsidRPr="00EA158C" w:rsidRDefault="009B32AB" w:rsidP="000B38C1">
            <w:r w:rsidRPr="00EA158C">
              <w:t>% Married</w:t>
            </w:r>
          </w:p>
        </w:tc>
        <w:tc>
          <w:tcPr>
            <w:tcW w:w="481" w:type="dxa"/>
          </w:tcPr>
          <w:p w14:paraId="37CBA10D" w14:textId="77777777" w:rsidR="009B32AB" w:rsidRPr="00EA158C" w:rsidRDefault="009B32AB" w:rsidP="000B38C1">
            <w:r>
              <w:t>-</w:t>
            </w:r>
            <w:r w:rsidRPr="00EA158C">
              <w:t>0.0352</w:t>
            </w:r>
          </w:p>
        </w:tc>
        <w:tc>
          <w:tcPr>
            <w:tcW w:w="0" w:type="auto"/>
          </w:tcPr>
          <w:p w14:paraId="19EE5208" w14:textId="77777777" w:rsidR="009B32AB" w:rsidRPr="00EA158C" w:rsidRDefault="009B32AB" w:rsidP="000B38C1">
            <w:r w:rsidRPr="00EA158C">
              <w:t>0.0145</w:t>
            </w:r>
          </w:p>
        </w:tc>
        <w:tc>
          <w:tcPr>
            <w:tcW w:w="0" w:type="auto"/>
          </w:tcPr>
          <w:p w14:paraId="66CDBC5E" w14:textId="77777777" w:rsidR="009B32AB" w:rsidRPr="00EA158C" w:rsidRDefault="009B32AB" w:rsidP="000B38C1">
            <w:r w:rsidRPr="00EA158C">
              <w:t>-2</w:t>
            </w:r>
            <w:r>
              <w:t>.</w:t>
            </w:r>
            <w:r w:rsidRPr="00EA158C">
              <w:t>4286</w:t>
            </w:r>
          </w:p>
        </w:tc>
        <w:tc>
          <w:tcPr>
            <w:tcW w:w="0" w:type="auto"/>
          </w:tcPr>
          <w:p w14:paraId="7DC05C94" w14:textId="77777777" w:rsidR="009B32AB" w:rsidRPr="00EA158C" w:rsidRDefault="009B32AB" w:rsidP="000B38C1">
            <w:r w:rsidRPr="00EA158C">
              <w:t>0.01</w:t>
            </w:r>
            <w:r>
              <w:t>5</w:t>
            </w:r>
            <w:r w:rsidRPr="00EA158C">
              <w:t>5</w:t>
            </w:r>
          </w:p>
        </w:tc>
        <w:tc>
          <w:tcPr>
            <w:tcW w:w="0" w:type="auto"/>
          </w:tcPr>
          <w:p w14:paraId="57AC9253" w14:textId="77777777" w:rsidR="009B32AB" w:rsidRPr="00EA158C" w:rsidRDefault="009B32AB" w:rsidP="000B38C1">
            <w:r>
              <w:t>-</w:t>
            </w:r>
            <w:r w:rsidRPr="00EA158C">
              <w:t>0.0636</w:t>
            </w:r>
          </w:p>
        </w:tc>
        <w:tc>
          <w:tcPr>
            <w:tcW w:w="0" w:type="auto"/>
          </w:tcPr>
          <w:p w14:paraId="12765E09" w14:textId="77777777" w:rsidR="009B32AB" w:rsidRPr="00EA158C" w:rsidRDefault="009B32AB" w:rsidP="000B38C1">
            <w:r w:rsidRPr="00EA158C">
              <w:t>-0.0067</w:t>
            </w:r>
          </w:p>
        </w:tc>
      </w:tr>
      <w:tr w:rsidR="009B32AB" w:rsidRPr="00EA158C" w14:paraId="5535DCC2" w14:textId="77777777" w:rsidTr="000B38C1">
        <w:tc>
          <w:tcPr>
            <w:tcW w:w="2242" w:type="dxa"/>
          </w:tcPr>
          <w:p w14:paraId="0A1C72A8" w14:textId="77777777" w:rsidR="009B32AB" w:rsidRPr="00EA158C" w:rsidRDefault="009B32AB" w:rsidP="000B38C1">
            <w:r w:rsidRPr="00EA158C">
              <w:t>Traffic</w:t>
            </w:r>
            <w:r>
              <w:t xml:space="preserve"> Index</w:t>
            </w:r>
          </w:p>
        </w:tc>
        <w:tc>
          <w:tcPr>
            <w:tcW w:w="481" w:type="dxa"/>
          </w:tcPr>
          <w:p w14:paraId="00674ABC" w14:textId="77777777" w:rsidR="009B32AB" w:rsidRPr="00EA158C" w:rsidRDefault="009B32AB" w:rsidP="000B38C1">
            <w:r w:rsidRPr="00EA158C">
              <w:t>0.0340</w:t>
            </w:r>
          </w:p>
        </w:tc>
        <w:tc>
          <w:tcPr>
            <w:tcW w:w="0" w:type="auto"/>
          </w:tcPr>
          <w:p w14:paraId="15AACE83" w14:textId="77777777" w:rsidR="009B32AB" w:rsidRPr="00EA158C" w:rsidRDefault="009B32AB" w:rsidP="000B38C1">
            <w:r w:rsidRPr="00EA158C">
              <w:t>.0</w:t>
            </w:r>
            <w:r>
              <w:t>5</w:t>
            </w:r>
            <w:r w:rsidRPr="00EA158C">
              <w:t>74</w:t>
            </w:r>
          </w:p>
        </w:tc>
        <w:tc>
          <w:tcPr>
            <w:tcW w:w="0" w:type="auto"/>
          </w:tcPr>
          <w:p w14:paraId="54C1449E" w14:textId="77777777" w:rsidR="009B32AB" w:rsidRPr="00EA158C" w:rsidRDefault="009B32AB" w:rsidP="000B38C1">
            <w:r w:rsidRPr="00EA158C">
              <w:t>0.5927</w:t>
            </w:r>
          </w:p>
        </w:tc>
        <w:tc>
          <w:tcPr>
            <w:tcW w:w="0" w:type="auto"/>
          </w:tcPr>
          <w:p w14:paraId="15723F1E" w14:textId="77777777" w:rsidR="009B32AB" w:rsidRPr="00EA158C" w:rsidRDefault="009B32AB" w:rsidP="000B38C1">
            <w:r w:rsidRPr="00EA158C">
              <w:t>0.5537</w:t>
            </w:r>
          </w:p>
        </w:tc>
        <w:tc>
          <w:tcPr>
            <w:tcW w:w="0" w:type="auto"/>
          </w:tcPr>
          <w:p w14:paraId="5AEC2628" w14:textId="77777777" w:rsidR="009B32AB" w:rsidRPr="00EA158C" w:rsidRDefault="009B32AB" w:rsidP="000B38C1">
            <w:r w:rsidRPr="00EA158C">
              <w:t>-0.0788</w:t>
            </w:r>
          </w:p>
        </w:tc>
        <w:tc>
          <w:tcPr>
            <w:tcW w:w="0" w:type="auto"/>
          </w:tcPr>
          <w:p w14:paraId="3080B894" w14:textId="77777777" w:rsidR="009B32AB" w:rsidRPr="00EA158C" w:rsidRDefault="009B32AB" w:rsidP="000B38C1">
            <w:r w:rsidRPr="00EA158C">
              <w:t>0.1468,</w:t>
            </w:r>
          </w:p>
        </w:tc>
      </w:tr>
      <w:tr w:rsidR="009B32AB" w:rsidRPr="00EA158C" w14:paraId="56EC3784" w14:textId="77777777" w:rsidTr="000B38C1">
        <w:tc>
          <w:tcPr>
            <w:tcW w:w="2242" w:type="dxa"/>
          </w:tcPr>
          <w:p w14:paraId="0E62D3E6" w14:textId="77777777" w:rsidR="009B32AB" w:rsidRPr="00EA158C" w:rsidRDefault="009B32AB" w:rsidP="000B38C1">
            <w:r w:rsidRPr="00EA158C">
              <w:t>Wealth</w:t>
            </w:r>
            <w:r>
              <w:t xml:space="preserve"> Index</w:t>
            </w:r>
          </w:p>
        </w:tc>
        <w:tc>
          <w:tcPr>
            <w:tcW w:w="481" w:type="dxa"/>
          </w:tcPr>
          <w:p w14:paraId="0067D4BB" w14:textId="77777777" w:rsidR="009B32AB" w:rsidRPr="00EA158C" w:rsidRDefault="009B32AB" w:rsidP="000B38C1">
            <w:r>
              <w:t>-</w:t>
            </w:r>
            <w:r w:rsidRPr="00EA158C">
              <w:t>0.</w:t>
            </w:r>
            <w:r>
              <w:t>0</w:t>
            </w:r>
            <w:r w:rsidRPr="00EA158C">
              <w:t>710</w:t>
            </w:r>
          </w:p>
        </w:tc>
        <w:tc>
          <w:tcPr>
            <w:tcW w:w="0" w:type="auto"/>
          </w:tcPr>
          <w:p w14:paraId="2A58C9ED" w14:textId="77777777" w:rsidR="009B32AB" w:rsidRPr="00EA158C" w:rsidRDefault="009B32AB" w:rsidP="000B38C1">
            <w:r>
              <w:t>0.</w:t>
            </w:r>
            <w:r w:rsidRPr="00EA158C">
              <w:t>0541</w:t>
            </w:r>
          </w:p>
        </w:tc>
        <w:tc>
          <w:tcPr>
            <w:tcW w:w="0" w:type="auto"/>
          </w:tcPr>
          <w:p w14:paraId="2B474139" w14:textId="77777777" w:rsidR="009B32AB" w:rsidRPr="00EA158C" w:rsidRDefault="009B32AB" w:rsidP="000B38C1">
            <w:r>
              <w:t>-</w:t>
            </w:r>
            <w:r w:rsidRPr="00EA158C">
              <w:t>1</w:t>
            </w:r>
            <w:r>
              <w:t>.</w:t>
            </w:r>
            <w:r w:rsidRPr="00EA158C">
              <w:t>3112</w:t>
            </w:r>
          </w:p>
        </w:tc>
        <w:tc>
          <w:tcPr>
            <w:tcW w:w="0" w:type="auto"/>
          </w:tcPr>
          <w:p w14:paraId="679DEB71" w14:textId="77777777" w:rsidR="009B32AB" w:rsidRPr="00EA158C" w:rsidRDefault="009B32AB" w:rsidP="000B38C1">
            <w:r w:rsidRPr="00EA158C">
              <w:t>0.1904</w:t>
            </w:r>
          </w:p>
        </w:tc>
        <w:tc>
          <w:tcPr>
            <w:tcW w:w="0" w:type="auto"/>
          </w:tcPr>
          <w:p w14:paraId="305E2FAF" w14:textId="77777777" w:rsidR="009B32AB" w:rsidRPr="00EA158C" w:rsidRDefault="009B32AB" w:rsidP="000B38C1">
            <w:r>
              <w:t>-</w:t>
            </w:r>
            <w:r w:rsidRPr="00EA158C">
              <w:t>0.1774</w:t>
            </w:r>
          </w:p>
        </w:tc>
        <w:tc>
          <w:tcPr>
            <w:tcW w:w="0" w:type="auto"/>
          </w:tcPr>
          <w:p w14:paraId="28581A0D" w14:textId="77777777" w:rsidR="009B32AB" w:rsidRPr="00EA158C" w:rsidRDefault="009B32AB" w:rsidP="000B38C1">
            <w:r w:rsidRPr="00EA158C">
              <w:t>0.0354</w:t>
            </w:r>
          </w:p>
        </w:tc>
      </w:tr>
    </w:tbl>
    <w:p w14:paraId="79033B1F" w14:textId="77777777" w:rsidR="009B32AB" w:rsidRDefault="009B32AB" w:rsidP="009B32AB"/>
    <w:p w14:paraId="75CA64D0" w14:textId="7E01DC99" w:rsidR="009B32AB" w:rsidRDefault="009B32AB" w:rsidP="009B32AB">
      <w:r>
        <w:t>a. What does the point estimate mean?</w:t>
      </w:r>
    </w:p>
    <w:p w14:paraId="708A7160" w14:textId="77777777" w:rsidR="009B32AB" w:rsidRDefault="009B32AB" w:rsidP="009B32AB">
      <w:pPr>
        <w:ind w:left="720"/>
      </w:pPr>
      <w:r>
        <w:t>The point estimate is the calculated value from sample data used to estimate an unknown parameter. In regression, the Deductible coefficient (-0.0323) implies an average decrease of 0.0323 units in the claim rate for each one-unit increase in Deductible.</w:t>
      </w:r>
    </w:p>
    <w:p w14:paraId="655606B3" w14:textId="778A2238" w:rsidR="009B32AB" w:rsidRDefault="009B32AB" w:rsidP="009B32AB">
      <w:r>
        <w:t>b. What does the p-value mean?</w:t>
      </w:r>
    </w:p>
    <w:p w14:paraId="304BFD42" w14:textId="77777777" w:rsidR="009B32AB" w:rsidRDefault="009B32AB" w:rsidP="009B32AB">
      <w:pPr>
        <w:ind w:left="720"/>
      </w:pPr>
      <w:r>
        <w:t>The p-value measures evidence against a null hypothesis in regression. A low p-value (e.g., 0.0000 for Deductible) indicates strong evidence that the predictor has a significant effect on the dependent variable (claim rate).</w:t>
      </w:r>
    </w:p>
    <w:p w14:paraId="1BDB26FF" w14:textId="31E6B3CF" w:rsidR="009B32AB" w:rsidRDefault="009B32AB" w:rsidP="009B32AB">
      <w:r>
        <w:t>c. What do the upper and lower bounds for the 95% confidence interval mean?</w:t>
      </w:r>
    </w:p>
    <w:p w14:paraId="4BE83C8A" w14:textId="4173BF02" w:rsidR="009B32AB" w:rsidRDefault="009B32AB" w:rsidP="009B32AB">
      <w:pPr>
        <w:ind w:left="720"/>
      </w:pPr>
      <w:r>
        <w:t>The 95% confidence interval provides a range where we are 95% confident the true population parameter lies. For Deductible (-0.0337, -0.0309), we are confident the true effect on claim rate lies within this range, not including zero, emphasizing the significance of Deductible in predicting claim rates.</w:t>
      </w:r>
    </w:p>
    <w:p w14:paraId="08371845" w14:textId="32B7DA2F" w:rsidR="009B32AB" w:rsidRPr="00410620" w:rsidRDefault="009B32AB" w:rsidP="009B32AB">
      <w:pPr>
        <w:rPr>
          <w:b/>
          <w:bCs/>
          <w:sz w:val="28"/>
          <w:szCs w:val="28"/>
        </w:rPr>
      </w:pPr>
      <w:r w:rsidRPr="00410620">
        <w:rPr>
          <w:b/>
          <w:bCs/>
          <w:sz w:val="28"/>
          <w:szCs w:val="28"/>
        </w:rPr>
        <w:t xml:space="preserve">3. </w:t>
      </w:r>
      <w:r w:rsidRPr="00410620">
        <w:rPr>
          <w:b/>
          <w:bCs/>
          <w:sz w:val="28"/>
          <w:szCs w:val="28"/>
        </w:rPr>
        <w:t>What purpose does including variables besides Deductible in the regression serve?</w:t>
      </w:r>
    </w:p>
    <w:p w14:paraId="2E060E33" w14:textId="1FF776C0" w:rsidR="009B32AB" w:rsidRDefault="009B32AB" w:rsidP="009B32AB">
      <w:pPr>
        <w:ind w:left="720"/>
      </w:pPr>
      <w:r>
        <w:t>Control Confounding:</w:t>
      </w:r>
    </w:p>
    <w:p w14:paraId="395B781E" w14:textId="77777777" w:rsidR="009B32AB" w:rsidRDefault="009B32AB" w:rsidP="009B32AB">
      <w:pPr>
        <w:ind w:left="720"/>
      </w:pPr>
      <w:r>
        <w:t>It ensures we account for other factors that might affect both Deductible and claim rates, avoiding misleading conclusions.</w:t>
      </w:r>
    </w:p>
    <w:p w14:paraId="1DB57FE7" w14:textId="739354AD" w:rsidR="009B32AB" w:rsidRDefault="009B32AB" w:rsidP="009B32AB">
      <w:pPr>
        <w:ind w:left="720"/>
      </w:pPr>
      <w:r>
        <w:t>Improve Accuracy:</w:t>
      </w:r>
    </w:p>
    <w:p w14:paraId="56F874FE" w14:textId="77777777" w:rsidR="009B32AB" w:rsidRDefault="009B32AB" w:rsidP="009B32AB">
      <w:pPr>
        <w:ind w:left="720"/>
      </w:pPr>
      <w:r>
        <w:t>Additional variables give a more accurate picture by considering various factors influencing the outcome, not just Deductible.</w:t>
      </w:r>
    </w:p>
    <w:p w14:paraId="4F64D04D" w14:textId="76246223" w:rsidR="009B32AB" w:rsidRDefault="009B32AB" w:rsidP="009B32AB">
      <w:pPr>
        <w:ind w:left="720"/>
      </w:pPr>
      <w:r>
        <w:t>Capture Relationships:</w:t>
      </w:r>
    </w:p>
    <w:p w14:paraId="6A9CB955" w14:textId="197EE8A5" w:rsidR="00410620" w:rsidRDefault="009B32AB" w:rsidP="00410620">
      <w:pPr>
        <w:ind w:left="720"/>
      </w:pPr>
      <w:r>
        <w:t>It lets us see how different variables interact and affect the claim rate together.</w:t>
      </w:r>
    </w:p>
    <w:p w14:paraId="3A9C28D6" w14:textId="77777777" w:rsidR="00410620" w:rsidRPr="00410620" w:rsidRDefault="00410620" w:rsidP="00410620">
      <w:pPr>
        <w:rPr>
          <w:b/>
          <w:bCs/>
          <w:sz w:val="28"/>
          <w:szCs w:val="28"/>
        </w:rPr>
      </w:pPr>
      <w:r w:rsidRPr="00410620">
        <w:rPr>
          <w:b/>
          <w:bCs/>
          <w:sz w:val="28"/>
          <w:szCs w:val="28"/>
        </w:rPr>
        <w:t xml:space="preserve">4. </w:t>
      </w:r>
      <w:r w:rsidRPr="00410620">
        <w:rPr>
          <w:b/>
          <w:bCs/>
          <w:sz w:val="28"/>
          <w:szCs w:val="28"/>
        </w:rPr>
        <w:t>Are the variables besides Deductible that are in the regression all controls, or do any play the role of a proxy</w:t>
      </w:r>
    </w:p>
    <w:p w14:paraId="533D0223" w14:textId="4AB7A94A" w:rsidR="00410620" w:rsidRDefault="00410620" w:rsidP="00410620">
      <w:r>
        <w:t>variable? What is the difference</w:t>
      </w:r>
      <w:r>
        <w:t>?</w:t>
      </w:r>
    </w:p>
    <w:p w14:paraId="53ED597A" w14:textId="00F9334F" w:rsidR="00410620" w:rsidRDefault="00410620" w:rsidP="00410620">
      <w:pPr>
        <w:ind w:left="720"/>
      </w:pPr>
      <w:r>
        <w:t xml:space="preserve">Control variables in a regression model manage the influence of factors not the </w:t>
      </w:r>
      <w:r>
        <w:t>focus</w:t>
      </w:r>
      <w:r>
        <w:t>, preventing distortion of the primary predictor's impact. In the given results, % Between 25-65, % Married, Traffic Index, and Wealth Index may serve as control variables.</w:t>
      </w:r>
    </w:p>
    <w:p w14:paraId="4763B090" w14:textId="538E7D61" w:rsidR="00410620" w:rsidRDefault="00410620" w:rsidP="00410620">
      <w:pPr>
        <w:ind w:left="720"/>
      </w:pPr>
      <w:r>
        <w:t>Proxy variables act as substitutes for hard-to-measure factors, assuming they correlate with the unobservable variable. In the regression results, none explicitly serve as proxies; they represent observable characteristics.</w:t>
      </w:r>
    </w:p>
    <w:p w14:paraId="5ADABBB6" w14:textId="5D9CF3F9" w:rsidR="00410620" w:rsidRDefault="00410620" w:rsidP="00410620">
      <w:r>
        <w:t>And the difference:</w:t>
      </w:r>
    </w:p>
    <w:p w14:paraId="4AFCF080" w14:textId="524A7602" w:rsidR="00410620" w:rsidRDefault="00410620" w:rsidP="00410620">
      <w:pPr>
        <w:ind w:left="720"/>
      </w:pPr>
      <w:r>
        <w:t>Control Variables: Included to account for the influence of known factors on the dependent variable, reducing the risk of confounding.</w:t>
      </w:r>
    </w:p>
    <w:p w14:paraId="1D48CA1A" w14:textId="64A34B85" w:rsidR="00410620" w:rsidRDefault="00410620" w:rsidP="00410620">
      <w:pPr>
        <w:ind w:left="720"/>
      </w:pPr>
      <w:r>
        <w:t>Proxy Variables: Used as substitutes for unobservable or challenging-to-measure factors, aiming to capture their effects indirectly.</w:t>
      </w:r>
    </w:p>
    <w:p w14:paraId="0B2EC6DC" w14:textId="68B3E7AE" w:rsidR="009B32AB" w:rsidRPr="00410620" w:rsidRDefault="00410620" w:rsidP="00410620">
      <w:pPr>
        <w:rPr>
          <w:b/>
          <w:bCs/>
          <w:sz w:val="28"/>
          <w:szCs w:val="28"/>
        </w:rPr>
      </w:pPr>
      <w:r w:rsidRPr="00410620">
        <w:rPr>
          <w:b/>
          <w:bCs/>
          <w:sz w:val="28"/>
          <w:szCs w:val="28"/>
        </w:rPr>
        <w:t xml:space="preserve">5 and 6. </w:t>
      </w:r>
      <w:r w:rsidRPr="00410620">
        <w:rPr>
          <w:b/>
          <w:bCs/>
          <w:sz w:val="28"/>
          <w:szCs w:val="28"/>
        </w:rPr>
        <w:t>Predict the effect of raising the policy deductible by $200 on claim rates</w:t>
      </w:r>
      <w:r w:rsidRPr="00410620">
        <w:rPr>
          <w:b/>
          <w:bCs/>
          <w:sz w:val="28"/>
          <w:szCs w:val="28"/>
        </w:rPr>
        <w:t>.</w:t>
      </w:r>
    </w:p>
    <w:p w14:paraId="744473E6" w14:textId="5FAF38AB" w:rsidR="00410620" w:rsidRDefault="00410620" w:rsidP="00410620">
      <w:r w:rsidRPr="00410620">
        <w:t>the Deductible coefficient is -0.0323</w:t>
      </w:r>
      <w:r>
        <w:t>.</w:t>
      </w:r>
    </w:p>
    <w:p w14:paraId="34DD7EDB" w14:textId="77777777" w:rsidR="00410620" w:rsidRDefault="00410620" w:rsidP="00410620">
      <w:r>
        <w:t>Change in Claim Rate = Deductible Coefficient * Change in Deductible</w:t>
      </w:r>
    </w:p>
    <w:p w14:paraId="76346329" w14:textId="2F5ED9B2" w:rsidR="00410620" w:rsidRDefault="00410620" w:rsidP="00410620">
      <w:pPr>
        <w:ind w:left="1440"/>
      </w:pPr>
      <w:r>
        <w:t xml:space="preserve">          </w:t>
      </w:r>
      <w:r>
        <w:t>= -0.0323 * 200</w:t>
      </w:r>
      <w:r>
        <w:t xml:space="preserve"> </w:t>
      </w:r>
      <w:r>
        <w:tab/>
      </w:r>
      <w:r>
        <w:t>= -6.46</w:t>
      </w:r>
    </w:p>
    <w:p w14:paraId="3C9E2CC2" w14:textId="698B82B9" w:rsidR="00410620" w:rsidRDefault="00410620" w:rsidP="00410620">
      <w:pPr>
        <w:pStyle w:val="ListParagraph"/>
        <w:numPr>
          <w:ilvl w:val="0"/>
          <w:numId w:val="4"/>
        </w:numPr>
      </w:pPr>
      <w:r w:rsidRPr="00410620">
        <w:t>The predicted effect is a decrease of 6.46 units in the claim rate for a $200 increase in the policy deductible</w:t>
      </w:r>
      <w:r>
        <w:t>.</w:t>
      </w:r>
    </w:p>
    <w:sectPr w:rsidR="00410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FFB"/>
    <w:multiLevelType w:val="hybridMultilevel"/>
    <w:tmpl w:val="678C00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82832"/>
    <w:multiLevelType w:val="hybridMultilevel"/>
    <w:tmpl w:val="5C049F52"/>
    <w:lvl w:ilvl="0" w:tplc="8F146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885FD0"/>
    <w:multiLevelType w:val="hybridMultilevel"/>
    <w:tmpl w:val="983CA75E"/>
    <w:lvl w:ilvl="0" w:tplc="54CA1F4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F39D9"/>
    <w:multiLevelType w:val="hybridMultilevel"/>
    <w:tmpl w:val="D458ECFE"/>
    <w:lvl w:ilvl="0" w:tplc="8178460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465800">
    <w:abstractNumId w:val="0"/>
  </w:num>
  <w:num w:numId="2" w16cid:durableId="454253555">
    <w:abstractNumId w:val="3"/>
  </w:num>
  <w:num w:numId="3" w16cid:durableId="406732295">
    <w:abstractNumId w:val="1"/>
  </w:num>
  <w:num w:numId="4" w16cid:durableId="1533034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AB"/>
    <w:rsid w:val="0018386F"/>
    <w:rsid w:val="00410620"/>
    <w:rsid w:val="009B32AB"/>
    <w:rsid w:val="00B9439F"/>
    <w:rsid w:val="00E164D9"/>
    <w:rsid w:val="00E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FF67"/>
  <w15:chartTrackingRefBased/>
  <w15:docId w15:val="{734556DE-0BB1-4586-92DF-9887A2C3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0847">
      <w:bodyDiv w:val="1"/>
      <w:marLeft w:val="0"/>
      <w:marRight w:val="0"/>
      <w:marTop w:val="0"/>
      <w:marBottom w:val="0"/>
      <w:divBdr>
        <w:top w:val="none" w:sz="0" w:space="0" w:color="auto"/>
        <w:left w:val="none" w:sz="0" w:space="0" w:color="auto"/>
        <w:bottom w:val="none" w:sz="0" w:space="0" w:color="auto"/>
        <w:right w:val="none" w:sz="0" w:space="0" w:color="auto"/>
      </w:divBdr>
    </w:div>
    <w:div w:id="350567735">
      <w:bodyDiv w:val="1"/>
      <w:marLeft w:val="0"/>
      <w:marRight w:val="0"/>
      <w:marTop w:val="0"/>
      <w:marBottom w:val="0"/>
      <w:divBdr>
        <w:top w:val="none" w:sz="0" w:space="0" w:color="auto"/>
        <w:left w:val="none" w:sz="0" w:space="0" w:color="auto"/>
        <w:bottom w:val="none" w:sz="0" w:space="0" w:color="auto"/>
        <w:right w:val="none" w:sz="0" w:space="0" w:color="auto"/>
      </w:divBdr>
    </w:div>
    <w:div w:id="465896371">
      <w:bodyDiv w:val="1"/>
      <w:marLeft w:val="0"/>
      <w:marRight w:val="0"/>
      <w:marTop w:val="0"/>
      <w:marBottom w:val="0"/>
      <w:divBdr>
        <w:top w:val="none" w:sz="0" w:space="0" w:color="auto"/>
        <w:left w:val="none" w:sz="0" w:space="0" w:color="auto"/>
        <w:bottom w:val="none" w:sz="0" w:space="0" w:color="auto"/>
        <w:right w:val="none" w:sz="0" w:space="0" w:color="auto"/>
      </w:divBdr>
    </w:div>
    <w:div w:id="1311130225">
      <w:bodyDiv w:val="1"/>
      <w:marLeft w:val="0"/>
      <w:marRight w:val="0"/>
      <w:marTop w:val="0"/>
      <w:marBottom w:val="0"/>
      <w:divBdr>
        <w:top w:val="none" w:sz="0" w:space="0" w:color="auto"/>
        <w:left w:val="none" w:sz="0" w:space="0" w:color="auto"/>
        <w:bottom w:val="none" w:sz="0" w:space="0" w:color="auto"/>
        <w:right w:val="none" w:sz="0" w:space="0" w:color="auto"/>
      </w:divBdr>
    </w:div>
    <w:div w:id="1344746996">
      <w:bodyDiv w:val="1"/>
      <w:marLeft w:val="0"/>
      <w:marRight w:val="0"/>
      <w:marTop w:val="0"/>
      <w:marBottom w:val="0"/>
      <w:divBdr>
        <w:top w:val="none" w:sz="0" w:space="0" w:color="auto"/>
        <w:left w:val="none" w:sz="0" w:space="0" w:color="auto"/>
        <w:bottom w:val="none" w:sz="0" w:space="0" w:color="auto"/>
        <w:right w:val="none" w:sz="0" w:space="0" w:color="auto"/>
      </w:divBdr>
    </w:div>
    <w:div w:id="214585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Viet Nguyen</dc:creator>
  <cp:keywords/>
  <dc:description/>
  <cp:lastModifiedBy>Hoang Viet Nguyen</cp:lastModifiedBy>
  <cp:revision>1</cp:revision>
  <dcterms:created xsi:type="dcterms:W3CDTF">2023-11-28T01:28:00Z</dcterms:created>
  <dcterms:modified xsi:type="dcterms:W3CDTF">2023-11-28T01:49:00Z</dcterms:modified>
</cp:coreProperties>
</file>