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8F898" w14:textId="00280318" w:rsidR="002D67B4" w:rsidRDefault="008C1CAE" w:rsidP="008C1CAE">
      <w:pPr>
        <w:pStyle w:val="Title"/>
      </w:pPr>
      <w:r>
        <w:t>SHAMBAIQ HYBRID PRECISION AGRONOMY ARCHITECTURE</w:t>
      </w:r>
    </w:p>
    <w:p w14:paraId="42BDFD44" w14:textId="0DAA0369" w:rsidR="008C1CAE" w:rsidRDefault="008C1CAE" w:rsidP="008C1CAE">
      <w:pPr>
        <w:pStyle w:val="Subtitle"/>
      </w:pPr>
      <w:r>
        <w:t>Scientific Rationale and Rhizosphere Guardrails</w:t>
      </w:r>
    </w:p>
    <w:p w14:paraId="2B863254" w14:textId="564586B9" w:rsidR="008C1CAE" w:rsidRDefault="008C1CAE" w:rsidP="008C1CAE">
      <w:r>
        <w:t>Date: May 30, 2026</w:t>
      </w:r>
    </w:p>
    <w:p w14:paraId="0A448DF9" w14:textId="03074242" w:rsidR="008C1CAE" w:rsidRDefault="008C1CAE" w:rsidP="008C1CAE">
      <w:r>
        <w:t>Author: ShambaIQ Precision Advisory Team</w:t>
      </w:r>
    </w:p>
    <w:p w14:paraId="455835C4" w14:textId="77777777" w:rsidR="008C1CAE" w:rsidRDefault="008C1CAE" w:rsidP="008C1CAE"/>
    <w:p w14:paraId="5A2F6A50" w14:textId="77777777" w:rsidR="008C1CAE" w:rsidRDefault="008C1CAE" w:rsidP="008C1CAE"/>
    <w:p w14:paraId="0C7AA4CE" w14:textId="257EB6A8" w:rsidR="008C1CAE" w:rsidRDefault="008C1CAE" w:rsidP="008C1CAE">
      <w:pPr>
        <w:pStyle w:val="Heading1"/>
      </w:pPr>
    </w:p>
    <w:p w14:paraId="636434B1" w14:textId="228575AC" w:rsidR="008C1CAE" w:rsidRDefault="008C1CAE" w:rsidP="008C1CAE">
      <w:r>
        <w:t>Conventional agricultural advisory applications operate on a single, simplistic axis. Most guides only check basic legume-cereal pairing or canopy layers. In the highly diverse, weathered, and fragmented farm plots of Kenya, this simplistic advice frequently fails on the farm.</w:t>
      </w:r>
    </w:p>
    <w:p w14:paraId="1E0BC15B" w14:textId="240AF3F5" w:rsidR="008C1CAE" w:rsidRDefault="008C1CAE" w:rsidP="008C1CAE">
      <w:r>
        <w:t>The ShambaIQ Hybrid Precision Agronomy Architecture (SPAA) solves this by combining two distinct layers of agronomic intelligence. First, it uses pre-validated top-down regional crop packages that have been pre-audited to pass all biological filters. Second, it utilizes a bottom-up four-dimensional rhizosphere synergy engine to audit custom crop pairings and evaluate edge cases based on raw, real-time soil properties like pH and available phosphorus.</w:t>
      </w:r>
    </w:p>
    <w:p w14:paraId="01024B08" w14:textId="77777777" w:rsidR="008C1CAE" w:rsidRDefault="008C1CAE" w:rsidP="008C1CAE"/>
    <w:p w14:paraId="70C86EA7" w14:textId="3152188E" w:rsidR="008C1CAE" w:rsidRDefault="008C1CAE" w:rsidP="008C1CAE">
      <w:pPr>
        <w:pStyle w:val="Heading1"/>
      </w:pPr>
    </w:p>
    <w:p w14:paraId="44879CEB" w14:textId="219BAB01" w:rsidR="008C1CAE" w:rsidRDefault="008C1CAE" w:rsidP="008C1CAE">
      <w:r>
        <w:t>The bottom-up synergy engine evaluates any proposed crop combination across four independent biological filters. This ensures high-defensibility and prevents subterranean resource competition or chemical crop stunting.</w:t>
      </w:r>
    </w:p>
    <w:p w14:paraId="404076D7" w14:textId="77777777" w:rsidR="008C1CAE" w:rsidRDefault="008C1CAE" w:rsidP="008C1CAE"/>
    <w:p w14:paraId="40B3D2DC" w14:textId="04B89D65" w:rsidR="008C1CAE" w:rsidRDefault="008C1CAE" w:rsidP="008C1CAE">
      <w:pPr>
        <w:pStyle w:val="Heading2"/>
      </w:pPr>
    </w:p>
    <w:p w14:paraId="3B06B854" w14:textId="0BDA30D5" w:rsidR="008C1CAE" w:rsidRDefault="008C1CAE" w:rsidP="008C1CAE">
      <w:r>
        <w:t>Plant root networks are classified into three distinct layers to prevent underground resource competition:</w:t>
      </w:r>
    </w:p>
    <w:p w14:paraId="4C29A9A8" w14:textId="3D9E65F0" w:rsidR="008C1CAE" w:rsidRDefault="008C1CAE" w:rsidP="008C1CAE">
      <w:pPr>
        <w:pStyle w:val="ListBullet"/>
      </w:pPr>
      <w:r>
        <w:t>Feeder Zone (0-20cm): Shallow, fibrous roots (e.g. Maize, Finger Millet, Grasses). High demand for quick basal nutrients.</w:t>
      </w:r>
    </w:p>
    <w:p w14:paraId="6919E890" w14:textId="21FBDC25" w:rsidR="008C1CAE" w:rsidRDefault="008C1CAE" w:rsidP="008C1CAE">
      <w:pPr>
        <w:pStyle w:val="ListBullet"/>
      </w:pPr>
      <w:r>
        <w:t>Anchor Zone (20-60cm): Spreading lateral roots (e.g. Beans, Tomatoes, Cabbages).</w:t>
      </w:r>
    </w:p>
    <w:p w14:paraId="6B35DF46" w14:textId="0CC36270" w:rsidR="008C1CAE" w:rsidRDefault="008C1CAE" w:rsidP="008C1CAE">
      <w:pPr>
        <w:pStyle w:val="ListBullet"/>
      </w:pPr>
      <w:r>
        <w:t>Mining Zone (60-200cm+): Deep taproots (e.g. Pigeon Peas, Lucerne, Macadamia).</w:t>
      </w:r>
    </w:p>
    <w:p w14:paraId="3B517422" w14:textId="5ABE7740" w:rsidR="008C1CAE" w:rsidRDefault="008C1CAE" w:rsidP="008C1CAE">
      <w:r>
        <w:t>The engine actively blacklists companion crops that feed in the identical layer (such as Maize and Finger Millet) and recommends complementary layering (such as Maize and Pigeon Peas) where the taproot mines deep subsoil potassium while leaving surface nutrients to the cereal crop.</w:t>
      </w:r>
    </w:p>
    <w:p w14:paraId="6DEDB9D1" w14:textId="77777777" w:rsidR="008C1CAE" w:rsidRDefault="008C1CAE" w:rsidP="008C1CAE"/>
    <w:p w14:paraId="659B99DB" w14:textId="128E1FB3" w:rsidR="008C1CAE" w:rsidRDefault="008C1CAE" w:rsidP="008C1CAE">
      <w:pPr>
        <w:pStyle w:val="Heading2"/>
      </w:pPr>
    </w:p>
    <w:p w14:paraId="78EFA7F8" w14:textId="1D0BC02B" w:rsidR="008C1CAE" w:rsidRDefault="008C1CAE" w:rsidP="008C1CAE">
      <w:r>
        <w:t xml:space="preserve"> beneficial Soil Fungi (Arbuscular Mycorrhizal Fungi - AMF) establish physical fungal bridges connecting cereal and legume root systems, enabling direct nitrogen and phosphorus transfer. However, two critical guardrails are applied:</w:t>
      </w:r>
    </w:p>
    <w:p w14:paraId="06BE5C41" w14:textId="3F6E17E4" w:rsidR="008C1CAE" w:rsidRDefault="008C1CAE" w:rsidP="008C1CAE">
      <w:pPr>
        <w:pStyle w:val="ListBullet"/>
      </w:pPr>
      <w:r>
        <w:t>The Non-Mycorrhizal Blocker (Brassicaceae): Cabbages, Kale, and Canola do not form AMF networks. Even worse, their roots secrete glucosinolates that actively destroy fungal spores in the soil. The engine blocks intercropping Brassicaceae with highly mycorrhizal-dependent crops.</w:t>
      </w:r>
    </w:p>
    <w:p w14:paraId="334F3405" w14:textId="7E9A9327" w:rsidR="008C1CAE" w:rsidRDefault="008C1CAE" w:rsidP="008C1CAE">
      <w:pPr>
        <w:pStyle w:val="ListBullet"/>
      </w:pPr>
      <w:r>
        <w:t>High-Phosphate Suppression Filter: Overuse of DAP fertilizer is an endemic issue in Trans Nzoia and Uasin Gishu. In soils with high available phosphorus (greater than 30 mg/kg), plant roots actively reject fungal colonization to avoid paying a carbon tax for nutrient scavenging. In these soils, the engine automatically scales down biological nitrogen and phosphorus credits by 60 percent.</w:t>
      </w:r>
    </w:p>
    <w:p w14:paraId="7060B75D" w14:textId="77777777" w:rsidR="008C1CAE" w:rsidRDefault="008C1CAE" w:rsidP="008C1CAE"/>
    <w:p w14:paraId="1D60F62D" w14:textId="08849801" w:rsidR="008C1CAE" w:rsidRDefault="008C1CAE" w:rsidP="008C1CAE">
      <w:pPr>
        <w:pStyle w:val="Heading2"/>
      </w:pPr>
    </w:p>
    <w:p w14:paraId="536416A6" w14:textId="5886DD00" w:rsidR="008C1CAE" w:rsidRDefault="008C1CAE" w:rsidP="008C1CAE">
      <w:r>
        <w:t>Certain crops secrete chemicals (allelochemicals) that act as natural pre-emergent herbicides. For example, Sunflowers release powerful terpenoids and phenolic compounds from their roots and decaying foliage. While this suppresses weeds, it actively stunts and kills small-seeded crops like Finger Millet and Dhania. The engine blocks or warns against these chemical conflicts.</w:t>
      </w:r>
    </w:p>
    <w:p w14:paraId="50369FF4" w14:textId="77777777" w:rsidR="008C1CAE" w:rsidRDefault="008C1CAE" w:rsidP="008C1CAE"/>
    <w:p w14:paraId="426AA9F7" w14:textId="5FBF7F21" w:rsidR="008C1CAE" w:rsidRDefault="008C1CAE" w:rsidP="008C1CAE">
      <w:pPr>
        <w:pStyle w:val="Heading2"/>
      </w:pPr>
    </w:p>
    <w:p w14:paraId="67F67DBD" w14:textId="79253F58" w:rsidR="008C1CAE" w:rsidRDefault="008C1CAE" w:rsidP="008C1CAE">
      <w:r>
        <w:t>In arid and semi-arid lands (ASALs), simultaneous peak water demand during mid-season dry spells causes complete crop failure. The engine enforces a 30-day relay planting offset. Additionally, physical harvesting conflicts are audited: digging-harvest crops (like Potatoes) will physically sever the shallow, fibrous root networks of standing crops (like Maize) if harvested concurrently. The engine enforces a three-week harvest clearance window.</w:t>
      </w:r>
    </w:p>
    <w:p w14:paraId="71847E40" w14:textId="77777777" w:rsidR="008C1CAE" w:rsidRDefault="008C1CAE" w:rsidP="008C1CAE"/>
    <w:p w14:paraId="40B01E20" w14:textId="4347C7D3" w:rsidR="008C1CAE" w:rsidRDefault="008C1CAE" w:rsidP="008C1CAE">
      <w:pPr>
        <w:pStyle w:val="Heading1"/>
      </w:pPr>
    </w:p>
    <w:p w14:paraId="5FC1FA68" w14:textId="2FB05B3F" w:rsidR="008C1CAE" w:rsidRDefault="008C1CAE" w:rsidP="008C1CAE">
      <w:r>
        <w:t>When multiple biological signals conflict, the system applies a region-specific veto hierarchy to guarantee absolute safety:</w:t>
      </w:r>
    </w:p>
    <w:p w14:paraId="4A5CEC52" w14:textId="69E2E10D" w:rsidR="008C1CAE" w:rsidRDefault="008C1CAE" w:rsidP="008C1CAE">
      <w:pPr>
        <w:pStyle w:val="ListBullet"/>
      </w:pPr>
      <w:r>
        <w:t>ASAL Zones (Drylands): Dimension 4 (Water Peak Syncing) has absolute veto power. If peak water demands occur within 15 days, the combination is rejected immediately.</w:t>
      </w:r>
    </w:p>
    <w:p w14:paraId="2568DB35" w14:textId="42AE5599" w:rsidR="008C1CAE" w:rsidRDefault="008C1CAE" w:rsidP="008C1CAE">
      <w:pPr>
        <w:pStyle w:val="ListBullet"/>
      </w:pPr>
      <w:r>
        <w:t>Highland Volcanic Zones: Dimension 3 (Allelopathic Toxicity) has absolute veto power. Heavy clay soils trap sunflower phytotoxins, poisoning surrounding horticultural plants.</w:t>
      </w:r>
    </w:p>
    <w:p w14:paraId="40A43047" w14:textId="75DCF1E6" w:rsidR="008C1CAE" w:rsidRDefault="008C1CAE" w:rsidP="008C1CAE">
      <w:pPr>
        <w:pStyle w:val="ListBullet"/>
      </w:pPr>
      <w:r>
        <w:t>Humid Basins (Lake Victoria): Dimension 2 (Mycorrhizal Blockage and Pathogen Rot) has absolute veto power. Fungal suppression in highly humid, wet soils triggers rapid root rot.</w:t>
      </w:r>
    </w:p>
    <w:p w14:paraId="7F474EE9" w14:textId="77777777" w:rsidR="008C1CAE" w:rsidRPr="008C1CAE" w:rsidRDefault="008C1CAE" w:rsidP="008C1CAE"/>
    <w:sectPr w:rsidR="008C1CAE" w:rsidRPr="008C1C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2EC1FC6"/>
    <w:lvl w:ilvl="0">
      <w:start w:val="1"/>
      <w:numFmt w:val="bullet"/>
      <w:pStyle w:val="ListBullet"/>
      <w:lvlText w:val=""/>
      <w:lvlJc w:val="left"/>
      <w:pPr>
        <w:tabs>
          <w:tab w:val="num" w:pos="360"/>
        </w:tabs>
        <w:ind w:left="360" w:hanging="360"/>
      </w:pPr>
      <w:rPr>
        <w:rFonts w:ascii="Symbol" w:hAnsi="Symbol" w:hint="default"/>
      </w:rPr>
    </w:lvl>
  </w:abstractNum>
  <w:num w:numId="1" w16cid:durableId="1088037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CAE"/>
    <w:rsid w:val="00072F72"/>
    <w:rsid w:val="002339B8"/>
    <w:rsid w:val="002D67B4"/>
    <w:rsid w:val="00740D73"/>
    <w:rsid w:val="007C1824"/>
    <w:rsid w:val="008C1CAE"/>
    <w:rsid w:val="008C4ED4"/>
    <w:rsid w:val="00CF6216"/>
    <w:rsid w:val="00DC7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4C74A"/>
  <w15:chartTrackingRefBased/>
  <w15:docId w15:val="{CC3FAB1B-553A-4037-97ED-C3D771F77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1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1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CAE"/>
    <w:rPr>
      <w:rFonts w:eastAsiaTheme="majorEastAsia" w:cstheme="majorBidi"/>
      <w:color w:val="272727" w:themeColor="text1" w:themeTint="D8"/>
    </w:rPr>
  </w:style>
  <w:style w:type="paragraph" w:styleId="Title">
    <w:name w:val="Title"/>
    <w:basedOn w:val="Normal"/>
    <w:next w:val="Normal"/>
    <w:link w:val="TitleChar"/>
    <w:uiPriority w:val="10"/>
    <w:qFormat/>
    <w:rsid w:val="008C1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CAE"/>
    <w:pPr>
      <w:spacing w:before="160"/>
      <w:jc w:val="center"/>
    </w:pPr>
    <w:rPr>
      <w:i/>
      <w:iCs/>
      <w:color w:val="404040" w:themeColor="text1" w:themeTint="BF"/>
    </w:rPr>
  </w:style>
  <w:style w:type="character" w:customStyle="1" w:styleId="QuoteChar">
    <w:name w:val="Quote Char"/>
    <w:basedOn w:val="DefaultParagraphFont"/>
    <w:link w:val="Quote"/>
    <w:uiPriority w:val="29"/>
    <w:rsid w:val="008C1CAE"/>
    <w:rPr>
      <w:i/>
      <w:iCs/>
      <w:color w:val="404040" w:themeColor="text1" w:themeTint="BF"/>
    </w:rPr>
  </w:style>
  <w:style w:type="paragraph" w:styleId="ListParagraph">
    <w:name w:val="List Paragraph"/>
    <w:basedOn w:val="Normal"/>
    <w:uiPriority w:val="34"/>
    <w:qFormat/>
    <w:rsid w:val="008C1CAE"/>
    <w:pPr>
      <w:ind w:left="720"/>
      <w:contextualSpacing/>
    </w:pPr>
  </w:style>
  <w:style w:type="character" w:styleId="IntenseEmphasis">
    <w:name w:val="Intense Emphasis"/>
    <w:basedOn w:val="DefaultParagraphFont"/>
    <w:uiPriority w:val="21"/>
    <w:qFormat/>
    <w:rsid w:val="008C1CAE"/>
    <w:rPr>
      <w:i/>
      <w:iCs/>
      <w:color w:val="0F4761" w:themeColor="accent1" w:themeShade="BF"/>
    </w:rPr>
  </w:style>
  <w:style w:type="paragraph" w:styleId="IntenseQuote">
    <w:name w:val="Intense Quote"/>
    <w:basedOn w:val="Normal"/>
    <w:next w:val="Normal"/>
    <w:link w:val="IntenseQuoteChar"/>
    <w:uiPriority w:val="30"/>
    <w:qFormat/>
    <w:rsid w:val="008C1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CAE"/>
    <w:rPr>
      <w:i/>
      <w:iCs/>
      <w:color w:val="0F4761" w:themeColor="accent1" w:themeShade="BF"/>
    </w:rPr>
  </w:style>
  <w:style w:type="character" w:styleId="IntenseReference">
    <w:name w:val="Intense Reference"/>
    <w:basedOn w:val="DefaultParagraphFont"/>
    <w:uiPriority w:val="32"/>
    <w:qFormat/>
    <w:rsid w:val="008C1CAE"/>
    <w:rPr>
      <w:b/>
      <w:bCs/>
      <w:smallCaps/>
      <w:color w:val="0F4761" w:themeColor="accent1" w:themeShade="BF"/>
      <w:spacing w:val="5"/>
    </w:rPr>
  </w:style>
  <w:style w:type="paragraph" w:styleId="ListBullet">
    <w:name w:val="List Bullet"/>
    <w:basedOn w:val="Normal"/>
    <w:uiPriority w:val="99"/>
    <w:unhideWhenUsed/>
    <w:rsid w:val="008C1CAE"/>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622</Words>
  <Characters>3547</Characters>
  <Application>Microsoft Office Word</Application>
  <DocSecurity>0</DocSecurity>
  <Lines>29</Lines>
  <Paragraphs>8</Paragraphs>
  <ScaleCrop>false</ScaleCrop>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Wangwe Polycarp Andabwa</dc:creator>
  <cp:keywords/>
  <dc:description/>
  <cp:lastModifiedBy>Wangwe Polycarp Andabwa</cp:lastModifiedBy>
  <cp:revision>1</cp:revision>
  <dcterms:created xsi:type="dcterms:W3CDTF">2026-05-30T06:22:00Z</dcterms:created>
  <dcterms:modified xsi:type="dcterms:W3CDTF">2026-05-30T06:22:00Z</dcterms:modified>
</cp:coreProperties>
</file>