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4E69" w14:textId="0571C0B5" w:rsidR="00972638" w:rsidRDefault="00DD2A6E" w:rsidP="00972638">
      <w:pPr>
        <w:rPr>
          <w:b/>
          <w:bCs/>
          <w:lang w:val="en-IE"/>
        </w:rPr>
      </w:pPr>
      <w:r>
        <w:rPr>
          <w:b/>
          <w:bCs/>
          <w:lang w:val="en-IE"/>
        </w:rPr>
        <w:t>Colombia</w:t>
      </w:r>
    </w:p>
    <w:p w14:paraId="40F5ACCD" w14:textId="1BFEF577" w:rsidR="00640D0A" w:rsidRPr="00552E84" w:rsidRDefault="000A19E0" w:rsidP="00972638">
      <w:pPr>
        <w:rPr>
          <w:b/>
          <w:bCs/>
        </w:rPr>
      </w:pPr>
      <w:r>
        <w:rPr>
          <w:b/>
          <w:bCs/>
          <w:lang w:val="en-IE"/>
        </w:rPr>
        <w:t>Internal Armed Conflict</w:t>
      </w:r>
      <w:r w:rsidR="00640D0A">
        <w:rPr>
          <w:b/>
          <w:bCs/>
          <w:lang w:val="en-IE"/>
        </w:rPr>
        <w:t xml:space="preserve"> (19</w:t>
      </w:r>
      <w:r w:rsidR="00F71B72">
        <w:rPr>
          <w:b/>
          <w:bCs/>
          <w:lang w:val="en-IE"/>
        </w:rPr>
        <w:t>60s</w:t>
      </w:r>
      <w:r w:rsidR="00640D0A">
        <w:rPr>
          <w:b/>
          <w:bCs/>
          <w:lang w:val="en-IE"/>
        </w:rPr>
        <w:t>-)</w:t>
      </w:r>
    </w:p>
    <w:p w14:paraId="122C50A1" w14:textId="286E0711" w:rsidR="00E37328" w:rsidRPr="00E37328" w:rsidRDefault="00E37328" w:rsidP="00FA1E70">
      <w:pPr>
        <w:jc w:val="both"/>
        <w:rPr>
          <w:b/>
          <w:bCs/>
        </w:rPr>
      </w:pPr>
      <w:r>
        <w:rPr>
          <w:b/>
          <w:bCs/>
        </w:rPr>
        <w:t xml:space="preserve">Categories: </w:t>
      </w:r>
      <w:r w:rsidR="0003296A">
        <w:t>Internal armed conflict; indigenous peoples; truth commission; reparations law; memorial sites.</w:t>
      </w:r>
    </w:p>
    <w:p w14:paraId="217D1FBF" w14:textId="3FE102CE" w:rsidR="00972638" w:rsidRDefault="00972638" w:rsidP="00FA1E70">
      <w:pPr>
        <w:jc w:val="both"/>
      </w:pPr>
      <w:r w:rsidRPr="00244C24">
        <w:rPr>
          <w:b/>
          <w:bCs/>
        </w:rPr>
        <w:t>Actors</w:t>
      </w:r>
      <w:r w:rsidR="00E37328">
        <w:rPr>
          <w:b/>
          <w:bCs/>
        </w:rPr>
        <w:t xml:space="preserve">: </w:t>
      </w:r>
      <w:r w:rsidR="003478CC" w:rsidRPr="003478CC">
        <w:t>C</w:t>
      </w:r>
      <w:r w:rsidR="000240A3">
        <w:t>olombian</w:t>
      </w:r>
      <w:r w:rsidR="003478CC" w:rsidRPr="003478CC">
        <w:t xml:space="preserve"> state</w:t>
      </w:r>
      <w:r w:rsidR="003478CC" w:rsidRPr="003478CC">
        <w:rPr>
          <w:i/>
          <w:iCs/>
        </w:rPr>
        <w:t xml:space="preserve">; </w:t>
      </w:r>
      <w:r w:rsidR="00F722A0">
        <w:t>C</w:t>
      </w:r>
      <w:r w:rsidR="000240A3">
        <w:t>olombian</w:t>
      </w:r>
      <w:r w:rsidR="003478CC" w:rsidRPr="003478CC">
        <w:t xml:space="preserve"> Armed Forces;</w:t>
      </w:r>
      <w:r w:rsidR="00F62DDC">
        <w:t xml:space="preserve"> Guerrilla groups;</w:t>
      </w:r>
      <w:r w:rsidR="00F722A0">
        <w:t xml:space="preserve"> paramilitary groups; drug dealers</w:t>
      </w:r>
      <w:r w:rsidR="008115C6">
        <w:t>’ organisations</w:t>
      </w:r>
      <w:r w:rsidR="00F722A0">
        <w:t>;</w:t>
      </w:r>
      <w:r w:rsidR="00F62DDC">
        <w:t xml:space="preserve"> </w:t>
      </w:r>
      <w:r w:rsidR="00F722A0">
        <w:t>Colombian</w:t>
      </w:r>
      <w:r w:rsidR="003478CC" w:rsidRPr="003478CC">
        <w:t xml:space="preserve"> political parties;</w:t>
      </w:r>
      <w:r w:rsidR="00F722A0">
        <w:t xml:space="preserve"> campesinos; indigenous peoples;</w:t>
      </w:r>
      <w:r w:rsidR="00F62DDC">
        <w:t xml:space="preserve"> various</w:t>
      </w:r>
      <w:r w:rsidR="003478CC" w:rsidRPr="003478CC">
        <w:t xml:space="preserve"> </w:t>
      </w:r>
      <w:r w:rsidR="003478CC">
        <w:t>c</w:t>
      </w:r>
      <w:r w:rsidR="003478CC" w:rsidRPr="003478CC">
        <w:t xml:space="preserve">ivil </w:t>
      </w:r>
      <w:r w:rsidR="003478CC">
        <w:t>organisations.</w:t>
      </w:r>
    </w:p>
    <w:p w14:paraId="29D74F84" w14:textId="7DAB2A5C" w:rsidR="00781749" w:rsidRPr="00B275AB" w:rsidRDefault="00CD7FF9" w:rsidP="00FA1E70">
      <w:pPr>
        <w:jc w:val="both"/>
      </w:pPr>
      <w:r>
        <w:t>The</w:t>
      </w:r>
      <w:r w:rsidR="00781749" w:rsidRPr="00B275AB">
        <w:t xml:space="preserve"> Comisión de la Verdad</w:t>
      </w:r>
      <w:r>
        <w:t xml:space="preserve"> established that</w:t>
      </w:r>
      <w:r w:rsidR="00B275AB">
        <w:t xml:space="preserve"> 450.</w:t>
      </w:r>
      <w:r>
        <w:t>664</w:t>
      </w:r>
      <w:r w:rsidR="00B275AB">
        <w:t xml:space="preserve"> people were killed between 1985 and 2018, by action of paramilitary groups, guerrillas</w:t>
      </w:r>
      <w:r w:rsidR="00C302CF">
        <w:t>,</w:t>
      </w:r>
      <w:r w:rsidR="00B275AB">
        <w:t xml:space="preserve"> and state agents. Around 12</w:t>
      </w:r>
      <w:r>
        <w:t>1</w:t>
      </w:r>
      <w:r w:rsidR="00B275AB">
        <w:t>.</w:t>
      </w:r>
      <w:r>
        <w:t>768 people</w:t>
      </w:r>
      <w:r w:rsidR="00B275AB">
        <w:t xml:space="preserve"> were forcibly disappeared, </w:t>
      </w:r>
      <w:r>
        <w:t xml:space="preserve">50.770 were kidnapped and 752.964 were displaced by the conflict. The estimated number of victims is much higher. </w:t>
      </w:r>
    </w:p>
    <w:p w14:paraId="319E2754" w14:textId="77777777" w:rsidR="00972638" w:rsidRPr="006B177A" w:rsidRDefault="00972638" w:rsidP="00FA1E70">
      <w:pPr>
        <w:jc w:val="both"/>
        <w:rPr>
          <w:b/>
          <w:bCs/>
        </w:rPr>
      </w:pPr>
      <w:r w:rsidRPr="006B177A">
        <w:rPr>
          <w:b/>
          <w:bCs/>
        </w:rPr>
        <w:t>Key historical events</w:t>
      </w:r>
    </w:p>
    <w:p w14:paraId="10257E19" w14:textId="7E9C7ED6" w:rsidR="002725A6" w:rsidRPr="006B177A" w:rsidRDefault="002725A6" w:rsidP="00552E84">
      <w:pPr>
        <w:jc w:val="both"/>
        <w:rPr>
          <w:lang w:val="es-CL"/>
        </w:rPr>
      </w:pPr>
      <w:r w:rsidRPr="00F71B72">
        <w:t>19</w:t>
      </w:r>
      <w:r w:rsidR="00101AFB" w:rsidRPr="00F71B72">
        <w:t>58</w:t>
      </w:r>
      <w:r w:rsidRPr="00F71B72">
        <w:t xml:space="preserve"> – </w:t>
      </w:r>
      <w:r w:rsidR="00CD2EE7">
        <w:t>The</w:t>
      </w:r>
      <w:r w:rsidR="00F71B72" w:rsidRPr="00F71B72">
        <w:t xml:space="preserve"> conservative and liberal parties of Colombia establish the Frente Nacional. Th</w:t>
      </w:r>
      <w:r w:rsidR="00CD2EE7">
        <w:t>is</w:t>
      </w:r>
      <w:r w:rsidR="00F71B72" w:rsidRPr="00F71B72">
        <w:t xml:space="preserve"> agreement involved alternance in power, but solely between these two parties. </w:t>
      </w:r>
      <w:r w:rsidR="00F71B72" w:rsidRPr="006B177A">
        <w:rPr>
          <w:lang w:val="es-CL"/>
        </w:rPr>
        <w:t>It lasted until 1974.</w:t>
      </w:r>
    </w:p>
    <w:p w14:paraId="1B1CE425" w14:textId="218AD410" w:rsidR="002725A6" w:rsidRDefault="002725A6" w:rsidP="00552E84">
      <w:pPr>
        <w:jc w:val="both"/>
        <w:rPr>
          <w:b/>
          <w:bCs/>
          <w:lang w:val="es-CL"/>
        </w:rPr>
      </w:pPr>
      <w:r w:rsidRPr="00F71B72">
        <w:rPr>
          <w:lang w:val="es-CL"/>
        </w:rPr>
        <w:t>196</w:t>
      </w:r>
      <w:r w:rsidR="00D6501F" w:rsidRPr="00F71B72">
        <w:rPr>
          <w:lang w:val="es-CL"/>
        </w:rPr>
        <w:t xml:space="preserve">4 </w:t>
      </w:r>
      <w:r w:rsidR="00D6501F" w:rsidRPr="00F71B72">
        <w:rPr>
          <w:b/>
          <w:bCs/>
          <w:lang w:val="es-CL"/>
        </w:rPr>
        <w:t xml:space="preserve">– </w:t>
      </w:r>
      <w:r w:rsidR="00D6501F" w:rsidRPr="00F71B72">
        <w:rPr>
          <w:lang w:val="es-CL"/>
        </w:rPr>
        <w:t>The guerrilla organisations Ejército de Liberación Nacional (ELN) and the Fuerzas Armadas Revolucionarias de Colombia (FARC) were formed.</w:t>
      </w:r>
      <w:r w:rsidR="00D6501F" w:rsidRPr="00F71B72">
        <w:rPr>
          <w:b/>
          <w:bCs/>
          <w:lang w:val="es-CL"/>
        </w:rPr>
        <w:t xml:space="preserve">  </w:t>
      </w:r>
      <w:r w:rsidRPr="00F71B72">
        <w:rPr>
          <w:b/>
          <w:bCs/>
          <w:lang w:val="es-CL"/>
        </w:rPr>
        <w:t xml:space="preserve"> </w:t>
      </w:r>
    </w:p>
    <w:p w14:paraId="1A040E82" w14:textId="6DFE6712" w:rsidR="00A7275C" w:rsidRDefault="00A7275C" w:rsidP="00552E84">
      <w:pPr>
        <w:jc w:val="both"/>
      </w:pPr>
      <w:r w:rsidRPr="00A7275C">
        <w:t>1965 – The go</w:t>
      </w:r>
      <w:r>
        <w:t>vernment issued Decree 3398 (turned Law 48 in 1968) that allowed the formation of armed forces among the civilian population. It will be declared unconstitutional in 1989.</w:t>
      </w:r>
    </w:p>
    <w:p w14:paraId="6197FF1C" w14:textId="31A6F113" w:rsidR="0084068A" w:rsidRPr="006B177A" w:rsidRDefault="0084068A" w:rsidP="00552E84">
      <w:pPr>
        <w:jc w:val="both"/>
      </w:pPr>
      <w:r w:rsidRPr="006B177A">
        <w:t xml:space="preserve">1967 – The guerrilla organisation Ejército </w:t>
      </w:r>
      <w:r w:rsidR="00B845C7" w:rsidRPr="006B177A">
        <w:t>P</w:t>
      </w:r>
      <w:r w:rsidRPr="006B177A">
        <w:t>opular</w:t>
      </w:r>
      <w:r w:rsidR="00B845C7" w:rsidRPr="006B177A">
        <w:t xml:space="preserve"> de Liberación (EPL)</w:t>
      </w:r>
      <w:r w:rsidRPr="006B177A">
        <w:t xml:space="preserve"> was founded. </w:t>
      </w:r>
    </w:p>
    <w:p w14:paraId="1FFB9A7F" w14:textId="1C98B51D" w:rsidR="004401C1" w:rsidRDefault="00552E84" w:rsidP="00552E84">
      <w:pPr>
        <w:jc w:val="both"/>
        <w:rPr>
          <w:lang w:val="es-CL"/>
        </w:rPr>
      </w:pPr>
      <w:r w:rsidRPr="00A7275C">
        <w:rPr>
          <w:lang w:val="es-CL"/>
        </w:rPr>
        <w:t>197</w:t>
      </w:r>
      <w:r w:rsidR="00F71B72" w:rsidRPr="00A7275C">
        <w:rPr>
          <w:lang w:val="es-CL"/>
        </w:rPr>
        <w:t>4</w:t>
      </w:r>
      <w:r w:rsidRPr="00A7275C">
        <w:rPr>
          <w:lang w:val="es-CL"/>
        </w:rPr>
        <w:t xml:space="preserve"> –</w:t>
      </w:r>
      <w:r w:rsidR="00F71B72" w:rsidRPr="00A7275C">
        <w:rPr>
          <w:lang w:val="es-CL"/>
        </w:rPr>
        <w:t xml:space="preserve"> The guerrilla organisation Movimiento 19 de Abril (M-19) was formed.</w:t>
      </w:r>
      <w:r w:rsidRPr="00A7275C">
        <w:rPr>
          <w:lang w:val="es-CL"/>
        </w:rPr>
        <w:t xml:space="preserve"> </w:t>
      </w:r>
    </w:p>
    <w:p w14:paraId="15BBF6AB" w14:textId="02185DAB" w:rsidR="00EF196A" w:rsidRDefault="00EF196A" w:rsidP="00552E84">
      <w:pPr>
        <w:jc w:val="both"/>
      </w:pPr>
      <w:r w:rsidRPr="00B845C7">
        <w:t xml:space="preserve">1977 – Paro </w:t>
      </w:r>
      <w:r w:rsidR="00B845C7">
        <w:t>c</w:t>
      </w:r>
      <w:r w:rsidRPr="00B845C7">
        <w:t>ívico</w:t>
      </w:r>
      <w:r w:rsidR="00B845C7">
        <w:t xml:space="preserve"> nacional</w:t>
      </w:r>
      <w:r w:rsidRPr="00B845C7">
        <w:t xml:space="preserve">. </w:t>
      </w:r>
      <w:r w:rsidR="00B845C7" w:rsidRPr="00B845C7">
        <w:t>On 14 September, a national strike against the government broke out</w:t>
      </w:r>
      <w:r w:rsidR="006B177A">
        <w:t xml:space="preserve">. Following several years of demonstrations, this </w:t>
      </w:r>
      <w:r w:rsidR="00F722A0">
        <w:t xml:space="preserve">one </w:t>
      </w:r>
      <w:r w:rsidR="006B177A">
        <w:t>was th</w:t>
      </w:r>
      <w:r w:rsidR="00B845C7" w:rsidRPr="00B845C7">
        <w:t>e largest that the country had ever seen.</w:t>
      </w:r>
    </w:p>
    <w:p w14:paraId="1B8FB05B" w14:textId="53A84AC4" w:rsidR="006B177A" w:rsidRDefault="006B177A" w:rsidP="00552E84">
      <w:pPr>
        <w:jc w:val="both"/>
      </w:pPr>
      <w:r>
        <w:t>1978 – The government issued</w:t>
      </w:r>
      <w:r w:rsidR="00CD2EE7">
        <w:t xml:space="preserve"> Decreto 1923, establishing the Estatuto de Seguridad. It increased the punitive attributions of state organisms, which led to human rights violations.</w:t>
      </w:r>
    </w:p>
    <w:p w14:paraId="49EA2347" w14:textId="1C134CC8" w:rsidR="00B22533" w:rsidRDefault="00B22533" w:rsidP="00552E84">
      <w:pPr>
        <w:jc w:val="both"/>
      </w:pPr>
      <w:r>
        <w:t xml:space="preserve">1979 – </w:t>
      </w:r>
      <w:r w:rsidR="006B177A">
        <w:t xml:space="preserve">On 30 March, the first </w:t>
      </w:r>
      <w:r>
        <w:t>Foro</w:t>
      </w:r>
      <w:r w:rsidR="006B177A">
        <w:t xml:space="preserve"> Nacional de</w:t>
      </w:r>
      <w:r>
        <w:t xml:space="preserve"> Derechos Humanos</w:t>
      </w:r>
      <w:r w:rsidR="006B177A">
        <w:t xml:space="preserve"> takes place. As a result, the Comité Permanente por la Defensa de los Derechos Humanos (CPDH) was created.</w:t>
      </w:r>
    </w:p>
    <w:p w14:paraId="70135C50" w14:textId="28F94125" w:rsidR="00AA1465" w:rsidRPr="00AA1465" w:rsidRDefault="00AA1465" w:rsidP="00552E84">
      <w:pPr>
        <w:jc w:val="both"/>
      </w:pPr>
      <w:r w:rsidRPr="00AA1465">
        <w:t>1984</w:t>
      </w:r>
      <w:r w:rsidR="00E75D6F">
        <w:t xml:space="preserve"> </w:t>
      </w:r>
      <w:r w:rsidRPr="00AA1465">
        <w:t>–</w:t>
      </w:r>
      <w:r w:rsidR="00356F9A">
        <w:t xml:space="preserve"> </w:t>
      </w:r>
      <w:r w:rsidRPr="00AA1465">
        <w:t>Indigenous peoples from the C</w:t>
      </w:r>
      <w:r>
        <w:t>auca department establish the guerrilla organisation Movimiento Armado Quintín Lame (MAQL).</w:t>
      </w:r>
    </w:p>
    <w:p w14:paraId="4FE3B800" w14:textId="5443F002" w:rsidR="00FF3956" w:rsidRPr="00FF3956" w:rsidRDefault="00FF3956" w:rsidP="00552E84">
      <w:pPr>
        <w:jc w:val="both"/>
      </w:pPr>
      <w:r w:rsidRPr="006B177A">
        <w:t xml:space="preserve">1986 – Masacre de Trujillo. </w:t>
      </w:r>
      <w:r w:rsidRPr="00FF3956">
        <w:t>This year marks the b</w:t>
      </w:r>
      <w:r>
        <w:t xml:space="preserve">eginning of a series of killings perpetrated by the armed forces and </w:t>
      </w:r>
      <w:r w:rsidR="00BF660D">
        <w:t>drug dealer</w:t>
      </w:r>
      <w:r>
        <w:t xml:space="preserve"> groups against the population of the Cauca Valley</w:t>
      </w:r>
      <w:r w:rsidR="0028082A">
        <w:t>, up until 1994.</w:t>
      </w:r>
    </w:p>
    <w:p w14:paraId="3B32EEE9" w14:textId="723DD8CA" w:rsidR="0028082A" w:rsidRDefault="0028082A" w:rsidP="00552E84">
      <w:pPr>
        <w:jc w:val="both"/>
      </w:pPr>
      <w:r w:rsidRPr="0028082A">
        <w:t>1989 –</w:t>
      </w:r>
      <w:r w:rsidR="00F722A0">
        <w:t xml:space="preserve"> As part of a war against the state, drug dealer groups </w:t>
      </w:r>
      <w:r w:rsidRPr="0028082A">
        <w:t>led by Pablo Escobar, carr</w:t>
      </w:r>
      <w:r w:rsidR="00F722A0">
        <w:t>ied</w:t>
      </w:r>
      <w:r w:rsidRPr="0028082A">
        <w:t xml:space="preserve"> out</w:t>
      </w:r>
      <w:r>
        <w:t xml:space="preserve"> a series of murders</w:t>
      </w:r>
      <w:r w:rsidR="00F722A0">
        <w:t>. Presidential</w:t>
      </w:r>
      <w:r>
        <w:t xml:space="preserve"> candidate Luis </w:t>
      </w:r>
      <w:r w:rsidR="006647A1">
        <w:t xml:space="preserve">Carlos </w:t>
      </w:r>
      <w:r>
        <w:t>Ga</w:t>
      </w:r>
      <w:r w:rsidR="006647A1">
        <w:t>l</w:t>
      </w:r>
      <w:r>
        <w:t>án</w:t>
      </w:r>
      <w:r w:rsidR="00F722A0">
        <w:t xml:space="preserve"> was one of the victims</w:t>
      </w:r>
      <w:r>
        <w:t>. Mass protest erupt in Colombia in response to this violence.</w:t>
      </w:r>
    </w:p>
    <w:p w14:paraId="3AD35691" w14:textId="5B447806" w:rsidR="0028082A" w:rsidRPr="006647A1" w:rsidRDefault="0028082A" w:rsidP="00552E84">
      <w:pPr>
        <w:jc w:val="both"/>
      </w:pPr>
      <w:r w:rsidRPr="006647A1">
        <w:t xml:space="preserve">1990 – </w:t>
      </w:r>
      <w:r w:rsidR="006647A1" w:rsidRPr="006647A1">
        <w:t>During Virgilio Barco’s term,</w:t>
      </w:r>
      <w:r w:rsidR="006647A1">
        <w:t xml:space="preserve"> a peace agreement was signed between the government and the M-19 guerrilla.</w:t>
      </w:r>
      <w:r w:rsidR="00B845C7">
        <w:t xml:space="preserve"> The next year, </w:t>
      </w:r>
      <w:r w:rsidR="00E75D6F">
        <w:t xml:space="preserve">part of </w:t>
      </w:r>
      <w:r w:rsidR="00B845C7">
        <w:t>the EP</w:t>
      </w:r>
      <w:r w:rsidR="00356F9A">
        <w:t>L</w:t>
      </w:r>
      <w:r w:rsidR="00B845C7">
        <w:t xml:space="preserve"> was also demobilised. </w:t>
      </w:r>
    </w:p>
    <w:p w14:paraId="7E295708" w14:textId="7D54A000" w:rsidR="000705D3" w:rsidRDefault="000705D3" w:rsidP="00552E84">
      <w:pPr>
        <w:jc w:val="both"/>
      </w:pPr>
      <w:r w:rsidRPr="000705D3">
        <w:t xml:space="preserve">1991 – </w:t>
      </w:r>
      <w:r w:rsidR="00F722A0">
        <w:t>On 4 July, d</w:t>
      </w:r>
      <w:r w:rsidR="001D279B" w:rsidRPr="001D279B">
        <w:t xml:space="preserve">uring César Gaviria's presidency, a </w:t>
      </w:r>
      <w:r w:rsidR="00F722A0">
        <w:t>new Constitution was proclaimed.</w:t>
      </w:r>
    </w:p>
    <w:p w14:paraId="351D9760" w14:textId="0C5D5E35" w:rsidR="00E75D6F" w:rsidRDefault="00E75D6F" w:rsidP="00552E84">
      <w:pPr>
        <w:jc w:val="both"/>
      </w:pPr>
      <w:r>
        <w:t xml:space="preserve">1993 – Government forces collaborating with </w:t>
      </w:r>
      <w:r w:rsidR="00E449F8">
        <w:t>drug dealers</w:t>
      </w:r>
      <w:r w:rsidR="00781749">
        <w:t>, organised as the group known as “Los Pepes”, kill Pablo Escobar.</w:t>
      </w:r>
    </w:p>
    <w:p w14:paraId="679C9A39" w14:textId="13263AC3" w:rsidR="00925B51" w:rsidRDefault="00925B51" w:rsidP="00552E84">
      <w:pPr>
        <w:jc w:val="both"/>
      </w:pPr>
      <w:r w:rsidRPr="00925B51">
        <w:lastRenderedPageBreak/>
        <w:t>According to the CEV, a</w:t>
      </w:r>
      <w:r>
        <w:t xml:space="preserve">round 70% of human rights violations of the armed conflict occurred between 1997 and 2006, </w:t>
      </w:r>
      <w:r w:rsidR="00DC165A">
        <w:t>marking</w:t>
      </w:r>
      <w:r>
        <w:t xml:space="preserve"> a critical point of its development.</w:t>
      </w:r>
    </w:p>
    <w:p w14:paraId="1DBE091A" w14:textId="6B272DD6" w:rsidR="00E75D6F" w:rsidRPr="00925B51" w:rsidRDefault="00E75D6F" w:rsidP="00552E84">
      <w:pPr>
        <w:jc w:val="both"/>
      </w:pPr>
      <w:r w:rsidRPr="00E75D6F">
        <w:t>1997 – A series of preexisting paramilitar</w:t>
      </w:r>
      <w:r>
        <w:t>y groups were merged to form the Autodefensas Unidas de Colombia (AUC).</w:t>
      </w:r>
      <w:r w:rsidR="00E449F8">
        <w:t xml:space="preserve"> </w:t>
      </w:r>
      <w:r w:rsidR="00925B51" w:rsidRPr="00925B51">
        <w:t>In the ne</w:t>
      </w:r>
      <w:r w:rsidR="00925B51">
        <w:t>xt years this</w:t>
      </w:r>
      <w:r w:rsidR="00E449F8" w:rsidRPr="00925B51">
        <w:t xml:space="preserve"> group</w:t>
      </w:r>
      <w:r w:rsidR="00925B51">
        <w:t xml:space="preserve"> will</w:t>
      </w:r>
      <w:r w:rsidR="00E449F8" w:rsidRPr="00925B51">
        <w:t xml:space="preserve"> violently spread its </w:t>
      </w:r>
      <w:r w:rsidR="00925B51" w:rsidRPr="00925B51">
        <w:t>presence</w:t>
      </w:r>
      <w:r w:rsidR="00E449F8" w:rsidRPr="00925B51">
        <w:t xml:space="preserve"> </w:t>
      </w:r>
      <w:r w:rsidR="00F47454">
        <w:t>throughout</w:t>
      </w:r>
      <w:r w:rsidR="00925B51" w:rsidRPr="00925B51">
        <w:t xml:space="preserve"> the country.</w:t>
      </w:r>
    </w:p>
    <w:p w14:paraId="24BD3D88" w14:textId="77777777" w:rsidR="00925B51" w:rsidRDefault="0039159A" w:rsidP="00552E84">
      <w:pPr>
        <w:jc w:val="both"/>
      </w:pPr>
      <w:r w:rsidRPr="0039159A">
        <w:rPr>
          <w:lang w:val="es-CL"/>
        </w:rPr>
        <w:t>1997 – Mandato Ciudadano por la Paz, la Vida y la Libertad</w:t>
      </w:r>
      <w:r>
        <w:rPr>
          <w:lang w:val="es-CL"/>
        </w:rPr>
        <w:t xml:space="preserve">. </w:t>
      </w:r>
      <w:r w:rsidRPr="0039159A">
        <w:t>Wh</w:t>
      </w:r>
      <w:r>
        <w:t>ile the violence of the armed conflict was rising, an initiative led by</w:t>
      </w:r>
      <w:r w:rsidRPr="0039159A">
        <w:t xml:space="preserve"> Colombian citizens de</w:t>
      </w:r>
      <w:r>
        <w:t>manded a non-violent resolution to the conflict.</w:t>
      </w:r>
      <w:r w:rsidR="00925B51">
        <w:t xml:space="preserve"> </w:t>
      </w:r>
    </w:p>
    <w:p w14:paraId="21AA298F" w14:textId="5E58840B" w:rsidR="002D0D5D" w:rsidRDefault="00925B51" w:rsidP="00552E84">
      <w:pPr>
        <w:jc w:val="both"/>
      </w:pPr>
      <w:r>
        <w:t>1</w:t>
      </w:r>
      <w:r w:rsidR="002D0D5D" w:rsidRPr="00291231">
        <w:t xml:space="preserve">999 – </w:t>
      </w:r>
      <w:r w:rsidR="00350321">
        <w:t>“</w:t>
      </w:r>
      <w:r w:rsidR="002D0D5D" w:rsidRPr="00291231">
        <w:t>Plan Colombia</w:t>
      </w:r>
      <w:r w:rsidR="00350321">
        <w:t>”</w:t>
      </w:r>
      <w:r w:rsidR="00291231" w:rsidRPr="00291231">
        <w:t xml:space="preserve">. </w:t>
      </w:r>
      <w:r w:rsidR="0041389E" w:rsidRPr="0041389E">
        <w:t>An agreement between the governments of Colombia and the US to combat drug trafficking leads to increased financial support and military presence by the latter.</w:t>
      </w:r>
    </w:p>
    <w:p w14:paraId="09B7D1EE" w14:textId="6EBE3D5D" w:rsidR="0041389E" w:rsidRDefault="00350321" w:rsidP="00552E84">
      <w:pPr>
        <w:jc w:val="both"/>
      </w:pPr>
      <w:r>
        <w:t>200</w:t>
      </w:r>
      <w:r w:rsidR="00175157">
        <w:t>3</w:t>
      </w:r>
      <w:r>
        <w:t xml:space="preserve"> – During </w:t>
      </w:r>
      <w:r w:rsidRPr="00350321">
        <w:t>Álvaro Uribe’s presidency, th</w:t>
      </w:r>
      <w:r>
        <w:t>e government increased its military operations against the FARC, as part of the “Plan Patriota”. The increased violence had dire effects on the human rights of the civil population.</w:t>
      </w:r>
    </w:p>
    <w:p w14:paraId="57A6B1C8" w14:textId="35359438" w:rsidR="00DC165A" w:rsidRDefault="00DC165A" w:rsidP="00552E84">
      <w:pPr>
        <w:jc w:val="both"/>
      </w:pPr>
      <w:r>
        <w:t>2003 – Following negotiations with the government, the AUC started a demobili</w:t>
      </w:r>
      <w:r w:rsidR="00DF1869">
        <w:t>s</w:t>
      </w:r>
      <w:r>
        <w:t>ation process</w:t>
      </w:r>
      <w:r w:rsidR="00DF1869">
        <w:t xml:space="preserve">, although violent actions by paramilitary groups continued. </w:t>
      </w:r>
    </w:p>
    <w:p w14:paraId="66449349" w14:textId="70B941EE" w:rsidR="00EF223D" w:rsidRDefault="00EF223D" w:rsidP="00552E84">
      <w:pPr>
        <w:jc w:val="both"/>
      </w:pPr>
      <w:r w:rsidRPr="008115C6">
        <w:t xml:space="preserve">2008 – Case “Falsos Positivos”. </w:t>
      </w:r>
      <w:r w:rsidRPr="00EF223D">
        <w:t>A public scandal broke out after the revelation that, from around 2002 onwards, thousands of civilians were killed by the army and presented as enemy combatants.</w:t>
      </w:r>
    </w:p>
    <w:p w14:paraId="5771D7FB" w14:textId="35A71487" w:rsidR="00DF1869" w:rsidRPr="00DF1869" w:rsidRDefault="00DF1869" w:rsidP="00552E84">
      <w:pPr>
        <w:jc w:val="both"/>
      </w:pPr>
      <w:r w:rsidRPr="00DF1869">
        <w:t xml:space="preserve">2012 – </w:t>
      </w:r>
      <w:r>
        <w:t>Peace talks between the government and the FARC began in the city of La Habana, Cuba.</w:t>
      </w:r>
    </w:p>
    <w:p w14:paraId="014D8B28" w14:textId="29F80075" w:rsidR="000240A3" w:rsidRPr="00DF1869" w:rsidRDefault="000240A3" w:rsidP="00552E84">
      <w:pPr>
        <w:jc w:val="both"/>
      </w:pPr>
      <w:r w:rsidRPr="000240A3">
        <w:rPr>
          <w:lang w:val="es-CL"/>
        </w:rPr>
        <w:t>2016 – Acuerdo Final para la Terminación del Conflicto y la Construcción de una Paz Estable y Duradera</w:t>
      </w:r>
      <w:r>
        <w:rPr>
          <w:lang w:val="es-CL"/>
        </w:rPr>
        <w:t xml:space="preserve">. </w:t>
      </w:r>
      <w:r w:rsidRPr="00DF1869">
        <w:t xml:space="preserve">On </w:t>
      </w:r>
      <w:r w:rsidR="00CB1466">
        <w:t>26 September</w:t>
      </w:r>
      <w:r w:rsidRPr="00DF1869">
        <w:t xml:space="preserve">, </w:t>
      </w:r>
      <w:r w:rsidR="00DF1869" w:rsidRPr="00DF1869">
        <w:t>the Colombian government and the F</w:t>
      </w:r>
      <w:r w:rsidR="00DF1869">
        <w:t>ARC sign</w:t>
      </w:r>
      <w:r w:rsidR="003C0DF9">
        <w:t>ed</w:t>
      </w:r>
      <w:r w:rsidR="00DF1869">
        <w:t xml:space="preserve"> a peace agreement.</w:t>
      </w:r>
      <w:r w:rsidR="00CB1466">
        <w:t xml:space="preserve"> Following a referendum, a revised agreement was signed on 24 November.</w:t>
      </w:r>
    </w:p>
    <w:p w14:paraId="3AA1815F" w14:textId="77777777" w:rsidR="00972638" w:rsidRPr="00DF1869" w:rsidRDefault="00972638" w:rsidP="00552E84">
      <w:pPr>
        <w:jc w:val="both"/>
        <w:rPr>
          <w:b/>
          <w:bCs/>
        </w:rPr>
      </w:pPr>
      <w:r w:rsidRPr="00DF1869">
        <w:rPr>
          <w:b/>
          <w:bCs/>
        </w:rPr>
        <w:t>Memory initiatives</w:t>
      </w:r>
    </w:p>
    <w:p w14:paraId="5918DACC" w14:textId="09DC6223" w:rsidR="00941C69" w:rsidRPr="00941C69" w:rsidRDefault="00941C69" w:rsidP="00552E84">
      <w:pPr>
        <w:jc w:val="both"/>
      </w:pPr>
      <w:r w:rsidRPr="00941C69">
        <w:rPr>
          <w:i/>
          <w:iCs/>
        </w:rPr>
        <w:t>Ley 975, “de Justicia y Paz”</w:t>
      </w:r>
      <w:r w:rsidR="00DF1869">
        <w:rPr>
          <w:i/>
          <w:iCs/>
        </w:rPr>
        <w:t xml:space="preserve"> </w:t>
      </w:r>
      <w:r w:rsidRPr="00941C69">
        <w:t>(2005): a legal framework aimed to facilitate the</w:t>
      </w:r>
      <w:r>
        <w:t xml:space="preserve"> demobilisation and</w:t>
      </w:r>
      <w:r w:rsidRPr="00941C69">
        <w:t xml:space="preserve"> reincorporation</w:t>
      </w:r>
      <w:r>
        <w:t xml:space="preserve"> to civilian life</w:t>
      </w:r>
      <w:r w:rsidRPr="00941C69">
        <w:t xml:space="preserve"> </w:t>
      </w:r>
      <w:r>
        <w:t xml:space="preserve">of members of illegal armed groups. </w:t>
      </w:r>
    </w:p>
    <w:p w14:paraId="2D99D255" w14:textId="77777777" w:rsidR="00CD2EE7" w:rsidRPr="00007C54" w:rsidRDefault="000A19E0" w:rsidP="00CD2EE7">
      <w:pPr>
        <w:jc w:val="both"/>
      </w:pPr>
      <w:r w:rsidRPr="00291439">
        <w:rPr>
          <w:i/>
          <w:iCs/>
        </w:rPr>
        <w:t>Ley</w:t>
      </w:r>
      <w:r w:rsidR="00007C54">
        <w:rPr>
          <w:i/>
          <w:iCs/>
        </w:rPr>
        <w:t xml:space="preserve"> </w:t>
      </w:r>
      <w:r w:rsidRPr="00291439">
        <w:rPr>
          <w:i/>
          <w:iCs/>
        </w:rPr>
        <w:t>1.448,</w:t>
      </w:r>
      <w:r w:rsidR="00007C54">
        <w:rPr>
          <w:i/>
          <w:iCs/>
        </w:rPr>
        <w:t xml:space="preserve"> also known as</w:t>
      </w:r>
      <w:r w:rsidRPr="00291439">
        <w:rPr>
          <w:i/>
          <w:iCs/>
        </w:rPr>
        <w:t xml:space="preserve"> </w:t>
      </w:r>
      <w:r w:rsidR="00007C54">
        <w:rPr>
          <w:i/>
          <w:iCs/>
        </w:rPr>
        <w:t xml:space="preserve">“Ley </w:t>
      </w:r>
      <w:r w:rsidRPr="00291439">
        <w:rPr>
          <w:i/>
          <w:iCs/>
        </w:rPr>
        <w:t xml:space="preserve">de </w:t>
      </w:r>
      <w:r w:rsidR="00007C54">
        <w:rPr>
          <w:i/>
          <w:iCs/>
        </w:rPr>
        <w:t>V</w:t>
      </w:r>
      <w:r w:rsidRPr="00291439">
        <w:rPr>
          <w:i/>
          <w:iCs/>
        </w:rPr>
        <w:t xml:space="preserve">íctimas y </w:t>
      </w:r>
      <w:r w:rsidR="00007C54">
        <w:rPr>
          <w:i/>
          <w:iCs/>
        </w:rPr>
        <w:t>R</w:t>
      </w:r>
      <w:r w:rsidRPr="00291439">
        <w:rPr>
          <w:i/>
          <w:iCs/>
        </w:rPr>
        <w:t xml:space="preserve">estitución de </w:t>
      </w:r>
      <w:r w:rsidR="00007C54">
        <w:rPr>
          <w:i/>
          <w:iCs/>
        </w:rPr>
        <w:t>T</w:t>
      </w:r>
      <w:r w:rsidRPr="00291439">
        <w:rPr>
          <w:i/>
          <w:iCs/>
        </w:rPr>
        <w:t>ierras</w:t>
      </w:r>
      <w:r w:rsidR="00007C54">
        <w:rPr>
          <w:i/>
          <w:iCs/>
        </w:rPr>
        <w:t>”</w:t>
      </w:r>
      <w:r w:rsidRPr="00291439">
        <w:rPr>
          <w:i/>
          <w:iCs/>
        </w:rPr>
        <w:t xml:space="preserve"> </w:t>
      </w:r>
      <w:r w:rsidRPr="00291439">
        <w:t>(2011</w:t>
      </w:r>
      <w:r w:rsidR="00291439" w:rsidRPr="00291439">
        <w:t>): a law that establishes a series of judicial, administrative</w:t>
      </w:r>
      <w:r w:rsidR="00291439">
        <w:t>,</w:t>
      </w:r>
      <w:r w:rsidR="00291439" w:rsidRPr="00291439">
        <w:t xml:space="preserve"> and reparati</w:t>
      </w:r>
      <w:r w:rsidR="00291439">
        <w:t>on</w:t>
      </w:r>
      <w:r w:rsidR="00291439" w:rsidRPr="00291439">
        <w:t xml:space="preserve"> measures for victims of human rig</w:t>
      </w:r>
      <w:r w:rsidR="00291439">
        <w:t>hts violations during the armed conflict.</w:t>
      </w:r>
      <w:r w:rsidR="00CD2EE7">
        <w:t xml:space="preserve"> </w:t>
      </w:r>
      <w:r w:rsidR="00CD2EE7" w:rsidRPr="00007C54">
        <w:t>It is linked to</w:t>
      </w:r>
      <w:r w:rsidR="00CD2EE7">
        <w:t xml:space="preserve"> specific</w:t>
      </w:r>
      <w:r w:rsidR="00CD2EE7" w:rsidRPr="00007C54">
        <w:t xml:space="preserve"> dec</w:t>
      </w:r>
      <w:r w:rsidR="00CD2EE7">
        <w:t>rees (N°4633, 4634, 4635) that pertain ethnic groups.</w:t>
      </w:r>
    </w:p>
    <w:p w14:paraId="3833A19A" w14:textId="2E9B400A" w:rsidR="00E37328" w:rsidRPr="004D22F4" w:rsidRDefault="00406D2C" w:rsidP="00406D2C">
      <w:pPr>
        <w:ind w:left="720"/>
        <w:jc w:val="both"/>
      </w:pPr>
      <w:r>
        <w:t>This law</w:t>
      </w:r>
      <w:r w:rsidRPr="00406D2C">
        <w:t xml:space="preserve"> </w:t>
      </w:r>
      <w:r w:rsidR="00CD2EE7">
        <w:t xml:space="preserve">also </w:t>
      </w:r>
      <w:r w:rsidRPr="00406D2C">
        <w:t>create</w:t>
      </w:r>
      <w:r>
        <w:t>d</w:t>
      </w:r>
      <w:r w:rsidRPr="00406D2C">
        <w:t xml:space="preserve"> the </w:t>
      </w:r>
      <w:r w:rsidR="00E37328" w:rsidRPr="00406D2C">
        <w:rPr>
          <w:i/>
          <w:iCs/>
        </w:rPr>
        <w:t>Sistema Nacional de Atención y Reparación Integral a las Víctimas (SNARIV)</w:t>
      </w:r>
      <w:r w:rsidRPr="00406D2C">
        <w:t xml:space="preserve">, </w:t>
      </w:r>
      <w:r>
        <w:t>a network that</w:t>
      </w:r>
      <w:r w:rsidRPr="00406D2C">
        <w:t xml:space="preserve"> coordinates reparation and support measure</w:t>
      </w:r>
      <w:r w:rsidR="004D22F4">
        <w:t>s</w:t>
      </w:r>
      <w:r w:rsidRPr="00406D2C">
        <w:t xml:space="preserve"> for victims of</w:t>
      </w:r>
      <w:r>
        <w:t xml:space="preserve"> the armed conflict throughout the country.</w:t>
      </w:r>
      <w:r w:rsidR="00DF1869">
        <w:t xml:space="preserve"> </w:t>
      </w:r>
      <w:r w:rsidR="004D22F4" w:rsidRPr="004D22F4">
        <w:t xml:space="preserve">Additionally, the </w:t>
      </w:r>
      <w:r w:rsidR="004D22F4" w:rsidRPr="004D22F4">
        <w:rPr>
          <w:i/>
          <w:iCs/>
        </w:rPr>
        <w:t xml:space="preserve">Programa de Atención Psicosocial y Salud Integral a Víctimas (PAPSIVI) </w:t>
      </w:r>
      <w:r w:rsidR="004D22F4" w:rsidRPr="004D22F4">
        <w:t>provides health</w:t>
      </w:r>
      <w:r w:rsidR="004D22F4">
        <w:t>care</w:t>
      </w:r>
      <w:r w:rsidR="004D22F4" w:rsidRPr="004D22F4">
        <w:t xml:space="preserve"> and community</w:t>
      </w:r>
      <w:r w:rsidR="004D22F4">
        <w:t xml:space="preserve"> support.</w:t>
      </w:r>
    </w:p>
    <w:p w14:paraId="7AD87308" w14:textId="2EB9CECF" w:rsidR="001C5E87" w:rsidRPr="00310D6D" w:rsidRDefault="000A19E0" w:rsidP="001C5E87">
      <w:pPr>
        <w:jc w:val="both"/>
      </w:pPr>
      <w:r w:rsidRPr="00310D6D">
        <w:rPr>
          <w:i/>
          <w:iCs/>
        </w:rPr>
        <w:t xml:space="preserve">Sistema Integral de Verdad, Justicia, Reparación y No Repetición (SIVJRNR) </w:t>
      </w:r>
      <w:r w:rsidRPr="00310D6D">
        <w:t>(2017)</w:t>
      </w:r>
      <w:r w:rsidR="00733CA6" w:rsidRPr="00310D6D">
        <w:t>: a</w:t>
      </w:r>
      <w:r w:rsidR="00110133" w:rsidRPr="00310D6D">
        <w:t xml:space="preserve"> series of mechanisms </w:t>
      </w:r>
      <w:r w:rsidR="009F4669" w:rsidRPr="00310D6D">
        <w:t xml:space="preserve">for reparation, investigation and justice that </w:t>
      </w:r>
      <w:r w:rsidR="00110133" w:rsidRPr="00310D6D">
        <w:t xml:space="preserve">stem from the Acuerdo de Paz. </w:t>
      </w:r>
    </w:p>
    <w:p w14:paraId="5FBF4B6D" w14:textId="3846D528" w:rsidR="009F4669" w:rsidRDefault="009F4669" w:rsidP="001C5E87">
      <w:pPr>
        <w:ind w:left="720"/>
        <w:jc w:val="both"/>
      </w:pPr>
      <w:r w:rsidRPr="009F4669">
        <w:t xml:space="preserve">In addition to the work of the Truth Commission, </w:t>
      </w:r>
      <w:r w:rsidR="001C5E87">
        <w:t>the SIVJRNR</w:t>
      </w:r>
      <w:r w:rsidRPr="009F4669">
        <w:t xml:space="preserve"> includes the </w:t>
      </w:r>
      <w:r w:rsidRPr="009F4669">
        <w:rPr>
          <w:i/>
          <w:iCs/>
        </w:rPr>
        <w:t>Jurisdicción Especial para la Paz (JEP)</w:t>
      </w:r>
      <w:r w:rsidRPr="009F4669">
        <w:t xml:space="preserve">, which investigates cases of human rights violations, and the </w:t>
      </w:r>
      <w:r w:rsidRPr="009F4669">
        <w:rPr>
          <w:i/>
          <w:iCs/>
        </w:rPr>
        <w:t xml:space="preserve">Unidad de Búsqueda de Personas dadas por Desaparecidas (UBPD), </w:t>
      </w:r>
      <w:r w:rsidRPr="009F4669">
        <w:t>which deals with cases of disappeared persons.</w:t>
      </w:r>
    </w:p>
    <w:p w14:paraId="7059548E" w14:textId="127D597E" w:rsidR="009F4669" w:rsidRDefault="00E11FB7" w:rsidP="009F4669">
      <w:pPr>
        <w:jc w:val="both"/>
      </w:pPr>
      <w:r>
        <w:rPr>
          <w:i/>
          <w:iCs/>
        </w:rPr>
        <w:t>Informe “</w:t>
      </w:r>
      <w:r w:rsidR="009F4669" w:rsidRPr="00FF2653">
        <w:rPr>
          <w:i/>
          <w:iCs/>
        </w:rPr>
        <w:t>Hay Futuro si hay Verdad</w:t>
      </w:r>
      <w:r>
        <w:rPr>
          <w:i/>
          <w:iCs/>
        </w:rPr>
        <w:t>” (2022)</w:t>
      </w:r>
      <w:r w:rsidR="001C5E87" w:rsidRPr="00FF2653">
        <w:rPr>
          <w:i/>
          <w:iCs/>
        </w:rPr>
        <w:t xml:space="preserve">: </w:t>
      </w:r>
      <w:r w:rsidR="00FF2653" w:rsidRPr="00FF2653">
        <w:t>the</w:t>
      </w:r>
      <w:r w:rsidR="00D7103C">
        <w:t xml:space="preserve"> final</w:t>
      </w:r>
      <w:r w:rsidR="00FF2653" w:rsidRPr="00FF2653">
        <w:t xml:space="preserve"> report </w:t>
      </w:r>
      <w:r w:rsidR="00D7103C">
        <w:t>with the results of</w:t>
      </w:r>
      <w:r w:rsidR="00FF2653" w:rsidRPr="00FF2653">
        <w:t xml:space="preserve"> the w</w:t>
      </w:r>
      <w:r w:rsidR="00FF2653">
        <w:t>ork of the CEV, published in</w:t>
      </w:r>
      <w:r w:rsidR="00D7103C">
        <w:t xml:space="preserve"> 11 volumes</w:t>
      </w:r>
      <w:r w:rsidR="00FF2653">
        <w:t xml:space="preserve"> </w:t>
      </w:r>
      <w:r w:rsidR="00D7103C">
        <w:t xml:space="preserve">(comprising </w:t>
      </w:r>
      <w:r w:rsidR="00FF2653">
        <w:t xml:space="preserve">24 </w:t>
      </w:r>
      <w:r w:rsidR="00D7103C">
        <w:t>parts)</w:t>
      </w:r>
      <w:r w:rsidR="00FF2653">
        <w:t>.</w:t>
      </w:r>
    </w:p>
    <w:p w14:paraId="16893288" w14:textId="0ACDD1DC" w:rsidR="00E11FB7" w:rsidRDefault="00000000" w:rsidP="00E11FB7">
      <w:pPr>
        <w:ind w:firstLine="720"/>
        <w:jc w:val="both"/>
      </w:pPr>
      <w:hyperlink r:id="rId5" w:history="1">
        <w:r w:rsidR="00E11FB7" w:rsidRPr="00233315">
          <w:rPr>
            <w:rStyle w:val="Hyperlink"/>
          </w:rPr>
          <w:t>https://www.comisiondelaverdad.co/hay-futuro-si-hay-verdad</w:t>
        </w:r>
      </w:hyperlink>
    </w:p>
    <w:p w14:paraId="310E14CE" w14:textId="3AFFDF89" w:rsidR="00972638" w:rsidRPr="00D6501F" w:rsidRDefault="00972638" w:rsidP="00552E84">
      <w:pPr>
        <w:jc w:val="both"/>
        <w:rPr>
          <w:b/>
          <w:bCs/>
        </w:rPr>
      </w:pPr>
      <w:r w:rsidRPr="00D6501F">
        <w:rPr>
          <w:b/>
          <w:bCs/>
        </w:rPr>
        <w:lastRenderedPageBreak/>
        <w:t>Sites of memory</w:t>
      </w:r>
    </w:p>
    <w:p w14:paraId="4F32EE70" w14:textId="4374C1AF" w:rsidR="006D1A2D" w:rsidRPr="00AC7D9A" w:rsidRDefault="006D1A2D" w:rsidP="006D1A2D">
      <w:pPr>
        <w:jc w:val="both"/>
      </w:pPr>
      <w:r w:rsidRPr="00E37328">
        <w:rPr>
          <w:i/>
          <w:iCs/>
        </w:rPr>
        <w:t>Centro de Memoria Histórica</w:t>
      </w:r>
      <w:r w:rsidR="00E37328" w:rsidRPr="00E37328">
        <w:rPr>
          <w:i/>
          <w:iCs/>
        </w:rPr>
        <w:t xml:space="preserve">: </w:t>
      </w:r>
      <w:r w:rsidR="00E37328" w:rsidRPr="00E37328">
        <w:t xml:space="preserve">a </w:t>
      </w:r>
      <w:r w:rsidR="00AC7D9A" w:rsidRPr="00E37328">
        <w:t>g</w:t>
      </w:r>
      <w:r w:rsidR="00AC7D9A">
        <w:t>ov</w:t>
      </w:r>
      <w:r w:rsidR="00AC7D9A" w:rsidRPr="00E37328">
        <w:t>ernment</w:t>
      </w:r>
      <w:r w:rsidR="00E37328" w:rsidRPr="00E37328">
        <w:t xml:space="preserve"> institution </w:t>
      </w:r>
      <w:r w:rsidR="001C5E87">
        <w:t>created</w:t>
      </w:r>
      <w:r w:rsidR="00E37328" w:rsidRPr="00E37328">
        <w:t xml:space="preserve"> in 201</w:t>
      </w:r>
      <w:r w:rsidR="001C5E87">
        <w:t>1 (under Law 1.448)</w:t>
      </w:r>
      <w:r w:rsidR="00E37328">
        <w:t xml:space="preserve">, </w:t>
      </w:r>
      <w:r w:rsidR="00AC7D9A">
        <w:t>with the task</w:t>
      </w:r>
      <w:r w:rsidR="00406D2C">
        <w:t xml:space="preserve"> </w:t>
      </w:r>
      <w:r w:rsidR="00AC7D9A">
        <w:t xml:space="preserve">of preserving </w:t>
      </w:r>
      <w:r w:rsidR="00406D2C">
        <w:t xml:space="preserve">the memory of the armed conflict. </w:t>
      </w:r>
      <w:r w:rsidR="00406D2C" w:rsidRPr="00AC7D9A">
        <w:t>It</w:t>
      </w:r>
      <w:r w:rsidR="00BC77B5" w:rsidRPr="00AC7D9A">
        <w:t xml:space="preserve"> hosts</w:t>
      </w:r>
      <w:r w:rsidR="00AC7D9A" w:rsidRPr="00AC7D9A">
        <w:t xml:space="preserve"> the </w:t>
      </w:r>
      <w:r w:rsidR="00AC7D9A" w:rsidRPr="00AC7D9A">
        <w:rPr>
          <w:i/>
          <w:iCs/>
        </w:rPr>
        <w:t xml:space="preserve">Archivo de los Derechos Humanos </w:t>
      </w:r>
      <w:r w:rsidR="00AC7D9A" w:rsidRPr="00AC7D9A">
        <w:t xml:space="preserve">and a </w:t>
      </w:r>
      <w:r w:rsidR="00AC7D9A" w:rsidRPr="00AC7D9A">
        <w:rPr>
          <w:i/>
          <w:iCs/>
        </w:rPr>
        <w:t>Museo de la Memoria</w:t>
      </w:r>
      <w:r w:rsidR="001C5E87">
        <w:rPr>
          <w:i/>
          <w:iCs/>
        </w:rPr>
        <w:t xml:space="preserve"> Histórica</w:t>
      </w:r>
      <w:r w:rsidR="00AC7D9A" w:rsidRPr="00AC7D9A">
        <w:t>, the latter</w:t>
      </w:r>
      <w:r w:rsidR="00AC7D9A">
        <w:t xml:space="preserve"> still unfinished.</w:t>
      </w:r>
    </w:p>
    <w:p w14:paraId="1F7A9707" w14:textId="0D929870" w:rsidR="00BC77B5" w:rsidRPr="00BC77B5" w:rsidRDefault="00BC77B5" w:rsidP="006D1A2D">
      <w:pPr>
        <w:jc w:val="both"/>
      </w:pPr>
      <w:r w:rsidRPr="00BC77B5">
        <w:rPr>
          <w:i/>
          <w:iCs/>
        </w:rPr>
        <w:t xml:space="preserve">Centro de Memoria, Paz y Reconciliación: </w:t>
      </w:r>
      <w:r w:rsidRPr="00BC77B5">
        <w:t xml:space="preserve">a memorial site </w:t>
      </w:r>
      <w:r w:rsidR="00AC7D9A">
        <w:t xml:space="preserve">that was </w:t>
      </w:r>
      <w:r w:rsidRPr="00BC77B5">
        <w:t xml:space="preserve">inaugurated in 2012 </w:t>
      </w:r>
      <w:r>
        <w:t>in</w:t>
      </w:r>
      <w:r w:rsidRPr="00BC77B5">
        <w:t xml:space="preserve"> Bogotá</w:t>
      </w:r>
      <w:r w:rsidR="00AC7D9A">
        <w:t>. It is located in the Parque de la Reconciliación and</w:t>
      </w:r>
      <w:r w:rsidRPr="00BC77B5">
        <w:t xml:space="preserve"> regularly h</w:t>
      </w:r>
      <w:r>
        <w:t>ost public activities.</w:t>
      </w:r>
      <w:r w:rsidR="00FF2653">
        <w:t xml:space="preserve"> It houses a documentation centre</w:t>
      </w:r>
      <w:r w:rsidR="00AE1D16">
        <w:t>.</w:t>
      </w:r>
    </w:p>
    <w:p w14:paraId="09F9695B" w14:textId="7B4F96DC" w:rsidR="00E37328" w:rsidRPr="00C36DCD" w:rsidRDefault="00E37328" w:rsidP="006D1A2D">
      <w:pPr>
        <w:jc w:val="both"/>
      </w:pPr>
      <w:r w:rsidRPr="00C36DCD">
        <w:rPr>
          <w:i/>
          <w:iCs/>
        </w:rPr>
        <w:t>Museo Casa de la Memoria</w:t>
      </w:r>
      <w:r w:rsidRPr="00C36DCD">
        <w:t xml:space="preserve">: </w:t>
      </w:r>
      <w:r w:rsidR="00C36DCD" w:rsidRPr="00C36DCD">
        <w:t xml:space="preserve">a commemorative institution </w:t>
      </w:r>
      <w:r w:rsidR="00291439">
        <w:t xml:space="preserve">that was </w:t>
      </w:r>
      <w:r w:rsidR="00C36DCD" w:rsidRPr="00C36DCD">
        <w:t xml:space="preserve">inaugurated in </w:t>
      </w:r>
      <w:r w:rsidR="00C36DCD">
        <w:t xml:space="preserve">2012 in the city of Medellín, </w:t>
      </w:r>
      <w:r w:rsidR="00291439">
        <w:t>the</w:t>
      </w:r>
      <w:r w:rsidR="00C36DCD">
        <w:t xml:space="preserve"> result of the work of victims of the armed conflict and the mayor’s office.</w:t>
      </w:r>
    </w:p>
    <w:p w14:paraId="47929F6A" w14:textId="77777777" w:rsidR="00972638" w:rsidRPr="00356F9A" w:rsidRDefault="00972638" w:rsidP="00552E84">
      <w:pPr>
        <w:jc w:val="both"/>
        <w:rPr>
          <w:b/>
          <w:bCs/>
        </w:rPr>
      </w:pPr>
      <w:r w:rsidRPr="00356F9A">
        <w:rPr>
          <w:b/>
          <w:bCs/>
        </w:rPr>
        <w:t>Organisations</w:t>
      </w:r>
    </w:p>
    <w:p w14:paraId="766EFFCF" w14:textId="322341B0" w:rsidR="00F71B72" w:rsidRPr="0003296A" w:rsidRDefault="00FF2653" w:rsidP="00FF2653">
      <w:pPr>
        <w:jc w:val="both"/>
      </w:pPr>
      <w:r w:rsidRPr="0003296A">
        <w:t>Asociación de Familiares de</w:t>
      </w:r>
      <w:r w:rsidR="00BF660D">
        <w:t xml:space="preserve"> </w:t>
      </w:r>
      <w:r w:rsidRPr="0003296A">
        <w:t xml:space="preserve">Detenidos y Desaparecidos </w:t>
      </w:r>
      <w:r w:rsidR="0003296A" w:rsidRPr="0003296A">
        <w:t>(ASFADDES): a non-governmental organisation established in 198</w:t>
      </w:r>
      <w:r w:rsidR="00BF660D">
        <w:t>3</w:t>
      </w:r>
      <w:r w:rsidR="0003296A" w:rsidRPr="0003296A">
        <w:t xml:space="preserve"> by relatives of victims of enforced disappea</w:t>
      </w:r>
      <w:r w:rsidR="0003296A">
        <w:t xml:space="preserve">rances. </w:t>
      </w:r>
      <w:r w:rsidRPr="0003296A">
        <w:t xml:space="preserve">  </w:t>
      </w:r>
    </w:p>
    <w:p w14:paraId="0369694E" w14:textId="2727B94E" w:rsidR="00FF2653" w:rsidRDefault="00FF2653" w:rsidP="00FF2653">
      <w:pPr>
        <w:jc w:val="both"/>
      </w:pPr>
      <w:r w:rsidRPr="00C331AD">
        <w:t>Movimiento de Víctimas</w:t>
      </w:r>
      <w:r w:rsidR="00C331AD" w:rsidRPr="00C331AD">
        <w:t xml:space="preserve"> </w:t>
      </w:r>
      <w:r w:rsidRPr="00C331AD">
        <w:t>de Crímenes de Estado</w:t>
      </w:r>
      <w:r w:rsidR="00C331AD" w:rsidRPr="00C331AD">
        <w:t xml:space="preserve"> (MOVICE): an umbrella organisation for victims of human right violations perpetrated by state forces or paramilitary groups</w:t>
      </w:r>
      <w:r w:rsidR="00C331AD">
        <w:t xml:space="preserve">. </w:t>
      </w:r>
      <w:r w:rsidR="00C331AD" w:rsidRPr="00C331AD">
        <w:t xml:space="preserve"> </w:t>
      </w:r>
    </w:p>
    <w:p w14:paraId="1149A12E" w14:textId="20981909" w:rsidR="00310D6D" w:rsidRPr="00310D6D" w:rsidRDefault="00310D6D" w:rsidP="00FF2653">
      <w:pPr>
        <w:jc w:val="both"/>
        <w:rPr>
          <w:i/>
          <w:iCs/>
        </w:rPr>
      </w:pPr>
      <w:r w:rsidRPr="00310D6D">
        <w:rPr>
          <w:i/>
          <w:iCs/>
          <w:lang w:val="es-CL"/>
        </w:rPr>
        <w:t xml:space="preserve">Comisión Nacional de Reparación </w:t>
      </w:r>
      <w:r>
        <w:rPr>
          <w:i/>
          <w:iCs/>
          <w:lang w:val="es-CL"/>
        </w:rPr>
        <w:t>y Restauración (CNRR</w:t>
      </w:r>
      <w:r w:rsidRPr="00310D6D">
        <w:rPr>
          <w:i/>
          <w:iCs/>
          <w:lang w:val="es-CL"/>
        </w:rPr>
        <w:t xml:space="preserve">): </w:t>
      </w:r>
      <w:r w:rsidRPr="00310D6D">
        <w:rPr>
          <w:lang w:val="es-CL"/>
        </w:rPr>
        <w:t xml:space="preserve">a body established by the Ley 975. </w:t>
      </w:r>
      <w:r w:rsidRPr="00310D6D">
        <w:t xml:space="preserve">It comprises the </w:t>
      </w:r>
      <w:r w:rsidRPr="00310D6D">
        <w:rPr>
          <w:i/>
          <w:iCs/>
        </w:rPr>
        <w:t>Grupo de Memoria Histórica</w:t>
      </w:r>
      <w:r>
        <w:rPr>
          <w:i/>
          <w:iCs/>
        </w:rPr>
        <w:t xml:space="preserve"> (GMH)</w:t>
      </w:r>
      <w:r w:rsidRPr="00310D6D">
        <w:rPr>
          <w:i/>
          <w:iCs/>
        </w:rPr>
        <w:t xml:space="preserve">, </w:t>
      </w:r>
      <w:r w:rsidRPr="00310D6D">
        <w:t>a</w:t>
      </w:r>
      <w:r>
        <w:t>n investigative</w:t>
      </w:r>
      <w:r w:rsidRPr="00310D6D">
        <w:t xml:space="preserve"> unit that has</w:t>
      </w:r>
      <w:r>
        <w:t xml:space="preserve"> published reports on the armed conflict.</w:t>
      </w:r>
    </w:p>
    <w:p w14:paraId="3F8C1692" w14:textId="77777777" w:rsidR="00946C25" w:rsidRDefault="000240A3" w:rsidP="00552E84">
      <w:pPr>
        <w:jc w:val="both"/>
      </w:pPr>
      <w:r w:rsidRPr="00310D6D">
        <w:rPr>
          <w:i/>
          <w:iCs/>
        </w:rPr>
        <w:t xml:space="preserve">Comisión para el Esclarecimiento de la Verdad, </w:t>
      </w:r>
      <w:r w:rsidR="00B46416" w:rsidRPr="00310D6D">
        <w:rPr>
          <w:i/>
          <w:iCs/>
        </w:rPr>
        <w:t>la Convivencia y la No Repetición</w:t>
      </w:r>
      <w:r w:rsidR="00BF660D" w:rsidRPr="00310D6D">
        <w:rPr>
          <w:i/>
          <w:iCs/>
        </w:rPr>
        <w:t xml:space="preserve"> (CEV)</w:t>
      </w:r>
      <w:r w:rsidR="00B46416" w:rsidRPr="00310D6D">
        <w:rPr>
          <w:i/>
          <w:iCs/>
        </w:rPr>
        <w:t xml:space="preserve">: </w:t>
      </w:r>
      <w:r w:rsidR="00B46416" w:rsidRPr="00310D6D">
        <w:t xml:space="preserve">a body created after the 2016 </w:t>
      </w:r>
      <w:r w:rsidR="00B275AB" w:rsidRPr="00310D6D">
        <w:t xml:space="preserve">agreement, to investigate the armed conflict and provide a path to reconciliation. </w:t>
      </w:r>
    </w:p>
    <w:p w14:paraId="00FDAEBD" w14:textId="74539426" w:rsidR="000240A3" w:rsidRPr="00946C25" w:rsidRDefault="00946C25" w:rsidP="00552E84">
      <w:pPr>
        <w:jc w:val="both"/>
      </w:pPr>
      <w:r w:rsidRPr="00946C25">
        <w:rPr>
          <w:i/>
          <w:iCs/>
        </w:rPr>
        <w:t>Consejería Presidencial para los Derechos Humanos y el Derecho Internacional Humanitario:</w:t>
      </w:r>
      <w:r w:rsidRPr="00946C25">
        <w:t xml:space="preserve"> </w:t>
      </w:r>
      <w:r>
        <w:t xml:space="preserve">the </w:t>
      </w:r>
      <w:r w:rsidRPr="00946C25">
        <w:t>state body currently in charge of</w:t>
      </w:r>
      <w:r>
        <w:t xml:space="preserve"> coordinating state actions in line with</w:t>
      </w:r>
      <w:r w:rsidRPr="00946C25">
        <w:t xml:space="preserve"> the promotion of human</w:t>
      </w:r>
      <w:r>
        <w:t xml:space="preserve"> rights</w:t>
      </w:r>
    </w:p>
    <w:p w14:paraId="60B3050C" w14:textId="6FF22FC0" w:rsidR="00972638" w:rsidRPr="0039159A" w:rsidRDefault="00972638" w:rsidP="001C41B9">
      <w:pPr>
        <w:jc w:val="both"/>
        <w:rPr>
          <w:b/>
          <w:bCs/>
          <w:lang w:val="es-CL"/>
        </w:rPr>
      </w:pPr>
      <w:r w:rsidRPr="0039159A">
        <w:rPr>
          <w:b/>
          <w:bCs/>
          <w:lang w:val="es-CL"/>
        </w:rPr>
        <w:t>Issues specific to the country</w:t>
      </w:r>
    </w:p>
    <w:p w14:paraId="76006AEA" w14:textId="77777777" w:rsidR="00FF2653" w:rsidRPr="0039159A" w:rsidRDefault="00FF2653" w:rsidP="001C41B9">
      <w:pPr>
        <w:jc w:val="both"/>
        <w:rPr>
          <w:b/>
          <w:bCs/>
          <w:lang w:val="es-CL"/>
        </w:rPr>
      </w:pPr>
    </w:p>
    <w:p w14:paraId="0E83EAE4" w14:textId="77777777" w:rsidR="002725A6" w:rsidRPr="0039159A" w:rsidRDefault="002725A6" w:rsidP="001C41B9">
      <w:pPr>
        <w:jc w:val="both"/>
        <w:rPr>
          <w:b/>
          <w:bCs/>
          <w:lang w:val="es-CL"/>
        </w:rPr>
      </w:pPr>
    </w:p>
    <w:sectPr w:rsidR="002725A6" w:rsidRPr="0039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2E0C"/>
    <w:multiLevelType w:val="hybridMultilevel"/>
    <w:tmpl w:val="9C120840"/>
    <w:lvl w:ilvl="0" w:tplc="3AAAF604">
      <w:start w:val="1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1"/>
  </w:num>
  <w:num w:numId="2" w16cid:durableId="5332823">
    <w:abstractNumId w:val="1"/>
  </w:num>
  <w:num w:numId="3" w16cid:durableId="196851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8"/>
    <w:rsid w:val="00007C54"/>
    <w:rsid w:val="000240A3"/>
    <w:rsid w:val="0003296A"/>
    <w:rsid w:val="000705D3"/>
    <w:rsid w:val="00081EA4"/>
    <w:rsid w:val="00082D57"/>
    <w:rsid w:val="000A19E0"/>
    <w:rsid w:val="000C2801"/>
    <w:rsid w:val="000E15FE"/>
    <w:rsid w:val="00101AFB"/>
    <w:rsid w:val="0010332E"/>
    <w:rsid w:val="00110133"/>
    <w:rsid w:val="00120882"/>
    <w:rsid w:val="00130209"/>
    <w:rsid w:val="00175157"/>
    <w:rsid w:val="00180D72"/>
    <w:rsid w:val="001C41B9"/>
    <w:rsid w:val="001C5E87"/>
    <w:rsid w:val="001D279B"/>
    <w:rsid w:val="00211F2C"/>
    <w:rsid w:val="0026496D"/>
    <w:rsid w:val="002725A6"/>
    <w:rsid w:val="0028082A"/>
    <w:rsid w:val="00291231"/>
    <w:rsid w:val="00291439"/>
    <w:rsid w:val="002D0D5D"/>
    <w:rsid w:val="00310D6D"/>
    <w:rsid w:val="003478CC"/>
    <w:rsid w:val="00350321"/>
    <w:rsid w:val="00356F9A"/>
    <w:rsid w:val="0039159A"/>
    <w:rsid w:val="00391B80"/>
    <w:rsid w:val="003B6E2F"/>
    <w:rsid w:val="003C0DF9"/>
    <w:rsid w:val="003D7B2A"/>
    <w:rsid w:val="00406D2C"/>
    <w:rsid w:val="0041389E"/>
    <w:rsid w:val="00437415"/>
    <w:rsid w:val="004401C1"/>
    <w:rsid w:val="004D22F4"/>
    <w:rsid w:val="004F34FF"/>
    <w:rsid w:val="00546007"/>
    <w:rsid w:val="00552E84"/>
    <w:rsid w:val="005660DB"/>
    <w:rsid w:val="005C7094"/>
    <w:rsid w:val="005F64AA"/>
    <w:rsid w:val="006176A9"/>
    <w:rsid w:val="00630400"/>
    <w:rsid w:val="00640D0A"/>
    <w:rsid w:val="006647A1"/>
    <w:rsid w:val="006B177A"/>
    <w:rsid w:val="006D1A2D"/>
    <w:rsid w:val="007160B2"/>
    <w:rsid w:val="007165DF"/>
    <w:rsid w:val="00733CA6"/>
    <w:rsid w:val="00765F69"/>
    <w:rsid w:val="00781749"/>
    <w:rsid w:val="007C4A62"/>
    <w:rsid w:val="007E6696"/>
    <w:rsid w:val="008115C6"/>
    <w:rsid w:val="0084068A"/>
    <w:rsid w:val="00925B51"/>
    <w:rsid w:val="00931A03"/>
    <w:rsid w:val="00941C69"/>
    <w:rsid w:val="00946C25"/>
    <w:rsid w:val="00965D59"/>
    <w:rsid w:val="0096704E"/>
    <w:rsid w:val="00972638"/>
    <w:rsid w:val="00981313"/>
    <w:rsid w:val="009D2775"/>
    <w:rsid w:val="009F4669"/>
    <w:rsid w:val="00A7275C"/>
    <w:rsid w:val="00A85187"/>
    <w:rsid w:val="00AA1465"/>
    <w:rsid w:val="00AC7D9A"/>
    <w:rsid w:val="00AE1D16"/>
    <w:rsid w:val="00AE42A9"/>
    <w:rsid w:val="00B22533"/>
    <w:rsid w:val="00B275AB"/>
    <w:rsid w:val="00B46416"/>
    <w:rsid w:val="00B56604"/>
    <w:rsid w:val="00B845C7"/>
    <w:rsid w:val="00BC77B5"/>
    <w:rsid w:val="00BE6B8E"/>
    <w:rsid w:val="00BF660D"/>
    <w:rsid w:val="00C0563B"/>
    <w:rsid w:val="00C302CF"/>
    <w:rsid w:val="00C331AD"/>
    <w:rsid w:val="00C35330"/>
    <w:rsid w:val="00C36DCD"/>
    <w:rsid w:val="00C573E3"/>
    <w:rsid w:val="00C73779"/>
    <w:rsid w:val="00C8776D"/>
    <w:rsid w:val="00C95BAF"/>
    <w:rsid w:val="00CB1466"/>
    <w:rsid w:val="00CD2EE7"/>
    <w:rsid w:val="00CD7FF9"/>
    <w:rsid w:val="00D6501F"/>
    <w:rsid w:val="00D65130"/>
    <w:rsid w:val="00D70E92"/>
    <w:rsid w:val="00D7103C"/>
    <w:rsid w:val="00D83B5B"/>
    <w:rsid w:val="00DB6C5B"/>
    <w:rsid w:val="00DC165A"/>
    <w:rsid w:val="00DD2A6E"/>
    <w:rsid w:val="00DF1869"/>
    <w:rsid w:val="00E11FB7"/>
    <w:rsid w:val="00E3195B"/>
    <w:rsid w:val="00E31DB3"/>
    <w:rsid w:val="00E37328"/>
    <w:rsid w:val="00E449F8"/>
    <w:rsid w:val="00E75D6F"/>
    <w:rsid w:val="00EF196A"/>
    <w:rsid w:val="00EF223D"/>
    <w:rsid w:val="00F3571E"/>
    <w:rsid w:val="00F47454"/>
    <w:rsid w:val="00F5653D"/>
    <w:rsid w:val="00F62DDC"/>
    <w:rsid w:val="00F654AE"/>
    <w:rsid w:val="00F71B72"/>
    <w:rsid w:val="00F722A0"/>
    <w:rsid w:val="00FA1E70"/>
    <w:rsid w:val="00FA6556"/>
    <w:rsid w:val="00FB49DF"/>
    <w:rsid w:val="00FE17F5"/>
    <w:rsid w:val="00FE6E14"/>
    <w:rsid w:val="00FF2653"/>
    <w:rsid w:val="00FF3956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354C0"/>
  <w15:chartTrackingRefBased/>
  <w15:docId w15:val="{4849A07A-46DE-4D5C-AD4D-1E26D42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38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isiondelaverdad.co/hay-futuro-si-hay-ver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Valeria Grinberg Pla</cp:lastModifiedBy>
  <cp:revision>2</cp:revision>
  <dcterms:created xsi:type="dcterms:W3CDTF">2023-10-17T21:27:00Z</dcterms:created>
  <dcterms:modified xsi:type="dcterms:W3CDTF">2023-10-17T21:27:00Z</dcterms:modified>
</cp:coreProperties>
</file>