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1585" w14:textId="0369D40B" w:rsidR="005B1CE7" w:rsidRPr="00110B4C" w:rsidRDefault="005B1CE7" w:rsidP="00DE22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b/>
          <w:bCs/>
          <w:lang w:val="es-CL"/>
        </w:rPr>
      </w:pPr>
      <w:r w:rsidRPr="00110B4C">
        <w:rPr>
          <w:b/>
          <w:bCs/>
          <w:lang w:val="es-CL"/>
        </w:rPr>
        <w:t>Uruguay</w:t>
      </w:r>
    </w:p>
    <w:p w14:paraId="43C74C81" w14:textId="692DD91C" w:rsidR="005B1CE7" w:rsidRPr="0036684F" w:rsidRDefault="00E35F8F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36684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Military dictatorship</w:t>
      </w:r>
      <w:r w:rsidR="001F584D" w:rsidRPr="0036684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(1973-1985)</w:t>
      </w:r>
    </w:p>
    <w:p w14:paraId="61A60733" w14:textId="43DB1486" w:rsidR="00E35F8F" w:rsidRPr="00E35F8F" w:rsidRDefault="00E35F8F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E35F8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Categories: </w:t>
      </w:r>
      <w:r w:rsidR="0036684F">
        <w:t>Dictatorship; coup; Operation Condor;</w:t>
      </w:r>
      <w:r w:rsidR="0036684F">
        <w:t xml:space="preserve"> amnesty law; reparation law;</w:t>
      </w:r>
      <w:r w:rsidR="0036684F">
        <w:t xml:space="preserve"> truth commission; state museum; memorial sites.</w:t>
      </w:r>
    </w:p>
    <w:p w14:paraId="6E6464F7" w14:textId="23B22634" w:rsidR="002447E0" w:rsidRPr="00E35F8F" w:rsidRDefault="003324B0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E35F8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</w:t>
      </w:r>
      <w:r w:rsidR="005B1CE7" w:rsidRPr="00E35F8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ctor</w:t>
      </w:r>
      <w:r w:rsidR="00E35F8F" w:rsidRPr="00E35F8F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s: </w:t>
      </w:r>
      <w:r w:rsidR="00E35F8F" w:rsidRPr="00E35F8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Uruguayan armed forces; Uruguayan political parties (several of which were banned during the period); social organisations; guerrilla movements active during the previous decade.</w:t>
      </w:r>
    </w:p>
    <w:p w14:paraId="27ECEACA" w14:textId="47287E0B" w:rsidR="005B1CE7" w:rsidRPr="005B408C" w:rsidRDefault="00E35F8F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Key historical events</w:t>
      </w:r>
    </w:p>
    <w:p w14:paraId="00506956" w14:textId="6635A156" w:rsidR="00717ECF" w:rsidRDefault="006A5952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B408C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1973 </w:t>
      </w: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– 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Coup d’état</w:t>
      </w: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. 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On June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27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Juan María Bordaberry dissolves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parliament and takes control of the government with the armed forces. Political parties and civic organisations were dissolved, and the universities and public administration were interfered with. </w:t>
      </w:r>
    </w:p>
    <w:p w14:paraId="4BB38797" w14:textId="301DBFB6" w:rsidR="006644C9" w:rsidRPr="00717ECF" w:rsidRDefault="00717ECF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period of violent repression by state agents began, including the imprisonment, torture and murder of citizens.</w:t>
      </w:r>
      <w:r w:rsidR="005B408C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La Secretaría de Derechos humanos </w:t>
      </w: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estimates that 192 people disappeared during this period.</w:t>
      </w:r>
      <w:r w:rsidR="006644C9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</w:t>
      </w:r>
      <w:r w:rsidR="006644C9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Museo de la Memoria </w:t>
      </w: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estimates that around 5,000 people were prosecuted by the military justice system, a further 3,700 were detained without trial, and 380,000 were forced into exile.</w:t>
      </w:r>
    </w:p>
    <w:p w14:paraId="1B90838A" w14:textId="1D98E0B1" w:rsidR="006A5952" w:rsidRPr="00717ECF" w:rsidRDefault="006A5952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1976 – 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armed forces o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usted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Bordaberry and t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ook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full control of the government.</w:t>
      </w:r>
    </w:p>
    <w:p w14:paraId="3913F79F" w14:textId="09D2E117" w:rsidR="003324B0" w:rsidRPr="00717ECF" w:rsidRDefault="00B45DE9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</w:t>
      </w:r>
      <w:r w:rsidR="003324B0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976</w:t>
      </w:r>
      <w:r w:rsidR="00FF53F0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324B0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– 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Zelmar Michelini and Héctor Gutiérrez, opposition politicians, and Rosario Barredo and William Whitelaw of the Tupamaros movement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were murdered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in Buenos Aires.</w:t>
      </w:r>
    </w:p>
    <w:p w14:paraId="7C84D92E" w14:textId="08A26D87" w:rsidR="008B09B7" w:rsidRPr="00717ECF" w:rsidRDefault="008B09B7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1980 – 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In a 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referendum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Uruguayans reject</w:t>
      </w:r>
      <w:r w:rsid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ed</w:t>
      </w:r>
      <w:r w:rsidR="00717ECF" w:rsidRPr="00717EC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 constitutional reform proposed by the authoritarian regime.</w:t>
      </w:r>
    </w:p>
    <w:p w14:paraId="4C5D0CA4" w14:textId="61451480" w:rsidR="008624C8" w:rsidRPr="00F9557C" w:rsidRDefault="008624C8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5B408C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1983 – Acto de</w:t>
      </w:r>
      <w:r w:rsidR="00FF53F0" w:rsidRPr="005B408C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>l</w:t>
      </w:r>
      <w:r w:rsidRPr="005B408C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 obelisco.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In a year 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that saw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numerous demonstrations against the dictatorship, this rally was the largest. A proclamation was made in favour of democracy in Uruguay.</w:t>
      </w:r>
    </w:p>
    <w:p w14:paraId="1068A856" w14:textId="5C98E0DF" w:rsidR="009D7718" w:rsidRPr="00F9557C" w:rsidRDefault="009D7718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B408C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1984 – Pacto del Club Naval.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Negotiations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were held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between representatives of various political parties and the Uruguayan armed forces. It was the prelude to the elections held later that year.</w:t>
      </w:r>
    </w:p>
    <w:p w14:paraId="1A81E43F" w14:textId="354B2691" w:rsidR="00B57851" w:rsidRPr="00F9557C" w:rsidRDefault="00B57851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1985 – 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On March 1,</w:t>
      </w: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Julio María Sanguinetti assumes the presidency following democratic elections.</w:t>
      </w:r>
    </w:p>
    <w:p w14:paraId="23444DFA" w14:textId="5B636C6F" w:rsidR="00F301FB" w:rsidRPr="00F9557C" w:rsidRDefault="00F301FB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1985 –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On March 14, 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he last political prisoners of the dictatorship are released from the C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árcel Central.</w:t>
      </w:r>
    </w:p>
    <w:p w14:paraId="46F7FDB5" w14:textId="0AE4FD7C" w:rsidR="005B1CE7" w:rsidRPr="00F9557C" w:rsidRDefault="00F9557C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</w:pPr>
      <w:r w:rsidRPr="00F9557C"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Memory initiatives</w:t>
      </w:r>
    </w:p>
    <w:p w14:paraId="314A6AF4" w14:textId="029FB581" w:rsidR="003324B0" w:rsidRPr="00F9557C" w:rsidRDefault="003324B0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Ley </w:t>
      </w:r>
      <w:r w:rsidR="008624C8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15.737</w:t>
      </w:r>
      <w:r w:rsidR="00A37EE8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(1985)</w:t>
      </w:r>
      <w:r w:rsidR="00F9557C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law that a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llowed the release of political prisoners by declaring an amnesty for political crimes committed by civilians.</w:t>
      </w:r>
    </w:p>
    <w:p w14:paraId="286EE7EC" w14:textId="1D473AA1" w:rsidR="00F91DC3" w:rsidRPr="00F9557C" w:rsidRDefault="00F91DC3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Informe final de la Comisión por la paz </w:t>
      </w: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(2003)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 r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eport containing the results of the work of this commission on the cases of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forcibly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disappeared prisoners.</w:t>
      </w:r>
    </w:p>
    <w:p w14:paraId="41814636" w14:textId="16A394BD" w:rsidR="00F91DC3" w:rsidRPr="00F9557C" w:rsidRDefault="00F91DC3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Investigación Histórica sobre Detenidos–Desaparecidos (2006)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five-volume document published as a result of an agreement between the 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Uruguayan Presidency</w:t>
      </w: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and the</w:t>
      </w:r>
      <w:r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Universidad de la República, 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 study in detail the cases of enforced disappearance.</w:t>
      </w:r>
    </w:p>
    <w:p w14:paraId="77AE8C8F" w14:textId="41628E1A" w:rsidR="00DE22A6" w:rsidRPr="00F9557C" w:rsidRDefault="00DE22A6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lastRenderedPageBreak/>
        <w:t>Ley 18.596</w:t>
      </w:r>
      <w:r w:rsidR="005F1483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(2009)</w:t>
      </w:r>
      <w:r w:rsidR="00F9557C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law that r</w:t>
      </w:r>
      <w:r w:rsidR="00F9557C" w:rsidRPr="00F955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ecognises the responsibility of the Uruguayan State for the violation of fundamental rights between 1968 and 1975, and the right to full reparation for the victims.</w:t>
      </w:r>
    </w:p>
    <w:p w14:paraId="2864490D" w14:textId="4243DE7E" w:rsidR="00B576C3" w:rsidRPr="0036684F" w:rsidRDefault="00B45DE9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L</w:t>
      </w:r>
      <w:r w:rsidR="00B576C3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ey 19.641</w:t>
      </w:r>
      <w:r w:rsidR="005F1483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(201</w:t>
      </w:r>
      <w:r w:rsidR="00A37EE8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8</w:t>
      </w:r>
      <w:r w:rsidR="005F1483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)</w:t>
      </w:r>
      <w:r w:rsidR="00A37EE8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.</w:t>
      </w:r>
      <w:r w:rsidR="00B576C3" w:rsidRPr="00F9557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B576C3"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Sitios de Memoria Histórica del pasado reciente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 law that a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ims to create 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sites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of remembrance in places where the actions of the State led to the violation of human rights.</w:t>
      </w:r>
    </w:p>
    <w:p w14:paraId="32CCD6AE" w14:textId="53283246" w:rsidR="005B1CE7" w:rsidRPr="005B408C" w:rsidRDefault="00971AB8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Sites of memory</w:t>
      </w:r>
    </w:p>
    <w:p w14:paraId="4B6CE9B2" w14:textId="77777777" w:rsidR="0036684F" w:rsidRDefault="00B45DE9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B408C">
        <w:rPr>
          <w:rFonts w:ascii="Calibri" w:eastAsia="Times New Roman" w:hAnsi="Calibri" w:cs="Calibri"/>
          <w:i/>
          <w:iCs/>
          <w:color w:val="000000"/>
          <w:kern w:val="0"/>
          <w:lang w:val="es-CL" w:eastAsia="en-GB"/>
          <w14:ligatures w14:val="none"/>
        </w:rPr>
        <w:t xml:space="preserve">Memorial en Recordación de los Detenidos y Desaparecidos. </w:t>
      </w:r>
      <w:r w:rsidR="0036684F" w:rsidRPr="0036684F">
        <w:rPr>
          <w:rFonts w:ascii="Calibri" w:eastAsia="Times New Roman" w:hAnsi="Calibri" w:cs="Calibri"/>
          <w:color w:val="000000"/>
          <w:kern w:val="0"/>
          <w:lang w:val="es-CL" w:eastAsia="en-GB"/>
          <w14:ligatures w14:val="none"/>
        </w:rPr>
        <w:t xml:space="preserve">a monument inaugurated in 2001, located on the Cerro de Montevideo. 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It contains engravings of the names of citizens who disappeared during the dictatorship.</w:t>
      </w:r>
    </w:p>
    <w:p w14:paraId="48AEB9FD" w14:textId="3833E7AA" w:rsidR="00B57851" w:rsidRPr="0036684F" w:rsidRDefault="00DE22A6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Marcas de la memoria</w:t>
      </w:r>
      <w:r w:rsid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spatial intervention project that includes the installation of commemorative plaques in a series of sites associated with the resistance of Uruguayan civil society against the dictatorship.</w:t>
      </w:r>
    </w:p>
    <w:p w14:paraId="2766F8C9" w14:textId="00DFDFC3" w:rsidR="00A37EE8" w:rsidRPr="0036684F" w:rsidRDefault="00A37EE8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Museo de la memoria (MUME)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an institution dedicated to the promotion of human rights through the construction of memory. It houses various records of state violence during the dictatorship and forms of resistance to it.</w:t>
      </w:r>
    </w:p>
    <w:p w14:paraId="27263245" w14:textId="6DA48126" w:rsidR="003324B0" w:rsidRPr="0036684F" w:rsidRDefault="003324B0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Marcha </w:t>
      </w:r>
      <w:r w:rsidR="00700368"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del</w:t>
      </w:r>
      <w:r w:rsidRPr="0036684F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silencio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 a walk h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eld every year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on March 20,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since 2016</w:t>
      </w:r>
      <w:r w:rsid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  <w:r w:rsidR="0036684F" w:rsidRPr="0036684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in different parts of Uruguay to demand the clarification of crimes committed during the dictatorship.</w:t>
      </w:r>
    </w:p>
    <w:p w14:paraId="7754A773" w14:textId="4AAD55D3" w:rsidR="005B1CE7" w:rsidRPr="005B408C" w:rsidRDefault="00FC3C62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s-CL" w:eastAsia="en-GB"/>
          <w14:ligatures w14:val="none"/>
        </w:rPr>
        <w:t>Organisations</w:t>
      </w:r>
    </w:p>
    <w:p w14:paraId="2D70ECD5" w14:textId="3D0849E2" w:rsidR="006644C9" w:rsidRPr="00FC3C62" w:rsidRDefault="00176194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C3C6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Servicio Paz y Justicia Uruguay (SERPAJ)</w:t>
      </w:r>
      <w:r w:rsidR="00FC3C62" w:rsidRPr="00FC3C6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FC3C62" w:rsidRPr="00FC3C6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 </w:t>
      </w:r>
      <w:r w:rsidR="00FC3C6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</w:t>
      </w:r>
      <w:r w:rsidR="00FC3C62" w:rsidRPr="00FC3C6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on-governmental organisation active since 1981, assisting relatives of disappeared prisoners and organising demonstrations against the dictatorship. Regularly publishes reports on the human rights situation.</w:t>
      </w:r>
    </w:p>
    <w:p w14:paraId="2CFA8C4C" w14:textId="658AB51D" w:rsidR="00B576C3" w:rsidRPr="00500F19" w:rsidRDefault="00B576C3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C3C62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Madres y familiares de uruguayos detenidos desaparecidos</w:t>
      </w:r>
      <w:r w:rsidR="00500F19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500F1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or</w:t>
      </w:r>
      <w:r w:rsidR="00500F19" w:rsidRPr="00500F1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ganisation consolidated in 1983, bringing together relatives of disappeared prisoners.</w:t>
      </w:r>
    </w:p>
    <w:p w14:paraId="420645E8" w14:textId="5B186430" w:rsidR="006644C9" w:rsidRPr="00500F19" w:rsidRDefault="006644C9" w:rsidP="00DE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iCs/>
          <w:color w:val="000000"/>
          <w:kern w:val="0"/>
          <w:lang w:eastAsia="en-GB"/>
          <w14:ligatures w14:val="none"/>
        </w:rPr>
      </w:pPr>
      <w:r w:rsidRPr="00500F19">
        <w:rPr>
          <w:rFonts w:ascii="Calibri" w:eastAsia="Times New Roman" w:hAnsi="Calibri" w:cs="Calibri"/>
          <w:i/>
          <w:color w:val="000000"/>
          <w:kern w:val="0"/>
          <w:lang w:eastAsia="en-GB"/>
          <w14:ligatures w14:val="none"/>
        </w:rPr>
        <w:t>Institución de Estudios Sociales y Legales del Uruguay (IELSUR)</w:t>
      </w:r>
      <w:r w:rsidR="00500F19">
        <w:rPr>
          <w:rFonts w:ascii="Calibri" w:eastAsia="Times New Roman" w:hAnsi="Calibri" w:cs="Calibri"/>
          <w:iCs/>
          <w:color w:val="000000"/>
          <w:kern w:val="0"/>
          <w:lang w:eastAsia="en-GB"/>
          <w14:ligatures w14:val="none"/>
        </w:rPr>
        <w:t>: a</w:t>
      </w:r>
      <w:r w:rsidR="00500F19" w:rsidRPr="00500F19">
        <w:rPr>
          <w:rFonts w:ascii="Calibri" w:eastAsia="Times New Roman" w:hAnsi="Calibri" w:cs="Calibri"/>
          <w:iCs/>
          <w:color w:val="000000"/>
          <w:kern w:val="0"/>
          <w:lang w:eastAsia="en-GB"/>
          <w14:ligatures w14:val="none"/>
        </w:rPr>
        <w:t xml:space="preserve"> non-governmental organisation that has been carrying out legal actions in defence of human rights since 1984.</w:t>
      </w:r>
    </w:p>
    <w:p w14:paraId="2B63FEF1" w14:textId="6A24C683" w:rsidR="008624C8" w:rsidRPr="003D78DC" w:rsidRDefault="008624C8" w:rsidP="008624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</w:pPr>
      <w:r w:rsidRPr="00500F19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Comisión Investigadora sobre la situación de Personas Desaparecidas y Hechos que la </w:t>
      </w:r>
      <w:r w:rsidR="003D78D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M</w:t>
      </w:r>
      <w:r w:rsidRPr="00500F19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otivaron</w:t>
      </w:r>
      <w:r w:rsidR="00500F19" w:rsidRPr="00500F1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an </w:t>
      </w:r>
      <w:r w:rsidR="00500F19" w:rsidRPr="00500F1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official body created in 1985 to investigate allegations of disappearances that occurred between 1973 and 1978. </w:t>
      </w:r>
      <w:r w:rsidR="00500F19" w:rsidRP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Its findings </w:t>
      </w:r>
      <w:r w:rsid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were published in a report.</w:t>
      </w:r>
    </w:p>
    <w:p w14:paraId="23A6D8E3" w14:textId="7BE1A95C" w:rsidR="008624C8" w:rsidRPr="003D78DC" w:rsidRDefault="008624C8" w:rsidP="008624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D78D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Comisión p</w:t>
      </w:r>
      <w:r w:rsidR="00F91DC3" w:rsidRPr="003D78D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or</w:t>
      </w:r>
      <w:r w:rsidRPr="003D78D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la Paz</w:t>
      </w:r>
      <w:r w:rsid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Pr="003D78DC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3D78DC" w:rsidRP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body </w:t>
      </w:r>
      <w:r w:rsid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created</w:t>
      </w:r>
      <w:r w:rsidR="003D78DC" w:rsidRPr="003D78D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in 2000 to investigate the disappearances that took place during the dictatorship. In the work of the Commission, the State takes on the work of remembrance as an official task.</w:t>
      </w:r>
    </w:p>
    <w:p w14:paraId="16EA5465" w14:textId="4A0797C1" w:rsidR="00AD36D6" w:rsidRPr="00FC3C62" w:rsidRDefault="00FC3C62" w:rsidP="009C7F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C3C6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Issues specific to the c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ountry</w:t>
      </w:r>
    </w:p>
    <w:p w14:paraId="56B98172" w14:textId="77777777" w:rsidR="00AD36D6" w:rsidRPr="00FC3C62" w:rsidRDefault="00AD36D6">
      <w:pPr>
        <w:rPr>
          <w:b/>
          <w:bCs/>
        </w:rPr>
      </w:pPr>
    </w:p>
    <w:p w14:paraId="383932C2" w14:textId="77777777" w:rsidR="00AD36D6" w:rsidRPr="00FC3C62" w:rsidRDefault="00AD36D6">
      <w:pPr>
        <w:rPr>
          <w:b/>
          <w:bCs/>
        </w:rPr>
      </w:pPr>
    </w:p>
    <w:sectPr w:rsidR="00AD36D6" w:rsidRPr="00FC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4DD"/>
    <w:multiLevelType w:val="multilevel"/>
    <w:tmpl w:val="E422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1"/>
  </w:num>
  <w:num w:numId="2" w16cid:durableId="5332823">
    <w:abstractNumId w:val="1"/>
  </w:num>
  <w:num w:numId="3" w16cid:durableId="87839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E7"/>
    <w:rsid w:val="00001ACA"/>
    <w:rsid w:val="0002093E"/>
    <w:rsid w:val="00110B4C"/>
    <w:rsid w:val="00176194"/>
    <w:rsid w:val="00196B41"/>
    <w:rsid w:val="001F584D"/>
    <w:rsid w:val="0020072C"/>
    <w:rsid w:val="002447E0"/>
    <w:rsid w:val="0026496D"/>
    <w:rsid w:val="002A68FA"/>
    <w:rsid w:val="003324B0"/>
    <w:rsid w:val="0036684F"/>
    <w:rsid w:val="003D78DC"/>
    <w:rsid w:val="00422A07"/>
    <w:rsid w:val="00443E4F"/>
    <w:rsid w:val="004F34FF"/>
    <w:rsid w:val="00500F19"/>
    <w:rsid w:val="00594CFD"/>
    <w:rsid w:val="005B1CE7"/>
    <w:rsid w:val="005B408C"/>
    <w:rsid w:val="005E48ED"/>
    <w:rsid w:val="005F1483"/>
    <w:rsid w:val="006644C9"/>
    <w:rsid w:val="006914BF"/>
    <w:rsid w:val="006A5952"/>
    <w:rsid w:val="00700368"/>
    <w:rsid w:val="00717ECF"/>
    <w:rsid w:val="007A105F"/>
    <w:rsid w:val="008624C8"/>
    <w:rsid w:val="008B09B7"/>
    <w:rsid w:val="0090674A"/>
    <w:rsid w:val="00971AB8"/>
    <w:rsid w:val="009C7FF3"/>
    <w:rsid w:val="009D7718"/>
    <w:rsid w:val="00A37EE8"/>
    <w:rsid w:val="00A85187"/>
    <w:rsid w:val="00AD36D6"/>
    <w:rsid w:val="00B45DE9"/>
    <w:rsid w:val="00B576C3"/>
    <w:rsid w:val="00B57851"/>
    <w:rsid w:val="00BD6581"/>
    <w:rsid w:val="00BE3112"/>
    <w:rsid w:val="00C0563B"/>
    <w:rsid w:val="00CB1C95"/>
    <w:rsid w:val="00D646FC"/>
    <w:rsid w:val="00D72BE6"/>
    <w:rsid w:val="00DE22A6"/>
    <w:rsid w:val="00E35F8F"/>
    <w:rsid w:val="00F301FB"/>
    <w:rsid w:val="00F8393D"/>
    <w:rsid w:val="00F91DC3"/>
    <w:rsid w:val="00F9557C"/>
    <w:rsid w:val="00F97905"/>
    <w:rsid w:val="00FC3C62"/>
    <w:rsid w:val="00FE6E14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F499"/>
  <w15:chartTrackingRefBased/>
  <w15:docId w15:val="{F32E714A-0B87-45CE-9D79-46BC6B5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Javier Cortés Ortuño</cp:lastModifiedBy>
  <cp:revision>14</cp:revision>
  <dcterms:created xsi:type="dcterms:W3CDTF">2023-06-12T16:59:00Z</dcterms:created>
  <dcterms:modified xsi:type="dcterms:W3CDTF">2023-09-21T05:08:00Z</dcterms:modified>
</cp:coreProperties>
</file>