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5E4256"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D22D42" w:rsidP="00C735EF">
            <w:pPr>
              <w:rPr>
                <w:rFonts w:cs="Arial"/>
                <w:sz w:val="20"/>
              </w:rPr>
            </w:pPr>
            <w:r>
              <w:rPr>
                <w:noProof/>
              </w:rPr>
              <w:pict w14:anchorId="1CFCB27F">
                <v:shape id="_x0000_i1031" type="#_x0000_t75" style="width:403pt;height:369.6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D22D42" w:rsidP="00C735EF">
            <w:pPr>
              <w:rPr>
                <w:rFonts w:cs="Arial"/>
                <w:sz w:val="20"/>
              </w:rPr>
            </w:pPr>
            <w:r>
              <w:rPr>
                <w:noProof/>
              </w:rPr>
              <w:pict w14:anchorId="17886892">
                <v:shape id="_x0000_i1032" type="#_x0000_t75" style="width:450.25pt;height:299.3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261D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B5723C">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68A02D36" w:rsidR="001A0E97" w:rsidRDefault="001A0E97" w:rsidP="001A0E97">
      <w:pPr>
        <w:rPr>
          <w:lang w:val="en-GB" w:eastAsia="en-GB"/>
        </w:rPr>
      </w:pPr>
      <w:r>
        <w:rPr>
          <w:lang w:val="en-GB" w:eastAsia="en-GB"/>
        </w:rPr>
        <w:t>As a result of this SLR,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lastRenderedPageBreak/>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77777777" w:rsidR="0024049F" w:rsidRDefault="0024049F" w:rsidP="0024049F">
            <w:pPr>
              <w:pStyle w:val="Default"/>
              <w:jc w:val="center"/>
              <w:rPr>
                <w:sz w:val="20"/>
                <w:szCs w:val="20"/>
              </w:rPr>
            </w:pPr>
            <w:r>
              <w:rPr>
                <w:sz w:val="20"/>
                <w:szCs w:val="20"/>
              </w:rPr>
              <w:t xml:space="preserve">Microsoft - Big Data ecosystem reference architecture {Levin, 2013 #417}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4925DF4" w14:textId="48364840" w:rsidR="00C40FDD" w:rsidRDefault="00802B1B" w:rsidP="00082FA7">
      <w:pPr>
        <w:spacing w:afterLines="100" w:after="240"/>
        <w:rPr>
          <w:sz w:val="20"/>
          <w:szCs w:val="28"/>
        </w:rPr>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578FA" w:rsidRPr="00B578FA">
        <w:instrText xml:space="preserve"> ADDIN EN.CITE &lt;EndNote&gt;&lt;Cite&gt;&lt;Year&gt;2012&lt;/Year&gt;&lt;RecNum&gt;268&lt;/RecNum&gt;&lt;DisplayText&gt;(House,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578FA" w:rsidRPr="00B578FA">
        <w:instrText xml:space="preserve"> ADDIN EN.CITE &lt;EndNote&gt;&lt;Cite&gt;&lt;Author&gt;Chang&lt;/Author&gt;&lt;Year&gt;2015&lt;/Year&gt;&lt;RecNum&gt;269&lt;/RecNum&gt;&lt;DisplayText&gt;(Chang and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578FA" w:rsidRPr="00B578FA">
        <w:t>(Chang and Grady, 2015)</w:t>
      </w:r>
      <w:r w:rsidR="00B578FA" w:rsidRPr="00B578FA">
        <w:fldChar w:fldCharType="end"/>
      </w:r>
      <w:ins w:id="5" w:author="Author">
        <w:r w:rsidR="00B578FA" w:rsidRPr="00B578FA">
          <w:t>.</w:t>
        </w:r>
      </w:ins>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lastRenderedPageBreak/>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8A5F9" w14:textId="77777777" w:rsidR="00171C4C" w:rsidRDefault="00171C4C">
      <w:r>
        <w:separator/>
      </w:r>
    </w:p>
  </w:endnote>
  <w:endnote w:type="continuationSeparator" w:id="0">
    <w:p w14:paraId="06A27A75" w14:textId="77777777" w:rsidR="00171C4C" w:rsidRDefault="00171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5E4256" w:rsidRDefault="005E4256"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5E4256" w:rsidRDefault="005E42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47DD3" w14:textId="77777777" w:rsidR="00171C4C" w:rsidRDefault="00171C4C">
      <w:r>
        <w:separator/>
      </w:r>
    </w:p>
  </w:footnote>
  <w:footnote w:type="continuationSeparator" w:id="0">
    <w:p w14:paraId="58C18E81" w14:textId="77777777" w:rsidR="00171C4C" w:rsidRDefault="00171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5E4256" w:rsidRPr="000507A2" w:rsidRDefault="005E4256"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0"/>
  </w:num>
  <w:num w:numId="4">
    <w:abstractNumId w:val="3"/>
  </w:num>
  <w:num w:numId="5">
    <w:abstractNumId w:val="4"/>
  </w:num>
  <w:num w:numId="6">
    <w:abstractNumId w:val="13"/>
  </w:num>
  <w:num w:numId="7">
    <w:abstractNumId w:val="19"/>
  </w:num>
  <w:num w:numId="8">
    <w:abstractNumId w:val="32"/>
  </w:num>
  <w:num w:numId="9">
    <w:abstractNumId w:val="5"/>
  </w:num>
  <w:num w:numId="10">
    <w:abstractNumId w:val="14"/>
  </w:num>
  <w:num w:numId="11">
    <w:abstractNumId w:val="26"/>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30"/>
  </w:num>
  <w:num w:numId="27">
    <w:abstractNumId w:val="31"/>
  </w:num>
  <w:num w:numId="28">
    <w:abstractNumId w:val="27"/>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3"/>
  </w:num>
  <w:num w:numId="35">
    <w:abstractNumId w:val="8"/>
  </w:num>
  <w:num w:numId="36">
    <w:abstractNumId w:val="15"/>
  </w:num>
  <w:num w:numId="37">
    <w:abstractNumId w:val="29"/>
  </w:num>
  <w:num w:numId="38">
    <w:abstractNumId w:val="34"/>
  </w:num>
  <w:num w:numId="3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39E5"/>
    <w:rsid w:val="000B6534"/>
    <w:rsid w:val="000B78DF"/>
    <w:rsid w:val="000C3AFA"/>
    <w:rsid w:val="000C3B10"/>
    <w:rsid w:val="000C3B5C"/>
    <w:rsid w:val="000D0264"/>
    <w:rsid w:val="000D23A2"/>
    <w:rsid w:val="000E2838"/>
    <w:rsid w:val="000E6A78"/>
    <w:rsid w:val="000F3C90"/>
    <w:rsid w:val="000F62E2"/>
    <w:rsid w:val="000F634B"/>
    <w:rsid w:val="0010101C"/>
    <w:rsid w:val="0010274C"/>
    <w:rsid w:val="00104C61"/>
    <w:rsid w:val="001054B5"/>
    <w:rsid w:val="00115D32"/>
    <w:rsid w:val="00116902"/>
    <w:rsid w:val="00117744"/>
    <w:rsid w:val="001218C4"/>
    <w:rsid w:val="001261D7"/>
    <w:rsid w:val="00127224"/>
    <w:rsid w:val="00131F76"/>
    <w:rsid w:val="00135C00"/>
    <w:rsid w:val="00137897"/>
    <w:rsid w:val="00141E7B"/>
    <w:rsid w:val="00146B78"/>
    <w:rsid w:val="00146E49"/>
    <w:rsid w:val="001509B2"/>
    <w:rsid w:val="00171191"/>
    <w:rsid w:val="00171C4C"/>
    <w:rsid w:val="0017479A"/>
    <w:rsid w:val="00174B78"/>
    <w:rsid w:val="0018004D"/>
    <w:rsid w:val="00181354"/>
    <w:rsid w:val="00187AD9"/>
    <w:rsid w:val="0019021E"/>
    <w:rsid w:val="00195389"/>
    <w:rsid w:val="001A0E97"/>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0FD8"/>
    <w:rsid w:val="00223A9F"/>
    <w:rsid w:val="002338D2"/>
    <w:rsid w:val="0024049F"/>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3DC7"/>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07CE"/>
    <w:rsid w:val="003C2AD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FE"/>
    <w:rsid w:val="00445AD4"/>
    <w:rsid w:val="00454204"/>
    <w:rsid w:val="00456761"/>
    <w:rsid w:val="004713CC"/>
    <w:rsid w:val="004748C8"/>
    <w:rsid w:val="004809BE"/>
    <w:rsid w:val="00481FD5"/>
    <w:rsid w:val="00490507"/>
    <w:rsid w:val="004977E8"/>
    <w:rsid w:val="004A0558"/>
    <w:rsid w:val="004A280B"/>
    <w:rsid w:val="004A2F98"/>
    <w:rsid w:val="004A455A"/>
    <w:rsid w:val="004A5224"/>
    <w:rsid w:val="004A533C"/>
    <w:rsid w:val="004A5F56"/>
    <w:rsid w:val="004B3295"/>
    <w:rsid w:val="004C121B"/>
    <w:rsid w:val="004C1680"/>
    <w:rsid w:val="004C5C32"/>
    <w:rsid w:val="004C77D9"/>
    <w:rsid w:val="004D0664"/>
    <w:rsid w:val="004D326D"/>
    <w:rsid w:val="004D4064"/>
    <w:rsid w:val="004E0A71"/>
    <w:rsid w:val="004E5E1F"/>
    <w:rsid w:val="004F1F25"/>
    <w:rsid w:val="004F473F"/>
    <w:rsid w:val="004F477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2E42"/>
    <w:rsid w:val="005440ED"/>
    <w:rsid w:val="005441A2"/>
    <w:rsid w:val="00544BDE"/>
    <w:rsid w:val="005463B3"/>
    <w:rsid w:val="00552E85"/>
    <w:rsid w:val="00553918"/>
    <w:rsid w:val="005547BA"/>
    <w:rsid w:val="00554E86"/>
    <w:rsid w:val="005568CA"/>
    <w:rsid w:val="00557E59"/>
    <w:rsid w:val="00565E35"/>
    <w:rsid w:val="0056635D"/>
    <w:rsid w:val="00570D5E"/>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7BBB"/>
    <w:rsid w:val="005C7FAF"/>
    <w:rsid w:val="005E4256"/>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63141"/>
    <w:rsid w:val="0066647F"/>
    <w:rsid w:val="0067092C"/>
    <w:rsid w:val="00672449"/>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2CA"/>
    <w:rsid w:val="007A3AC2"/>
    <w:rsid w:val="007B0232"/>
    <w:rsid w:val="007B078C"/>
    <w:rsid w:val="007B09E7"/>
    <w:rsid w:val="007B5249"/>
    <w:rsid w:val="007C03F4"/>
    <w:rsid w:val="007C2EE3"/>
    <w:rsid w:val="007C33A8"/>
    <w:rsid w:val="007C617E"/>
    <w:rsid w:val="007D3520"/>
    <w:rsid w:val="007D6DC9"/>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7C9B"/>
    <w:rsid w:val="00846EC1"/>
    <w:rsid w:val="008477BA"/>
    <w:rsid w:val="00851CDE"/>
    <w:rsid w:val="008529B6"/>
    <w:rsid w:val="008575CD"/>
    <w:rsid w:val="00862F6C"/>
    <w:rsid w:val="00880BDC"/>
    <w:rsid w:val="00881439"/>
    <w:rsid w:val="00881878"/>
    <w:rsid w:val="00882A0A"/>
    <w:rsid w:val="00882C04"/>
    <w:rsid w:val="00895EAF"/>
    <w:rsid w:val="008967E6"/>
    <w:rsid w:val="008A318F"/>
    <w:rsid w:val="008A5969"/>
    <w:rsid w:val="008B09FB"/>
    <w:rsid w:val="008B0DE3"/>
    <w:rsid w:val="008B1110"/>
    <w:rsid w:val="008B48A2"/>
    <w:rsid w:val="008C064F"/>
    <w:rsid w:val="008C33B9"/>
    <w:rsid w:val="008C3904"/>
    <w:rsid w:val="008C43EB"/>
    <w:rsid w:val="008D22A2"/>
    <w:rsid w:val="008D6408"/>
    <w:rsid w:val="008D7371"/>
    <w:rsid w:val="008D7B36"/>
    <w:rsid w:val="008E4686"/>
    <w:rsid w:val="008F10F1"/>
    <w:rsid w:val="008F200F"/>
    <w:rsid w:val="00901E16"/>
    <w:rsid w:val="0091218F"/>
    <w:rsid w:val="00913D36"/>
    <w:rsid w:val="00931512"/>
    <w:rsid w:val="0093197F"/>
    <w:rsid w:val="00933489"/>
    <w:rsid w:val="009371C8"/>
    <w:rsid w:val="00940576"/>
    <w:rsid w:val="00942AF3"/>
    <w:rsid w:val="00946CDF"/>
    <w:rsid w:val="009518F6"/>
    <w:rsid w:val="0095447A"/>
    <w:rsid w:val="009729D2"/>
    <w:rsid w:val="00975AB2"/>
    <w:rsid w:val="00980D7F"/>
    <w:rsid w:val="00986A48"/>
    <w:rsid w:val="00992A3E"/>
    <w:rsid w:val="00996EFB"/>
    <w:rsid w:val="009A6AEC"/>
    <w:rsid w:val="009A6E65"/>
    <w:rsid w:val="009B1DDA"/>
    <w:rsid w:val="009B2B2A"/>
    <w:rsid w:val="009B5DAF"/>
    <w:rsid w:val="009B6ABA"/>
    <w:rsid w:val="009C0032"/>
    <w:rsid w:val="009C144A"/>
    <w:rsid w:val="009C3C1A"/>
    <w:rsid w:val="009D239E"/>
    <w:rsid w:val="009D37B5"/>
    <w:rsid w:val="009D3DFE"/>
    <w:rsid w:val="009D52AB"/>
    <w:rsid w:val="009D6196"/>
    <w:rsid w:val="009E5641"/>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45B7E"/>
    <w:rsid w:val="00A52D10"/>
    <w:rsid w:val="00A551D9"/>
    <w:rsid w:val="00A55A99"/>
    <w:rsid w:val="00A6558E"/>
    <w:rsid w:val="00A66F3B"/>
    <w:rsid w:val="00A70D38"/>
    <w:rsid w:val="00A750B4"/>
    <w:rsid w:val="00A75960"/>
    <w:rsid w:val="00A83261"/>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56EF0"/>
    <w:rsid w:val="00B5723C"/>
    <w:rsid w:val="00B578FA"/>
    <w:rsid w:val="00B649E2"/>
    <w:rsid w:val="00B6507C"/>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B76AA"/>
    <w:rsid w:val="00CC23A8"/>
    <w:rsid w:val="00CC2CCC"/>
    <w:rsid w:val="00CC5669"/>
    <w:rsid w:val="00CD3703"/>
    <w:rsid w:val="00CD4A49"/>
    <w:rsid w:val="00CE325F"/>
    <w:rsid w:val="00CE3CB2"/>
    <w:rsid w:val="00CE4DDD"/>
    <w:rsid w:val="00CE5781"/>
    <w:rsid w:val="00CE654E"/>
    <w:rsid w:val="00CF2F3E"/>
    <w:rsid w:val="00CF32F8"/>
    <w:rsid w:val="00CF5714"/>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0B22"/>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6203"/>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13A1"/>
    <w:rsid w:val="00F25FF6"/>
    <w:rsid w:val="00F3125A"/>
    <w:rsid w:val="00F37F10"/>
    <w:rsid w:val="00F4131A"/>
    <w:rsid w:val="00F44D79"/>
    <w:rsid w:val="00F462D5"/>
    <w:rsid w:val="00F52356"/>
    <w:rsid w:val="00F523F5"/>
    <w:rsid w:val="00F543C4"/>
    <w:rsid w:val="00F6150B"/>
    <w:rsid w:val="00F647E3"/>
    <w:rsid w:val="00F64AD3"/>
    <w:rsid w:val="00F663E7"/>
    <w:rsid w:val="00F75A27"/>
    <w:rsid w:val="00F81B64"/>
    <w:rsid w:val="00F824C1"/>
    <w:rsid w:val="00F904E6"/>
    <w:rsid w:val="00F9392A"/>
    <w:rsid w:val="00F94DDC"/>
    <w:rsid w:val="00F975D7"/>
    <w:rsid w:val="00FB116A"/>
    <w:rsid w:val="00FB3002"/>
    <w:rsid w:val="00FB30D2"/>
    <w:rsid w:val="00FC2584"/>
    <w:rsid w:val="00FD32B3"/>
    <w:rsid w:val="00FD4D5C"/>
    <w:rsid w:val="00FD5E2E"/>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 w:type="character" w:customStyle="1" w:styleId="BodyTextChar">
    <w:name w:val="Body Text Char"/>
    <w:aliases w:val="Body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7677</Words>
  <Characters>43762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