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6C0647">
        <w:rPr>
          <w:rFonts w:ascii="Arial" w:hAnsi="Arial" w:cs="Arial"/>
          <w:b/>
          <w:color w:val="000066"/>
          <w:spacing w:val="30"/>
          <w:sz w:val="28"/>
          <w:szCs w:val="28"/>
        </w:rPr>
        <w:t>6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345052">
        <w:rPr>
          <w:rFonts w:ascii="Arial" w:hAnsi="Arial" w:cs="Arial"/>
          <w:b/>
          <w:color w:val="000066"/>
          <w:spacing w:val="30"/>
          <w:sz w:val="28"/>
          <w:szCs w:val="28"/>
        </w:rPr>
        <w:t>1</w:t>
      </w:r>
      <w:r w:rsidR="00CF27D2">
        <w:rPr>
          <w:rFonts w:ascii="Arial" w:hAnsi="Arial" w:cs="Arial"/>
          <w:b/>
          <w:color w:val="000066"/>
          <w:spacing w:val="30"/>
          <w:sz w:val="28"/>
          <w:szCs w:val="28"/>
        </w:rPr>
        <w:t>8</w:t>
      </w:r>
      <w:r w:rsidR="009461D0">
        <w:rPr>
          <w:rFonts w:ascii="Arial" w:hAnsi="Arial" w:cs="Arial"/>
          <w:b/>
          <w:color w:val="000066"/>
          <w:spacing w:val="30"/>
          <w:sz w:val="28"/>
          <w:szCs w:val="28"/>
        </w:rPr>
        <w:t>-К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CF27D2" w:rsidRPr="00CF27D2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CF27D2" w:rsidRPr="00CF27D2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CF27D2" w:rsidRPr="00CF27D2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CF27D2" w:rsidRPr="00CF27D2">
        <w:rPr>
          <w:rFonts w:ascii="Arial" w:hAnsi="Arial" w:cs="Arial"/>
          <w:b/>
          <w:color w:val="000066"/>
          <w:spacing w:val="30"/>
          <w:sz w:val="28"/>
          <w:szCs w:val="28"/>
        </w:rPr>
        <w:t>-60-18-</w:t>
      </w:r>
      <w:r w:rsidR="00CF27D2" w:rsidRPr="00CF27D2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ПК</w:t>
      </w:r>
      <w:r w:rsidR="00CF27D2" w:rsidRPr="00CF27D2">
        <w:rPr>
          <w:rFonts w:ascii="Arial" w:hAnsi="Arial" w:cs="Arial"/>
          <w:b/>
          <w:color w:val="000066"/>
          <w:spacing w:val="30"/>
          <w:sz w:val="28"/>
          <w:szCs w:val="28"/>
        </w:rPr>
        <w:t>-HM9B-001</w:t>
      </w:r>
      <w:r w:rsidR="009461D0">
        <w:rPr>
          <w:rFonts w:ascii="Arial" w:hAnsi="Arial" w:cs="Arial"/>
          <w:b/>
          <w:color w:val="000066"/>
          <w:spacing w:val="30"/>
          <w:sz w:val="28"/>
          <w:szCs w:val="28"/>
        </w:rPr>
        <w:t>-К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267300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76750" cy="3076575"/>
            <wp:effectExtent l="0" t="0" r="0" b="0"/>
            <wp:docPr id="283" name="Рисунок 2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267300" w:rsidRDefault="00267300" w:rsidP="00267300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267300" w:rsidRDefault="00267300" w:rsidP="00267300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267300" w:rsidRDefault="00267300" w:rsidP="00267300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6C0647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6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345052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</w:t>
            </w:r>
            <w:r w:rsidR="00CF27D2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8</w:t>
            </w:r>
            <w:r w:rsidR="009461D0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-К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0128FB" w:rsidRDefault="004273ED" w:rsidP="00FA4D3E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4273ED">
              <w:rPr>
                <w:rFonts w:ascii="Arial" w:hAnsi="Arial" w:cs="Arial"/>
                <w:color w:val="002060"/>
                <w:sz w:val="18"/>
                <w:szCs w:val="18"/>
              </w:rPr>
              <w:t>2 732 68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</w:tr>
      <w:tr w:rsidR="007F762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7F762B" w:rsidRDefault="002875D4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7F762B" w:rsidRPr="007E091C" w:rsidRDefault="002875D4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0128FB" w:rsidRDefault="004273ED" w:rsidP="000152AC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20"/>
                <w:lang w:val="en-US"/>
              </w:rPr>
            </w:pPr>
            <w:r w:rsidRPr="004273ED">
              <w:rPr>
                <w:rFonts w:ascii="Arial" w:hAnsi="Arial" w:cs="Arial"/>
                <w:b/>
                <w:bCs/>
                <w:color w:val="002060"/>
                <w:sz w:val="20"/>
              </w:rPr>
              <w:t>2 732 68</w:t>
            </w:r>
            <w:r>
              <w:rPr>
                <w:rFonts w:ascii="Arial" w:hAnsi="Arial" w:cs="Arial"/>
                <w:b/>
                <w:bCs/>
                <w:color w:val="002060"/>
                <w:sz w:val="20"/>
              </w:rPr>
              <w:t>2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267300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6C0647">
        <w:rPr>
          <w:rFonts w:ascii="Arial" w:hAnsi="Arial" w:cs="Arial"/>
          <w:b/>
          <w:color w:val="002060"/>
          <w:sz w:val="18"/>
          <w:szCs w:val="18"/>
        </w:rPr>
        <w:t>6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0152AC">
        <w:rPr>
          <w:rFonts w:ascii="Arial" w:hAnsi="Arial" w:cs="Arial"/>
          <w:b/>
          <w:color w:val="002060"/>
          <w:sz w:val="18"/>
          <w:szCs w:val="18"/>
        </w:rPr>
        <w:t>2</w:t>
      </w:r>
      <w:r w:rsidR="00CF27D2">
        <w:rPr>
          <w:rFonts w:ascii="Arial" w:hAnsi="Arial" w:cs="Arial"/>
          <w:b/>
          <w:color w:val="002060"/>
          <w:sz w:val="18"/>
          <w:szCs w:val="18"/>
        </w:rPr>
        <w:t>4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345052">
        <w:rPr>
          <w:rFonts w:ascii="Arial" w:hAnsi="Arial" w:cs="Arial"/>
          <w:b/>
          <w:color w:val="002060"/>
          <w:sz w:val="18"/>
          <w:szCs w:val="18"/>
        </w:rPr>
        <w:t>1</w:t>
      </w:r>
      <w:r w:rsidR="00CF27D2">
        <w:rPr>
          <w:rFonts w:ascii="Arial" w:hAnsi="Arial" w:cs="Arial"/>
          <w:b/>
          <w:color w:val="002060"/>
          <w:sz w:val="18"/>
          <w:szCs w:val="18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CF27D2">
        <w:rPr>
          <w:rFonts w:ascii="Arial" w:hAnsi="Arial" w:cs="Arial"/>
          <w:b/>
          <w:color w:val="002060"/>
          <w:sz w:val="18"/>
          <w:szCs w:val="18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т.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</w:t>
      </w:r>
      <w:r w:rsidR="00D7533D">
        <w:rPr>
          <w:rFonts w:ascii="Arial" w:hAnsi="Arial" w:cs="Arial"/>
          <w:color w:val="002060"/>
          <w:sz w:val="18"/>
          <w:szCs w:val="18"/>
        </w:rPr>
        <w:t>.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7533D">
        <w:rPr>
          <w:rFonts w:ascii="Arial" w:hAnsi="Arial" w:cs="Arial"/>
          <w:color w:val="002060"/>
          <w:sz w:val="18"/>
          <w:szCs w:val="18"/>
        </w:rPr>
        <w:t>Средняя часть весов между секциями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закрыт</w:t>
      </w:r>
      <w:r w:rsidR="00D7533D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промежуточным </w:t>
      </w:r>
      <w:r w:rsidR="00D7533D">
        <w:rPr>
          <w:rFonts w:ascii="Arial" w:hAnsi="Arial" w:cs="Arial"/>
          <w:color w:val="002060"/>
          <w:sz w:val="18"/>
          <w:szCs w:val="18"/>
        </w:rPr>
        <w:t xml:space="preserve">пешеходным </w:t>
      </w:r>
      <w:r w:rsidRPr="00C70C04">
        <w:rPr>
          <w:rFonts w:ascii="Arial" w:hAnsi="Arial" w:cs="Arial"/>
          <w:color w:val="002060"/>
          <w:sz w:val="18"/>
          <w:szCs w:val="18"/>
        </w:rPr>
        <w:t>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267300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4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Винты упоров, ограничивающие перемещение платформы при торможении и старте автомобиля, расположены в местах, удобных для обслуживания. 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D23407" w:rsidRPr="00C70C04" w:rsidRDefault="00267300" w:rsidP="00DC36CA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66675</wp:posOffset>
            </wp:positionV>
            <wp:extent cx="1642110" cy="1202690"/>
            <wp:effectExtent l="0" t="0" r="0" b="0"/>
            <wp:wrapSquare wrapText="bothSides"/>
            <wp:docPr id="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>В весах применены тензодатчики HM9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. Метрологические характеристики датчиков подтверждены Российским сертификатом </w:t>
      </w:r>
      <w:r w:rsidR="00E71D66">
        <w:rPr>
          <w:rFonts w:ascii="Arial" w:hAnsi="Arial" w:cs="Arial"/>
          <w:color w:val="002060"/>
          <w:sz w:val="18"/>
          <w:szCs w:val="18"/>
          <w:lang w:val="en-US"/>
        </w:rPr>
        <w:t>OC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.28.070.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№ 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73913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и занесены в государственный реестр средств измерений под №55371-1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9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 Срок действия до 2</w:t>
      </w:r>
      <w:r w:rsidR="00E71D66" w:rsidRPr="00854F90">
        <w:rPr>
          <w:rFonts w:ascii="Arial" w:hAnsi="Arial" w:cs="Arial"/>
          <w:color w:val="002060"/>
          <w:sz w:val="18"/>
          <w:szCs w:val="18"/>
        </w:rPr>
        <w:t>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E71D66">
        <w:rPr>
          <w:rFonts w:ascii="Arial" w:hAnsi="Arial" w:cs="Arial"/>
          <w:color w:val="002060"/>
          <w:sz w:val="18"/>
          <w:szCs w:val="18"/>
        </w:rPr>
        <w:t>мая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20</w:t>
      </w:r>
      <w:r w:rsidR="00E71D66">
        <w:rPr>
          <w:rFonts w:ascii="Arial" w:hAnsi="Arial" w:cs="Arial"/>
          <w:color w:val="002060"/>
          <w:sz w:val="18"/>
          <w:szCs w:val="18"/>
        </w:rPr>
        <w:t>24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68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</w:t>
      </w:r>
      <w:r w:rsidR="00C73C9A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.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C73C9A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тензометрический датчик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на изгиб.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Балочный двухопорный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тип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C70C04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датчиков.</w:t>
      </w:r>
    </w:p>
    <w:p w:rsidR="00453597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Корпус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выполнен из стали с никелевым покрытием с применением лазерной сварки, класс защиты </w:t>
      </w:r>
      <w:r w:rsidRPr="00C70C04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тензодатчика</w:t>
      </w:r>
      <w:r w:rsidRPr="00C70C04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IP68 (полная пыле</w:t>
      </w:r>
      <w:r w:rsidR="00C22ED6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- и влагозащищенность).</w:t>
      </w:r>
    </w:p>
    <w:p w:rsidR="00A36BF5" w:rsidRDefault="00A36BF5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267300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5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b/>
          <w:color w:val="002060"/>
          <w:sz w:val="22"/>
          <w:szCs w:val="22"/>
        </w:rPr>
        <w:t>Вторичная аппаратура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 xml:space="preserve">В качестве вторичной аппаратуры весов используется ПТК (программно-технический комплекс), состоящий из устройств обработки, преобразования и индикации. В качестве основного элемента ПТК используется персональный компьютер с необходимым оборудованием для интеграции цифровых многоканальных тензопреобразователей Микросим М0808-04. Аналоговый сигнал каждого датчика оцифровывается двумя четырёх канальными тензопреобразователями Микросим М0808-04, далее сигнал в цифровом виде передаётся в интерфейсный преобразователь – концентратор М62109, который по последовательному порту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232 или 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USB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 подключен к персональному компьютеру.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ПТК обеспечивает следующие функциональные возможности: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ввод значения массы тары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отображение значений массы брутто, нетто, тары;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установку показаний на нуль автоматически и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автоподстройку нуля;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индикацию сообщений для пользователя.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техническую диагностику измерительной системы в целом и по каждому тензоканалу в отдельности</w:t>
      </w:r>
    </w:p>
    <w:p w:rsidR="004B2C42" w:rsidRPr="00C70C04" w:rsidRDefault="00E71D66" w:rsidP="00E71D66">
      <w:pPr>
        <w:ind w:left="567" w:firstLine="0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сигнализацию неисправностей системы</w:t>
      </w:r>
    </w:p>
    <w:p w:rsidR="00870F7E" w:rsidRPr="00C70C04" w:rsidRDefault="00870F7E" w:rsidP="0096622F">
      <w:pPr>
        <w:pStyle w:val="2"/>
        <w:numPr>
          <w:ilvl w:val="0"/>
          <w:numId w:val="6"/>
        </w:numPr>
        <w:spacing w:before="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B45F9" w:rsidRDefault="008B6ED8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0152AC" w:rsidRDefault="000152AC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0152AC" w:rsidRPr="00C70C04" w:rsidRDefault="000152AC" w:rsidP="000152AC">
      <w:pPr>
        <w:spacing w:after="100" w:afterAutospacing="1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96622F" w:rsidRDefault="0011335D" w:rsidP="0096622F">
      <w:pPr>
        <w:numPr>
          <w:ilvl w:val="0"/>
          <w:numId w:val="6"/>
        </w:numPr>
        <w:spacing w:before="120" w:after="120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96622F" w:rsidRPr="0096622F" w:rsidTr="002C7947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B51012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96622F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6C0647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0152AC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15pt;height:18.75pt" o:ole="">
                  <v:imagedata r:id="rId16" o:title=""/>
                </v:shape>
                <o:OLEObject Type="Embed" ProgID="Equation.3" ShapeID="_x0000_i1030" DrawAspect="Content" ObjectID="_1714508373" r:id="rId17"/>
              </w:objec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345052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CF27D2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Merge w:val="restart"/>
            <w:vAlign w:val="center"/>
          </w:tcPr>
          <w:p w:rsidR="0096622F" w:rsidRPr="0096622F" w:rsidRDefault="000152AC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2126" w:type="dxa"/>
            <w:vMerge w:val="restart"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15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6C0647" w:rsidRPr="0096622F" w:rsidTr="002C794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6C0647" w:rsidRPr="0096622F" w:rsidRDefault="006C0647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lastRenderedPageBreak/>
              <w:t xml:space="preserve">Св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40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Merge w:val="restart"/>
            <w:vAlign w:val="center"/>
          </w:tcPr>
          <w:p w:rsidR="006C0647" w:rsidRPr="0096622F" w:rsidRDefault="006C06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6C0647" w:rsidRPr="0096622F" w:rsidRDefault="006C06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 w:val="restart"/>
            <w:vAlign w:val="center"/>
          </w:tcPr>
          <w:p w:rsidR="006C0647" w:rsidRPr="0096622F" w:rsidRDefault="006C0647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6C0647" w:rsidRPr="0096622F" w:rsidTr="002C794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6C0647" w:rsidRPr="0096622F" w:rsidRDefault="006C0647" w:rsidP="0096622F">
            <w:pPr>
              <w:ind w:right="-108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Св 40000 до 60000</w:t>
            </w:r>
          </w:p>
        </w:tc>
        <w:tc>
          <w:tcPr>
            <w:tcW w:w="2693" w:type="dxa"/>
            <w:vMerge/>
            <w:vAlign w:val="center"/>
          </w:tcPr>
          <w:p w:rsidR="006C0647" w:rsidRDefault="006C0647" w:rsidP="0096622F">
            <w:pPr>
              <w:ind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2835" w:type="dxa"/>
            <w:vAlign w:val="center"/>
          </w:tcPr>
          <w:p w:rsidR="006C0647" w:rsidRPr="0096622F" w:rsidRDefault="006C0647" w:rsidP="0096622F">
            <w:pPr>
              <w:ind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6C0647" w:rsidRDefault="006C0647" w:rsidP="0096622F">
            <w:pPr>
              <w:ind w:hanging="108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</w:p>
        </w:tc>
      </w:tr>
    </w:tbl>
    <w:p w:rsidR="0096622F" w:rsidRPr="0096622F" w:rsidRDefault="0096622F" w:rsidP="0096622F">
      <w:pPr>
        <w:ind w:firstLine="0"/>
        <w:rPr>
          <w:rFonts w:ascii="Arial" w:hAnsi="Arial" w:cs="Arial"/>
          <w:i/>
          <w:color w:val="002060"/>
          <w:sz w:val="16"/>
          <w:szCs w:val="16"/>
        </w:rPr>
      </w:pPr>
      <w:r w:rsidRPr="0096622F">
        <w:rPr>
          <w:rFonts w:ascii="Arial" w:hAnsi="Arial" w:cs="Arial"/>
          <w:i/>
          <w:color w:val="002060"/>
          <w:sz w:val="16"/>
          <w:szCs w:val="16"/>
        </w:rPr>
        <w:t>Пределы допускаемой погрешности в эксплуатации равны удвоенному значению пределов допускаемой погрешности при поверке.</w:t>
      </w:r>
    </w:p>
    <w:p w:rsidR="0096622F" w:rsidRPr="00C70C04" w:rsidRDefault="0096622F" w:rsidP="0096622F">
      <w:pPr>
        <w:spacing w:before="120" w:after="120"/>
        <w:ind w:left="1494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96622F">
      <w:pPr>
        <w:pStyle w:val="2"/>
        <w:numPr>
          <w:ilvl w:val="0"/>
          <w:numId w:val="6"/>
        </w:numPr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7E091C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6C0647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345052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CF27D2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CF27D2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592969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Аналогово-цифровой 4х канальный тензопреобразователь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Микросим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0808-04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B67B7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</w:tr>
      <w:tr w:rsidR="0087532C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87532C" w:rsidRDefault="0087532C" w:rsidP="0087532C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Интерфейсный коннектор (преобразователь интерфейсов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 xml:space="preserve"> 485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–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 232 и USB)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96622F" w:rsidRDefault="0087532C" w:rsidP="008B6ED8">
            <w:pPr>
              <w:ind w:left="71" w:firstLine="0"/>
              <w:jc w:val="center"/>
              <w:rPr>
                <w:rFonts w:ascii="Arial" w:hAnsi="Arial" w:cs="Arial" w:hint="eastAsia"/>
                <w:color w:val="002060"/>
                <w:sz w:val="18"/>
                <w:szCs w:val="18"/>
              </w:rPr>
            </w:pP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>62109-24</w:t>
            </w: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в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Руководство по эксплуатации (совмещено с паспортом)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7532C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87532C">
              <w:rPr>
                <w:rFonts w:ascii="Arial" w:hAnsi="Arial" w:cs="Arial"/>
                <w:color w:val="002060"/>
                <w:sz w:val="18"/>
                <w:szCs w:val="18"/>
              </w:rPr>
              <w:t>200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9461D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461D0" w:rsidRDefault="009461D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461D0" w:rsidRPr="00C70C04" w:rsidRDefault="009461D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461D0" w:rsidRPr="009461D0" w:rsidRDefault="009461D0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461D0" w:rsidRPr="009461D0" w:rsidRDefault="009461D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Принцип действия весов основан на преобразовании нагрузки в электрический сигнал посредством тензодатчиков и дальнейшем преобразовании этого сигнала в цифровой вид в тензопреобразователях Микросим М0808-04 для передачи в программу весов.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 качестве индикатора используется персональный компьютер, со специализированным программным обеспечением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ГПУ состоит из 3х платформ, опирающихся на тензодатчики с узлами встройки. Каждая платформа состоит из двух секций, соединенных между собой стяжками.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Фундамент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упорными болтами.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Кабели от тензодатчиков в гофротрубах проложены к черырёх канальным тензопреобразователям Микросим М0808-04. Сигнал в цифровом виде через преобразователь интерфейсов поступает по кабелю в персональный компьютер и обрабатывается программой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>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кабелей выполняется в соответствии с требованиями грозозащиты. Грузоприёмное устройство весов и вторичная аппаратура подключаются к контуру заземления.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Строительство фундамента.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помещения весовой.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электричеством  220 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подключением к сети Интернет (Варианты: Проложить кабель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Ethernet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, предоставить роутер (точку доступа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WiFi</w:t>
      </w:r>
      <w:r w:rsidRPr="00B51012">
        <w:rPr>
          <w:rFonts w:ascii="Arial" w:hAnsi="Arial" w:cs="Arial"/>
          <w:color w:val="002060"/>
          <w:sz w:val="18"/>
          <w:szCs w:val="18"/>
        </w:rPr>
        <w:t>), подключенный к локальной сети предприятия, обеспечить связи при помощи 4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G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модема).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кабельных трасс для прокладки кабелей от весов до помещения весовой, (варианты: выкопать траншею, уложить трубу с проволокой для протяжки кабеля, закрепить короб на стене здания, заборе, натянут</w:t>
      </w:r>
      <w:r>
        <w:rPr>
          <w:rFonts w:ascii="Arial" w:hAnsi="Arial" w:cs="Arial"/>
          <w:color w:val="002060"/>
          <w:sz w:val="18"/>
          <w:szCs w:val="18"/>
        </w:rPr>
        <w:t>ь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между столбами трос для крепления к нему кабеля).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</w:t>
      </w:r>
      <w:r>
        <w:rPr>
          <w:rFonts w:ascii="Arial" w:hAnsi="Arial" w:cs="Arial"/>
          <w:color w:val="002060"/>
          <w:sz w:val="18"/>
          <w:szCs w:val="18"/>
        </w:rPr>
        <w:t>я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от весов до помещения весовой (непосредственно протянуть кабель в трубе, проложить в коробе, подвесить к тросу на столбах).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автокрана грузоподъемностью  не менее 5 т.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Восстановление (или укладка новых) подъездных путей (дороги) к весам. (Данный этап необходимо завершить до настройки и сдачи весов в поверку, т.к. весоповерочный автомобиль должен въехать на весы).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Предоставить гружёный короткий автомобиль (типа трёхосного КАМАЗа) для настройки независимости показаний весов от положения груза на платформе.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Выделить (назначить)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адреса в локальной сети предприятия для работы</w:t>
      </w:r>
      <w:r>
        <w:rPr>
          <w:rFonts w:ascii="Arial" w:hAnsi="Arial" w:cs="Arial"/>
          <w:color w:val="002060"/>
          <w:sz w:val="18"/>
          <w:szCs w:val="18"/>
        </w:rPr>
        <w:t xml:space="preserve"> </w:t>
      </w:r>
      <w:r w:rsidRPr="00B51012">
        <w:rPr>
          <w:rFonts w:ascii="Arial" w:hAnsi="Arial" w:cs="Arial"/>
          <w:color w:val="002060"/>
          <w:sz w:val="18"/>
          <w:szCs w:val="18"/>
        </w:rPr>
        <w:t>компьютера, предоставить и настроить доступ в локальную сеть предприятия.</w:t>
      </w:r>
    </w:p>
    <w:p w:rsidR="00526521" w:rsidRPr="00C70C04" w:rsidRDefault="00B51012" w:rsidP="00B51012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lastRenderedPageBreak/>
        <w:t xml:space="preserve">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B51012" w:rsidRPr="00B51012" w:rsidRDefault="00526521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</w:t>
      </w:r>
      <w:r w:rsidR="00B51012">
        <w:rPr>
          <w:rFonts w:cs="Arial"/>
          <w:b w:val="0"/>
          <w:color w:val="002060"/>
          <w:sz w:val="18"/>
          <w:szCs w:val="18"/>
        </w:rPr>
        <w:t>, в</w:t>
      </w:r>
      <w:r w:rsidR="00B51012">
        <w:rPr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</w:rPr>
        <w:t xml:space="preserve">соответствии с приложением «Методика поверки весов» ГОСТ </w:t>
      </w:r>
      <w:r w:rsidR="00B51012" w:rsidRPr="00B51012">
        <w:rPr>
          <w:b w:val="0"/>
          <w:color w:val="002060"/>
          <w:sz w:val="18"/>
          <w:szCs w:val="18"/>
          <w:lang w:val="en-US"/>
        </w:rPr>
        <w:t>OIML</w:t>
      </w:r>
      <w:r w:rsidR="00B51012" w:rsidRPr="00B51012">
        <w:rPr>
          <w:b w:val="0"/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  <w:lang w:val="en-US"/>
        </w:rPr>
        <w:t>R</w:t>
      </w:r>
      <w:r w:rsidR="00B51012" w:rsidRPr="00B51012">
        <w:rPr>
          <w:b w:val="0"/>
          <w:color w:val="002060"/>
          <w:sz w:val="18"/>
          <w:szCs w:val="18"/>
        </w:rPr>
        <w:t xml:space="preserve"> 76-1—2011 «Весы неавтоматического действия. Часть 1. Метрологические и технические требования. Испытания».</w:t>
      </w:r>
    </w:p>
    <w:p w:rsidR="00D26E15" w:rsidRPr="00C70C04" w:rsidRDefault="00B51012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</w:t>
      </w:r>
      <w:r w:rsidR="00526521" w:rsidRPr="00C70C04">
        <w:rPr>
          <w:rFonts w:cs="Arial"/>
          <w:b w:val="0"/>
          <w:color w:val="002060"/>
          <w:sz w:val="18"/>
          <w:szCs w:val="18"/>
        </w:rPr>
        <w:t xml:space="preserve">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267300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B51012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</w:rPr>
      </w:pPr>
    </w:p>
    <w:sectPr w:rsidR="0089262C" w:rsidRPr="00B51012" w:rsidSect="00BF2EFF">
      <w:headerReference w:type="default" r:id="rId18"/>
      <w:footerReference w:type="default" r:id="rId19"/>
      <w:headerReference w:type="first" r:id="rId20"/>
      <w:footerReference w:type="first" r:id="rId21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3676" w:rsidRDefault="00583676">
      <w:r>
        <w:separator/>
      </w:r>
    </w:p>
  </w:endnote>
  <w:endnote w:type="continuationSeparator" w:id="0">
    <w:p w:rsidR="00583676" w:rsidRDefault="005836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  <w:lang w:val="en-US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6C0647">
      <w:rPr>
        <w:rFonts w:ascii="Arial" w:hAnsi="Arial" w:cs="Arial"/>
        <w:color w:val="000066"/>
        <w:spacing w:val="30"/>
        <w:sz w:val="20"/>
      </w:rPr>
      <w:t>6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345052">
      <w:rPr>
        <w:rFonts w:ascii="Arial" w:hAnsi="Arial" w:cs="Arial"/>
        <w:color w:val="000066"/>
        <w:spacing w:val="30"/>
        <w:sz w:val="20"/>
      </w:rPr>
      <w:t>1</w:t>
    </w:r>
    <w:r w:rsidR="00CF27D2">
      <w:rPr>
        <w:rFonts w:ascii="Arial" w:hAnsi="Arial" w:cs="Arial"/>
        <w:color w:val="000066"/>
        <w:spacing w:val="30"/>
        <w:sz w:val="20"/>
      </w:rPr>
      <w:t>8</w:t>
    </w:r>
    <w:r w:rsidR="009461D0">
      <w:rPr>
        <w:rFonts w:ascii="Arial" w:hAnsi="Arial" w:cs="Arial"/>
        <w:color w:val="000066"/>
        <w:spacing w:val="30"/>
        <w:sz w:val="20"/>
      </w:rPr>
      <w:t>-К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  <w:lang w:val="en-US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 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7F762B">
      <w:rPr>
        <w:rFonts w:ascii="Arial" w:hAnsi="Arial" w:cs="Arial"/>
        <w:color w:val="000080"/>
        <w:spacing w:val="30"/>
        <w:sz w:val="20"/>
      </w:rPr>
      <w:t xml:space="preserve">Патриот </w:t>
    </w:r>
    <w:r w:rsidR="006C0647">
      <w:rPr>
        <w:rFonts w:ascii="Arial" w:hAnsi="Arial" w:cs="Arial"/>
        <w:color w:val="000080"/>
        <w:spacing w:val="30"/>
        <w:sz w:val="20"/>
      </w:rPr>
      <w:t>6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345052">
      <w:rPr>
        <w:rFonts w:ascii="Arial" w:hAnsi="Arial" w:cs="Arial"/>
        <w:color w:val="000080"/>
        <w:spacing w:val="30"/>
        <w:sz w:val="20"/>
      </w:rPr>
      <w:t>1</w:t>
    </w:r>
    <w:r w:rsidR="00CF27D2">
      <w:rPr>
        <w:rFonts w:ascii="Arial" w:hAnsi="Arial" w:cs="Arial"/>
        <w:color w:val="000080"/>
        <w:spacing w:val="30"/>
        <w:sz w:val="20"/>
      </w:rPr>
      <w:t>8</w:t>
    </w:r>
    <w:r w:rsidR="009461D0">
      <w:rPr>
        <w:rFonts w:ascii="Arial" w:hAnsi="Arial" w:cs="Arial"/>
        <w:color w:val="000080"/>
        <w:spacing w:val="30"/>
        <w:sz w:val="20"/>
      </w:rPr>
      <w:t>-К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3676" w:rsidRDefault="00583676">
      <w:r>
        <w:separator/>
      </w:r>
    </w:p>
  </w:footnote>
  <w:footnote w:type="continuationSeparator" w:id="0">
    <w:p w:rsidR="00583676" w:rsidRDefault="005836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6C0647">
      <w:rPr>
        <w:rFonts w:ascii="Arial" w:hAnsi="Arial" w:cs="Arial"/>
        <w:color w:val="000066"/>
        <w:sz w:val="20"/>
        <w:u w:val="single"/>
      </w:rPr>
      <w:t>6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345052">
      <w:rPr>
        <w:rFonts w:ascii="Arial" w:hAnsi="Arial" w:cs="Arial"/>
        <w:color w:val="000066"/>
        <w:sz w:val="20"/>
        <w:u w:val="single"/>
      </w:rPr>
      <w:t>1</w:t>
    </w:r>
    <w:r w:rsidR="00CF27D2">
      <w:rPr>
        <w:rFonts w:ascii="Arial" w:hAnsi="Arial" w:cs="Arial"/>
        <w:color w:val="000066"/>
        <w:sz w:val="20"/>
        <w:u w:val="single"/>
      </w:rPr>
      <w:t>8</w:t>
    </w:r>
    <w:r w:rsidR="009461D0">
      <w:rPr>
        <w:rFonts w:ascii="Arial" w:hAnsi="Arial" w:cs="Arial"/>
        <w:color w:val="000066"/>
        <w:sz w:val="20"/>
        <w:u w:val="single"/>
      </w:rPr>
      <w:t>-К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267300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786633CE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F74DF"/>
    <w:multiLevelType w:val="hybridMultilevel"/>
    <w:tmpl w:val="B66E41E6"/>
    <w:lvl w:ilvl="0" w:tplc="04190001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2A775CD7"/>
    <w:multiLevelType w:val="hybridMultilevel"/>
    <w:tmpl w:val="52E488EA"/>
    <w:lvl w:ilvl="0" w:tplc="0419000F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9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2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5" w15:restartNumberingAfterBreak="0">
    <w:nsid w:val="4DA616D3"/>
    <w:multiLevelType w:val="hybridMultilevel"/>
    <w:tmpl w:val="C740917C"/>
    <w:lvl w:ilvl="0" w:tplc="0419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3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9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30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3" w15:restartNumberingAfterBreak="0">
    <w:nsid w:val="7B1D5729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9"/>
  </w:num>
  <w:num w:numId="3">
    <w:abstractNumId w:val="4"/>
  </w:num>
  <w:num w:numId="4">
    <w:abstractNumId w:val="1"/>
  </w:num>
  <w:num w:numId="5">
    <w:abstractNumId w:val="21"/>
  </w:num>
  <w:num w:numId="6">
    <w:abstractNumId w:val="8"/>
  </w:num>
  <w:num w:numId="7">
    <w:abstractNumId w:val="6"/>
  </w:num>
  <w:num w:numId="8">
    <w:abstractNumId w:val="14"/>
  </w:num>
  <w:num w:numId="9">
    <w:abstractNumId w:val="32"/>
  </w:num>
  <w:num w:numId="10">
    <w:abstractNumId w:val="7"/>
  </w:num>
  <w:num w:numId="11">
    <w:abstractNumId w:val="9"/>
  </w:num>
  <w:num w:numId="12">
    <w:abstractNumId w:val="11"/>
  </w:num>
  <w:num w:numId="13">
    <w:abstractNumId w:val="26"/>
  </w:num>
  <w:num w:numId="14">
    <w:abstractNumId w:val="12"/>
  </w:num>
  <w:num w:numId="15">
    <w:abstractNumId w:val="17"/>
  </w:num>
  <w:num w:numId="16">
    <w:abstractNumId w:val="22"/>
  </w:num>
  <w:num w:numId="17">
    <w:abstractNumId w:val="29"/>
  </w:num>
  <w:num w:numId="18">
    <w:abstractNumId w:val="16"/>
  </w:num>
  <w:num w:numId="19">
    <w:abstractNumId w:val="25"/>
  </w:num>
  <w:num w:numId="20">
    <w:abstractNumId w:val="20"/>
  </w:num>
  <w:num w:numId="21">
    <w:abstractNumId w:val="10"/>
  </w:num>
  <w:num w:numId="22">
    <w:abstractNumId w:val="28"/>
  </w:num>
  <w:num w:numId="23">
    <w:abstractNumId w:val="18"/>
  </w:num>
  <w:num w:numId="24">
    <w:abstractNumId w:val="5"/>
  </w:num>
  <w:num w:numId="25">
    <w:abstractNumId w:val="30"/>
  </w:num>
  <w:num w:numId="26">
    <w:abstractNumId w:val="27"/>
  </w:num>
  <w:num w:numId="27">
    <w:abstractNumId w:val="31"/>
  </w:num>
  <w:num w:numId="28">
    <w:abstractNumId w:val="24"/>
  </w:num>
  <w:num w:numId="29">
    <w:abstractNumId w:val="13"/>
  </w:num>
  <w:num w:numId="30">
    <w:abstractNumId w:val="2"/>
  </w:num>
  <w:num w:numId="31">
    <w:abstractNumId w:val="23"/>
  </w:num>
  <w:num w:numId="32">
    <w:abstractNumId w:val="33"/>
  </w:num>
  <w:num w:numId="33">
    <w:abstractNumId w:val="15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28FB"/>
    <w:rsid w:val="000145A9"/>
    <w:rsid w:val="000152AC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12DE"/>
    <w:rsid w:val="000B45F9"/>
    <w:rsid w:val="000B5CDC"/>
    <w:rsid w:val="000C2176"/>
    <w:rsid w:val="000C443B"/>
    <w:rsid w:val="000C790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5B1A"/>
    <w:rsid w:val="001D7490"/>
    <w:rsid w:val="001D7CB4"/>
    <w:rsid w:val="001E10EC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1492B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67300"/>
    <w:rsid w:val="00272566"/>
    <w:rsid w:val="002875D4"/>
    <w:rsid w:val="0029362A"/>
    <w:rsid w:val="00295207"/>
    <w:rsid w:val="002A11B3"/>
    <w:rsid w:val="002A31CD"/>
    <w:rsid w:val="002B0E06"/>
    <w:rsid w:val="002C34DA"/>
    <w:rsid w:val="002C7947"/>
    <w:rsid w:val="002D1F56"/>
    <w:rsid w:val="002D2D62"/>
    <w:rsid w:val="002E0196"/>
    <w:rsid w:val="002E75AD"/>
    <w:rsid w:val="00301422"/>
    <w:rsid w:val="00301BF1"/>
    <w:rsid w:val="00315DC0"/>
    <w:rsid w:val="00315FC9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5052"/>
    <w:rsid w:val="00346D62"/>
    <w:rsid w:val="00351A74"/>
    <w:rsid w:val="003527D8"/>
    <w:rsid w:val="00353E3A"/>
    <w:rsid w:val="003557D8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407297"/>
    <w:rsid w:val="00415363"/>
    <w:rsid w:val="00417737"/>
    <w:rsid w:val="0042189C"/>
    <w:rsid w:val="00422A94"/>
    <w:rsid w:val="00423BD7"/>
    <w:rsid w:val="00427299"/>
    <w:rsid w:val="004273ED"/>
    <w:rsid w:val="00433960"/>
    <w:rsid w:val="00435565"/>
    <w:rsid w:val="004367FA"/>
    <w:rsid w:val="00452512"/>
    <w:rsid w:val="00453597"/>
    <w:rsid w:val="00491BD0"/>
    <w:rsid w:val="00493F0E"/>
    <w:rsid w:val="00496FF0"/>
    <w:rsid w:val="004A212A"/>
    <w:rsid w:val="004A247D"/>
    <w:rsid w:val="004A3163"/>
    <w:rsid w:val="004A7189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83676"/>
    <w:rsid w:val="00592969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0F5D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94FC1"/>
    <w:rsid w:val="0069746F"/>
    <w:rsid w:val="006A16F8"/>
    <w:rsid w:val="006A387D"/>
    <w:rsid w:val="006A7418"/>
    <w:rsid w:val="006B304F"/>
    <w:rsid w:val="006B6EB2"/>
    <w:rsid w:val="006B70A6"/>
    <w:rsid w:val="006C0647"/>
    <w:rsid w:val="006C4312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4D94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091C"/>
    <w:rsid w:val="007E3311"/>
    <w:rsid w:val="007E5A9A"/>
    <w:rsid w:val="007F2A81"/>
    <w:rsid w:val="007F66E9"/>
    <w:rsid w:val="007F762B"/>
    <w:rsid w:val="00803108"/>
    <w:rsid w:val="008162A6"/>
    <w:rsid w:val="008269B8"/>
    <w:rsid w:val="008269F4"/>
    <w:rsid w:val="008315D5"/>
    <w:rsid w:val="00832FD5"/>
    <w:rsid w:val="008335F6"/>
    <w:rsid w:val="0083570D"/>
    <w:rsid w:val="008365A8"/>
    <w:rsid w:val="00836927"/>
    <w:rsid w:val="00837ED2"/>
    <w:rsid w:val="00847C00"/>
    <w:rsid w:val="00847D3D"/>
    <w:rsid w:val="00852396"/>
    <w:rsid w:val="00852D6B"/>
    <w:rsid w:val="008541A2"/>
    <w:rsid w:val="00854F90"/>
    <w:rsid w:val="0086431A"/>
    <w:rsid w:val="008643EA"/>
    <w:rsid w:val="008674B4"/>
    <w:rsid w:val="00870F7E"/>
    <w:rsid w:val="0087532C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724B"/>
    <w:rsid w:val="008B06F2"/>
    <w:rsid w:val="008B2C82"/>
    <w:rsid w:val="008B6ED8"/>
    <w:rsid w:val="008C0154"/>
    <w:rsid w:val="008C33C8"/>
    <w:rsid w:val="008D001E"/>
    <w:rsid w:val="008D0633"/>
    <w:rsid w:val="008D2156"/>
    <w:rsid w:val="008D695B"/>
    <w:rsid w:val="008E21B6"/>
    <w:rsid w:val="008F0CFE"/>
    <w:rsid w:val="009168F8"/>
    <w:rsid w:val="00926593"/>
    <w:rsid w:val="00926939"/>
    <w:rsid w:val="00930669"/>
    <w:rsid w:val="00934AEA"/>
    <w:rsid w:val="00946109"/>
    <w:rsid w:val="009461D0"/>
    <w:rsid w:val="00955E9E"/>
    <w:rsid w:val="0096622F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012"/>
    <w:rsid w:val="00B51475"/>
    <w:rsid w:val="00B65880"/>
    <w:rsid w:val="00B7033D"/>
    <w:rsid w:val="00B7157A"/>
    <w:rsid w:val="00B72FEF"/>
    <w:rsid w:val="00B802EA"/>
    <w:rsid w:val="00B81ADD"/>
    <w:rsid w:val="00B8400F"/>
    <w:rsid w:val="00B84444"/>
    <w:rsid w:val="00B864C8"/>
    <w:rsid w:val="00B87DBC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E71EC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626F8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A6D7E"/>
    <w:rsid w:val="00CB6CC9"/>
    <w:rsid w:val="00CC20D8"/>
    <w:rsid w:val="00CC3F39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27D2"/>
    <w:rsid w:val="00CF6244"/>
    <w:rsid w:val="00CF6B85"/>
    <w:rsid w:val="00D03C8F"/>
    <w:rsid w:val="00D113A0"/>
    <w:rsid w:val="00D12A62"/>
    <w:rsid w:val="00D13571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7533D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31694"/>
    <w:rsid w:val="00E338F3"/>
    <w:rsid w:val="00E33A3F"/>
    <w:rsid w:val="00E41D3D"/>
    <w:rsid w:val="00E507AC"/>
    <w:rsid w:val="00E51ACC"/>
    <w:rsid w:val="00E54C09"/>
    <w:rsid w:val="00E56867"/>
    <w:rsid w:val="00E57D65"/>
    <w:rsid w:val="00E6739D"/>
    <w:rsid w:val="00E7058E"/>
    <w:rsid w:val="00E71D66"/>
    <w:rsid w:val="00E76E3C"/>
    <w:rsid w:val="00E8357D"/>
    <w:rsid w:val="00E846AC"/>
    <w:rsid w:val="00E85683"/>
    <w:rsid w:val="00E90288"/>
    <w:rsid w:val="00E9401B"/>
    <w:rsid w:val="00EA1061"/>
    <w:rsid w:val="00EA70D3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91DFC"/>
    <w:rsid w:val="00F9576E"/>
    <w:rsid w:val="00F96694"/>
    <w:rsid w:val="00FA0EFB"/>
    <w:rsid w:val="00FA2E08"/>
    <w:rsid w:val="00FA4D3E"/>
    <w:rsid w:val="00FB0E69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B680693-97B4-45BC-87E0-AB151468E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character" w:styleId="af4">
    <w:name w:val="annotation reference"/>
    <w:rsid w:val="00D7533D"/>
    <w:rPr>
      <w:sz w:val="16"/>
      <w:szCs w:val="16"/>
    </w:rPr>
  </w:style>
  <w:style w:type="paragraph" w:styleId="af5">
    <w:name w:val="annotation text"/>
    <w:basedOn w:val="a"/>
    <w:link w:val="af6"/>
    <w:rsid w:val="00D7533D"/>
    <w:rPr>
      <w:sz w:val="20"/>
    </w:rPr>
  </w:style>
  <w:style w:type="character" w:customStyle="1" w:styleId="af6">
    <w:name w:val="Текст примечания Знак"/>
    <w:link w:val="af5"/>
    <w:rsid w:val="00D7533D"/>
    <w:rPr>
      <w:rFonts w:ascii="NTHelvetica/Cyrillic" w:hAnsi="NTHelvetica/Cyrillic"/>
    </w:rPr>
  </w:style>
  <w:style w:type="paragraph" w:styleId="af7">
    <w:name w:val="annotation subject"/>
    <w:basedOn w:val="af5"/>
    <w:next w:val="af5"/>
    <w:link w:val="af8"/>
    <w:rsid w:val="00D7533D"/>
    <w:rPr>
      <w:b/>
      <w:bCs/>
    </w:rPr>
  </w:style>
  <w:style w:type="character" w:customStyle="1" w:styleId="af8">
    <w:name w:val="Тема примечания Знак"/>
    <w:link w:val="af7"/>
    <w:rsid w:val="00D7533D"/>
    <w:rPr>
      <w:rFonts w:ascii="NTHelvetica/Cyrillic" w:hAnsi="NTHelvetica/Cyrillic"/>
      <w:b/>
      <w:bCs/>
    </w:rPr>
  </w:style>
  <w:style w:type="paragraph" w:customStyle="1" w:styleId="xmsonormal">
    <w:name w:val="xmsonormal"/>
    <w:basedOn w:val="a"/>
    <w:uiPriority w:val="99"/>
    <w:rsid w:val="00267300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9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2E0265-6EDE-4491-ACD5-3756F4FFF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1937</Words>
  <Characters>11041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12953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2022-05-19T20:33:00Z</dcterms:created>
  <dcterms:modified xsi:type="dcterms:W3CDTF">2022-05-19T20:33:00Z</dcterms:modified>
</cp:coreProperties>
</file>