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39407546"/>
        <w:docPartObj>
          <w:docPartGallery w:val="Cover Pages"/>
          <w:docPartUnique/>
        </w:docPartObj>
      </w:sdtPr>
      <w:sdtContent>
        <w:p w:rsidR="007F3F59" w:rsidRDefault="007F3F59"/>
        <w:p w:rsidR="007F3F59" w:rsidRDefault="007F3F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64A9E40" wp14:editId="67A5C88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7F3F59" w:rsidRDefault="007F3F59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7F3F59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SMA - Cognitif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7F3F59" w:rsidRDefault="007F3F59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Acheteurs - Fournisseurs</w:t>
                                        </w:r>
                                      </w:p>
                                    </w:sdtContent>
                                  </w:sdt>
                                  <w:p w:rsidR="007F3F59" w:rsidRDefault="007F3F59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F3F59" w:rsidRDefault="007F3F59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F3F59" w:rsidRDefault="007F3F59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2-0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7F3F59" w:rsidRDefault="007F3F5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7F3F59" w:rsidRDefault="007F3F59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7F3F59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Adrien Castex – Benoit Vuillemin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7F3F59" w:rsidRDefault="007F3F59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7F3F59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</w:rPr>
                                          <w:t>POLYTECH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2-0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7F3F59" w:rsidRDefault="007F3F59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01/12/2015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7F3F59" w:rsidRDefault="007F3F59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 w:rsidRPr="007F3F59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SMA - Cognitif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7F3F59" w:rsidRDefault="007F3F59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Acheteurs - Fournisseurs</w:t>
                                  </w:r>
                                </w:p>
                              </w:sdtContent>
                            </w:sdt>
                            <w:p w:rsidR="007F3F59" w:rsidRDefault="007F3F59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F3F59" w:rsidRDefault="007F3F59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F3F59" w:rsidRDefault="007F3F59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2-0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7F3F59" w:rsidRDefault="007F3F5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7F3F59" w:rsidRDefault="007F3F5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F3F59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Adrien Castex – Benoit Vuillemin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7F3F59" w:rsidRDefault="007F3F5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F3F59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POLYTECH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2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7F3F59" w:rsidRDefault="007F3F5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01/12/2015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7F3F59" w:rsidRDefault="007F3F59">
          <w:r>
            <w:br w:type="page"/>
          </w:r>
        </w:p>
      </w:sdtContent>
    </w:sdt>
    <w:p w:rsidR="007F3F59" w:rsidRDefault="007F3F59"/>
    <w:p w:rsidR="007F3F59" w:rsidRDefault="007F3F59"/>
    <w:p w:rsidR="007F3F59" w:rsidRDefault="007F3F59">
      <w:proofErr w:type="spellStart"/>
      <w:r>
        <w:t>AgentAbstract</w:t>
      </w:r>
      <w:proofErr w:type="spellEnd"/>
      <w:r>
        <w:t> :</w:t>
      </w:r>
    </w:p>
    <w:p w:rsidR="00577485" w:rsidRDefault="007F3F59">
      <w:r>
        <w:t>La plupart des fonctions et du fonctionnement des acheteurs et des fournisseurs sont les mêmes, ce qui nous a permis de regroupe beaucoup de code dans une classe parent.</w:t>
      </w:r>
    </w:p>
    <w:p w:rsidR="007F3F59" w:rsidRDefault="007F3F59"/>
    <w:p w:rsidR="007F3F59" w:rsidRDefault="007F3F59">
      <w:r>
        <w:t>Un fournisseur peut avoir plusieurs réservations mais un client ne peut réserver qu’une seule fois. C’est pour cela que l’</w:t>
      </w:r>
      <w:r w:rsidR="00433BAE">
        <w:t xml:space="preserve">acheteur, lorsqu’il accepte une offre, il envoie un refus aux autres fournisseurs pour les prévenir </w:t>
      </w:r>
      <w:r w:rsidR="00F24658">
        <w:t>que la discussion est terminée.</w:t>
      </w:r>
    </w:p>
    <w:p w:rsidR="00F24658" w:rsidRDefault="00F24658"/>
    <w:p w:rsidR="00F24658" w:rsidRDefault="00F24658">
      <w:r>
        <w:t>Pour éviter de recevoir plusieurs messages d’acceptations à la fois</w:t>
      </w:r>
      <w:r w:rsidR="003B7151">
        <w:t xml:space="preserve"> entrainant l’acceptation de plusieurs offres pour un acheteur</w:t>
      </w:r>
      <w:r>
        <w:t>, une acceptation se fait en deux étapes :</w:t>
      </w:r>
    </w:p>
    <w:p w:rsidR="00F24658" w:rsidRDefault="00F24658" w:rsidP="003B7151">
      <w:pPr>
        <w:pStyle w:val="Paragraphedeliste"/>
        <w:numPr>
          <w:ilvl w:val="0"/>
          <w:numId w:val="2"/>
        </w:numPr>
      </w:pPr>
      <w:r>
        <w:t>L’émission de l’acceptation par l’agent A</w:t>
      </w:r>
    </w:p>
    <w:p w:rsidR="00F24658" w:rsidRDefault="00F24658" w:rsidP="003B7151">
      <w:pPr>
        <w:pStyle w:val="Paragraphedeliste"/>
        <w:numPr>
          <w:ilvl w:val="0"/>
          <w:numId w:val="2"/>
        </w:numPr>
      </w:pPr>
      <w:r>
        <w:t>L’émission de la confirmation de l’acceptation par l’agent B</w:t>
      </w:r>
    </w:p>
    <w:p w:rsidR="007F3F59" w:rsidRDefault="007F3F59"/>
    <w:p w:rsidR="007676E9" w:rsidRDefault="007676E9">
      <w:r>
        <w:t>Les agents n’effectuent qu’un seul dialogue à la fois par agent opposé. Un acheteur ne peut pas tenir deux dialogues au même fournisseur.</w:t>
      </w:r>
    </w:p>
    <w:p w:rsidR="007676E9" w:rsidRDefault="007676E9"/>
    <w:p w:rsidR="003B7151" w:rsidRDefault="007676E9">
      <w:r>
        <w:t>Un agent fournisseur ne s’arrêtera jamais de fonctionner. Il peut dialoguer avec plusieurs acheteurs.</w:t>
      </w:r>
    </w:p>
    <w:p w:rsidR="007676E9" w:rsidRDefault="007676E9">
      <w:r>
        <w:t>Un agent acheteur ne s’arrête que lorsqu’il est satisfait, c’est-à-dire lorsqu’il a réussi à trouver un accord avec un fournisseur.</w:t>
      </w:r>
    </w:p>
    <w:p w:rsidR="007676E9" w:rsidRDefault="007676E9"/>
    <w:p w:rsidR="007676E9" w:rsidRDefault="007676E9">
      <w:r>
        <w:t>Les agents gardent en mémoire les accords.</w:t>
      </w:r>
    </w:p>
    <w:p w:rsidR="007676E9" w:rsidRDefault="007676E9"/>
    <w:p w:rsidR="007676E9" w:rsidRDefault="00826C5D">
      <w:r>
        <w:t>Un agent a un nombre max et un nombre min</w:t>
      </w:r>
      <w:r>
        <w:t xml:space="preserve"> de propositions</w:t>
      </w:r>
      <w:r w:rsidR="00C1026B">
        <w:t>.</w:t>
      </w:r>
    </w:p>
    <w:p w:rsidR="007F3F59" w:rsidRDefault="007F3F59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76"/>
        <w:gridCol w:w="3151"/>
        <w:gridCol w:w="2861"/>
      </w:tblGrid>
      <w:tr w:rsidR="00C1026B" w:rsidTr="00C1026B">
        <w:tc>
          <w:tcPr>
            <w:tcW w:w="3276" w:type="dxa"/>
          </w:tcPr>
          <w:p w:rsidR="00C1026B" w:rsidRDefault="00C1026B">
            <w:r>
              <w:t>L’offre est en dehors de la zone de négociation</w:t>
            </w:r>
          </w:p>
        </w:tc>
        <w:tc>
          <w:tcPr>
            <w:tcW w:w="3151" w:type="dxa"/>
          </w:tcPr>
          <w:p w:rsidR="00C1026B" w:rsidRDefault="00C1026B">
            <w:r>
              <w:t>Nombre d’offres</w:t>
            </w:r>
          </w:p>
        </w:tc>
        <w:tc>
          <w:tcPr>
            <w:tcW w:w="2861" w:type="dxa"/>
          </w:tcPr>
          <w:p w:rsidR="00C1026B" w:rsidRDefault="00C1026B">
            <w:r>
              <w:t>Action</w:t>
            </w:r>
          </w:p>
        </w:tc>
      </w:tr>
      <w:tr w:rsidR="00C1026B" w:rsidTr="00C1026B">
        <w:tc>
          <w:tcPr>
            <w:tcW w:w="3276" w:type="dxa"/>
          </w:tcPr>
          <w:p w:rsidR="00C1026B" w:rsidRDefault="00C1026B">
            <w:r>
              <w:t>X</w:t>
            </w:r>
          </w:p>
        </w:tc>
        <w:tc>
          <w:tcPr>
            <w:tcW w:w="3151" w:type="dxa"/>
          </w:tcPr>
          <w:p w:rsidR="00C1026B" w:rsidRDefault="00C1026B">
            <w:r>
              <w:t>&lt; min</w:t>
            </w:r>
          </w:p>
        </w:tc>
        <w:tc>
          <w:tcPr>
            <w:tcW w:w="2861" w:type="dxa"/>
          </w:tcPr>
          <w:p w:rsidR="00C1026B" w:rsidRDefault="00C1026B">
            <w:r>
              <w:t>Continuer à négocier</w:t>
            </w:r>
          </w:p>
        </w:tc>
      </w:tr>
      <w:tr w:rsidR="00C1026B" w:rsidTr="00C1026B">
        <w:tc>
          <w:tcPr>
            <w:tcW w:w="3276" w:type="dxa"/>
          </w:tcPr>
          <w:p w:rsidR="00C1026B" w:rsidRDefault="00C1026B">
            <w:r>
              <w:t>Non</w:t>
            </w:r>
          </w:p>
        </w:tc>
        <w:tc>
          <w:tcPr>
            <w:tcW w:w="3151" w:type="dxa"/>
          </w:tcPr>
          <w:p w:rsidR="00C1026B" w:rsidRDefault="00C1026B" w:rsidP="00C1026B">
            <w:r>
              <w:t>&gt; min ; &lt; max</w:t>
            </w:r>
          </w:p>
        </w:tc>
        <w:tc>
          <w:tcPr>
            <w:tcW w:w="2861" w:type="dxa"/>
          </w:tcPr>
          <w:p w:rsidR="00C1026B" w:rsidRDefault="00C1026B">
            <w:r>
              <w:t>Continuer à négocier</w:t>
            </w:r>
          </w:p>
        </w:tc>
      </w:tr>
      <w:tr w:rsidR="00C1026B" w:rsidTr="00C1026B">
        <w:tc>
          <w:tcPr>
            <w:tcW w:w="3276" w:type="dxa"/>
          </w:tcPr>
          <w:p w:rsidR="00C1026B" w:rsidRDefault="00C1026B">
            <w:r>
              <w:t>Oui</w:t>
            </w:r>
          </w:p>
        </w:tc>
        <w:tc>
          <w:tcPr>
            <w:tcW w:w="3151" w:type="dxa"/>
          </w:tcPr>
          <w:p w:rsidR="00C1026B" w:rsidRDefault="00C1026B">
            <w:r>
              <w:t>&gt; min ; &lt; max</w:t>
            </w:r>
          </w:p>
        </w:tc>
        <w:tc>
          <w:tcPr>
            <w:tcW w:w="2861" w:type="dxa"/>
          </w:tcPr>
          <w:p w:rsidR="00C1026B" w:rsidRDefault="00C1026B">
            <w:r>
              <w:t>Stop</w:t>
            </w:r>
          </w:p>
        </w:tc>
      </w:tr>
      <w:tr w:rsidR="00C1026B" w:rsidTr="00C1026B">
        <w:tc>
          <w:tcPr>
            <w:tcW w:w="3276" w:type="dxa"/>
          </w:tcPr>
          <w:p w:rsidR="00C1026B" w:rsidRDefault="00C1026B">
            <w:r>
              <w:t>X</w:t>
            </w:r>
          </w:p>
        </w:tc>
        <w:tc>
          <w:tcPr>
            <w:tcW w:w="3151" w:type="dxa"/>
          </w:tcPr>
          <w:p w:rsidR="00C1026B" w:rsidRDefault="00C1026B">
            <w:r>
              <w:t>&gt; max</w:t>
            </w:r>
          </w:p>
        </w:tc>
        <w:tc>
          <w:tcPr>
            <w:tcW w:w="2861" w:type="dxa"/>
          </w:tcPr>
          <w:p w:rsidR="00C1026B" w:rsidRDefault="00C1026B">
            <w:r>
              <w:t>Stop</w:t>
            </w:r>
          </w:p>
        </w:tc>
      </w:tr>
    </w:tbl>
    <w:p w:rsidR="00C1026B" w:rsidRDefault="00C1026B">
      <w:r>
        <w:t xml:space="preserve">X = </w:t>
      </w:r>
      <w:proofErr w:type="spellStart"/>
      <w:r>
        <w:t>don’t</w:t>
      </w:r>
      <w:proofErr w:type="spellEnd"/>
      <w:r>
        <w:t xml:space="preserve"> care</w:t>
      </w:r>
    </w:p>
    <w:p w:rsidR="007F3F59" w:rsidRDefault="007F3F59"/>
    <w:p w:rsidR="007F3F59" w:rsidRDefault="007F3F59"/>
    <w:p w:rsidR="007F3F59" w:rsidRDefault="007F3F59"/>
    <w:p w:rsidR="007F3F59" w:rsidRDefault="007F3F59"/>
    <w:sectPr w:rsidR="007F3F59" w:rsidSect="007F3F5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49B"/>
    <w:multiLevelType w:val="hybridMultilevel"/>
    <w:tmpl w:val="93B2C1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0BB2"/>
    <w:multiLevelType w:val="hybridMultilevel"/>
    <w:tmpl w:val="98A20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708CF"/>
    <w:multiLevelType w:val="hybridMultilevel"/>
    <w:tmpl w:val="CD3AB39A"/>
    <w:lvl w:ilvl="0" w:tplc="F4D661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7D"/>
    <w:rsid w:val="0007227D"/>
    <w:rsid w:val="003B7151"/>
    <w:rsid w:val="00433BAE"/>
    <w:rsid w:val="00577485"/>
    <w:rsid w:val="007676E9"/>
    <w:rsid w:val="007F3F59"/>
    <w:rsid w:val="00826C5D"/>
    <w:rsid w:val="00C1026B"/>
    <w:rsid w:val="00F2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3F5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3F5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F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B7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3F5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3F5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F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B7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 - Cognitif</dc:title>
  <dc:subject>Acheteurs - Fournisseurs</dc:subject>
  <dc:creator>Adrien Castex – Benoit Vuillemin</dc:creator>
  <cp:keywords/>
  <dc:description/>
  <cp:lastModifiedBy>A</cp:lastModifiedBy>
  <cp:revision>6</cp:revision>
  <dcterms:created xsi:type="dcterms:W3CDTF">2015-12-01T15:30:00Z</dcterms:created>
  <dcterms:modified xsi:type="dcterms:W3CDTF">2015-12-01T16:09:00Z</dcterms:modified>
</cp:coreProperties>
</file>