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t>Министерство науки и высшего образования Российской Федерации</w:t>
      </w:r>
    </w:p>
    <w:p>
      <w:pPr>
        <w:jc w:val="center"/>
      </w:pPr>
      <w:r>
        <w:t>Пермский государственный национальный исследовательский университет</w:t>
      </w:r>
    </w:p>
    <w:p>
      <w:pPr>
        <w:jc w:val="center"/>
      </w:pPr>
      <w:r>
        <w:t>ИКНТ</w:t>
      </w:r>
    </w:p>
    <w:p/>
    <w:p/>
    <w:p>
      <w:pPr>
        <w:jc w:val="center"/>
      </w:pPr>
      <w:r>
        <w:rPr>
          <w:b/>
          <w:sz w:val="32"/>
        </w:rPr>
        <w:t>Лабораторная работа № 1</w:t>
      </w:r>
    </w:p>
    <w:p>
      <w:pPr>
        <w:jc w:val="center"/>
      </w:pPr>
      <w:r>
        <w:rPr>
          <w:b/>
          <w:sz w:val="28"/>
        </w:rPr>
        <w:t>Численные методы в теории игр</w:t>
      </w:r>
    </w:p>
    <w:p/>
    <w:p>
      <w:pPr>
        <w:jc w:val="center"/>
      </w:pPr>
      <w:r>
        <w:t>Дисциплина: Теория игр и принятие решений</w:t>
      </w:r>
    </w:p>
    <w:p>
      <w:pPr>
        <w:jc w:val="center"/>
      </w:pPr>
      <w:r>
        <w:t>Трек: Программная инженерия</w:t>
      </w:r>
    </w:p>
    <w:p/>
    <w:p/>
    <w:p>
      <w:pPr>
        <w:jc w:val="center"/>
      </w:pPr>
      <w:r>
        <w:t>Выполнил: студент Лобанов Р. Е.</w:t>
      </w:r>
    </w:p>
    <w:p>
      <w:pPr>
        <w:jc w:val="center"/>
      </w:pPr>
      <w:r>
        <w:t>Вариант: Афанасьев / Лобанов (см. таблицу вариантов)</w:t>
      </w:r>
    </w:p>
    <w:p/>
    <w:p>
      <w:pPr>
        <w:jc w:val="center"/>
      </w:pPr>
      <w:r>
        <w:t>Пермь, 2026</w:t>
      </w:r>
    </w:p>
    <w:p>
      <w:r>
        <w:br w:type="page"/>
      </w:r>
    </w:p>
    <w:p>
      <w:pPr>
        <w:pStyle w:val="Heading1"/>
        <w:jc w:val="left"/>
      </w:pPr>
      <w:r>
        <w:t>Задача 1. Метод Брауна-Робинсона</w:t>
      </w:r>
    </w:p>
    <w:p>
      <w:pPr>
        <w:pStyle w:val="Heading2"/>
        <w:jc w:val="left"/>
      </w:pPr>
      <w:r>
        <w:t>1.1 Постановка задачи</w:t>
      </w:r>
    </w:p>
    <w:p>
      <w:r>
        <w:rPr>
          <w:b w:val="0"/>
          <w:i w:val="0"/>
          <w:sz w:val="24"/>
        </w:rPr>
        <w:t>Моделирование конкуренции за ресурсы в распределённой системе. Сгенерирована случайная платёжная матрица A размерности 12×12, элементы — целые числа в диапазоне [−100, 100] (np.random.seed=42). Требуется найти оптимальные смешанные стратегии игроков и цену игры двумя методами: итерационным (Браун–Робинсон) и точным (ЛП).</w:t>
      </w:r>
    </w:p>
    <w:p>
      <w:pPr>
        <w:pStyle w:val="Heading2"/>
        <w:jc w:val="left"/>
      </w:pPr>
      <w:r>
        <w:t>1.2 Математическая модель</w:t>
      </w:r>
    </w:p>
    <w:p>
      <w:r>
        <w:rPr>
          <w:b w:val="0"/>
          <w:i w:val="0"/>
          <w:sz w:val="24"/>
        </w:rPr>
        <w:t>Матричная игра с нулевой суммой. Оба игрока выбирают смешанные стратегии:</w:t>
      </w:r>
    </w:p>
    <w:p>
      <w:pPr>
        <w:ind w:left="1134"/>
      </w:pPr>
      <w:r>
        <w:rPr>
          <w:i/>
          <w:sz w:val="24"/>
        </w:rPr>
        <w:t>Игрок 1: p ∈ Δ_n = {p ≥ 0, Σp_i = 1}</w:t>
      </w:r>
    </w:p>
    <w:p>
      <w:pPr>
        <w:ind w:left="1134"/>
      </w:pPr>
      <w:r>
        <w:rPr>
          <w:i/>
          <w:sz w:val="24"/>
        </w:rPr>
        <w:t>Игрок 2: q ∈ Δ_m = {q ≥ 0, Σq_j = 1}</w:t>
      </w:r>
    </w:p>
    <w:p>
      <w:r>
        <w:rPr>
          <w:b w:val="0"/>
          <w:i w:val="0"/>
          <w:sz w:val="24"/>
        </w:rPr>
        <w:t>Цена игры v* = max_p min_q p^T A q = min_q max_p p^T A q (теорема Минимакса).</w:t>
      </w:r>
    </w:p>
    <w:p>
      <w:r>
        <w:rPr>
          <w:b w:val="0"/>
          <w:i w:val="0"/>
          <w:sz w:val="24"/>
        </w:rPr>
        <w:t>Метод Брауна–Робинсона: итерационное обновление счётчиков стратегий:</w:t>
      </w:r>
    </w:p>
    <w:p>
      <w:pPr>
        <w:ind w:left="1134"/>
      </w:pPr>
      <w:r>
        <w:rPr>
          <w:i/>
          <w:sz w:val="24"/>
        </w:rPr>
        <w:t>На шаге t: игрок 1 выбирает argmax_i (A·q), игрок 2 выбирает argmin_j (p·A)</w:t>
      </w:r>
    </w:p>
    <w:p>
      <w:pPr>
        <w:ind w:left="1134"/>
      </w:pPr>
      <w:r>
        <w:rPr>
          <w:i/>
          <w:sz w:val="24"/>
        </w:rPr>
        <w:t>Нижняя цена: v^- = min_j(p·A),  верхняя цена: v^+ = max_i(A·q)</w:t>
      </w:r>
    </w:p>
    <w:p>
      <w:r>
        <w:rPr>
          <w:b w:val="0"/>
          <w:i w:val="0"/>
          <w:sz w:val="24"/>
        </w:rPr>
        <w:t>LP-формулировка (точный метод):</w:t>
      </w:r>
    </w:p>
    <w:p>
      <w:pPr>
        <w:ind w:left="1134"/>
      </w:pPr>
      <w:r>
        <w:rPr>
          <w:i/>
          <w:sz w:val="24"/>
        </w:rPr>
        <w:t>min{-v : A^T·p ≤ v·1, Σp_i = 1, p ≥ 0}  и  max{v : A·q ≥ v·1, Σq_j = 1, q ≥ 0}</w:t>
      </w:r>
    </w:p>
    <w:p>
      <w:pPr>
        <w:pStyle w:val="Heading2"/>
        <w:jc w:val="left"/>
      </w:pPr>
      <w:r>
        <w:t>1.3 Программная реализация</w:t>
      </w:r>
    </w:p>
    <w:p>
      <w:r>
        <w:rPr>
          <w:b w:val="0"/>
          <w:i w:val="0"/>
          <w:sz w:val="24"/>
        </w:rPr>
        <w:t>Файл: task1_brown_robinson.py. Библиотеки: numpy, scipy.optimize.linprog, matplotlib. Структура: функция brown_robinson(A, num_iterations) реализует итерационный метод; функция solve_game_lp(A) решает обе двойственные LP-задачи через scipy HiGHS. График сходимости сохраняется в task1_convergence.png.</w:t>
      </w:r>
    </w:p>
    <w:p>
      <w:pPr>
        <w:pStyle w:val="Heading2"/>
        <w:jc w:val="left"/>
      </w:pPr>
      <w:r>
        <w:t>1.4 Результаты</w:t>
      </w:r>
    </w:p>
    <w:p>
      <w:r>
        <w:rPr>
          <w:b/>
          <w:sz w:val="22"/>
        </w:rPr>
        <w:t>Таблица 1.1. Сравнение методов (5000 итераций)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Показатель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Метод Брауна–Робинсона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Метод ЛП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Нижняя цена v⁻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−16.025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Верхняя цена v⁺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−13.198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Цена игры v*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−14.611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−14.527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Погрешность |BR − LP|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0.084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Ширина коридора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2.827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</w:tr>
    </w:tbl>
    <w:p/>
    <w:p>
      <w:r>
        <w:rPr>
          <w:b/>
          <w:sz w:val="22"/>
        </w:rPr>
        <w:t>Таблица 1.2. Структура оптимальных смешанных стратегий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Игрок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Активные стратегии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Суммарная вероятность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Игрок 1 (максимизатор)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s3, s6, s7, s8, s10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≈ 97%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Игрок 2 (минимизатор)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s4, s6, s7, s8, s10, s11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≈ 99%</w:t>
            </w:r>
          </w:p>
        </w:tc>
      </w:tr>
    </w:tbl>
    <w:p/>
    <w:p>
      <w:r>
        <w:rPr>
          <w:b w:val="0"/>
          <w:i w:val="0"/>
          <w:sz w:val="24"/>
        </w:rPr>
        <w:t>Рис. 1. Сходимость нижней и верхней цены игры (5000 итераций) — файл task1_convergence.png</w:t>
      </w:r>
    </w:p>
    <w:p>
      <w:pPr>
        <w:pStyle w:val="Heading2"/>
        <w:jc w:val="left"/>
      </w:pPr>
      <w:r>
        <w:t>1.5 Выводы</w:t>
      </w:r>
    </w:p>
    <w:p>
      <w:r>
        <w:rPr>
          <w:b w:val="0"/>
          <w:i w:val="0"/>
          <w:sz w:val="24"/>
        </w:rPr>
        <w:t>Метод Брауна–Робинсона за 5000 итераций дал оценку v* ≈ −14.61, отличающуюся от точного LP-значения (−14.527) на 0.084 — менее 0.6%. Ширина доверительного коридора сократилась с нескольких сотен до 2.83 за 5000 шагов. Оба игрока применяют только 4–6 «активных» стратегий из 12, остальные имеют нулевой вес в равновесии. LP даёт точный ответ мгновенно; BR полезен для демонстрации динамики конвергенции.</w:t>
      </w:r>
    </w:p>
    <w:p>
      <w:pPr>
        <w:pStyle w:val="Heading1"/>
        <w:jc w:val="left"/>
      </w:pPr>
      <w:r>
        <w:t>Задача 2. Игра Штакельберга — защита сети облачного провайдера</w:t>
      </w:r>
    </w:p>
    <w:p>
      <w:pPr>
        <w:pStyle w:val="Heading2"/>
        <w:jc w:val="left"/>
      </w:pPr>
      <w:r>
        <w:t>2.1 Постановка задачи</w:t>
      </w:r>
    </w:p>
    <w:p>
      <w:r>
        <w:rPr>
          <w:b w:val="0"/>
          <w:i w:val="0"/>
          <w:sz w:val="24"/>
        </w:rPr>
        <w:t>Двухуровневая игра: Защитник (Лидер) распределяет бюджет B = 300 у.е. по 6 узлам сети с вероятностями защиты p_i ∈ [0,1]. Атакующий (Последователь) наблюдает стратегию защитника и атакует узел с максимальным ожидаемым ущербом. Равновесие Штакельберга: защитник минимизирует максимальный ущерб.</w:t>
      </w:r>
    </w:p>
    <w:p>
      <w:pPr>
        <w:pStyle w:val="Heading2"/>
        <w:jc w:val="left"/>
      </w:pPr>
      <w:r>
        <w:t>2.2 Математическая модель</w:t>
      </w:r>
    </w:p>
    <w:p>
      <w:r>
        <w:rPr>
          <w:b w:val="0"/>
          <w:i w:val="0"/>
          <w:sz w:val="24"/>
        </w:rPr>
        <w:t>Параметры узлов:</w:t>
      </w:r>
    </w:p>
    <w:p>
      <w:r>
        <w:rPr>
          <w:b/>
          <w:sz w:val="22"/>
        </w:rPr>
        <w:t>Таблица 2.1. Параметры узлов сети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Узел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V, у.е.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C, у.е.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P(взлом|защита)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P(взлом|без)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Web Server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0.85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Auth Service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120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0.90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150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0.95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API Gateway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90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0.80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File Storage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0.75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Monitoring Node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0.10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0.60</w:t>
            </w:r>
          </w:p>
        </w:tc>
      </w:tr>
    </w:tbl>
    <w:p/>
    <w:p>
      <w:r>
        <w:rPr>
          <w:b w:val="0"/>
          <w:i w:val="0"/>
          <w:sz w:val="24"/>
        </w:rPr>
        <w:t>LP-формулировка задачи лидера:</w:t>
      </w:r>
    </w:p>
    <w:p>
      <w:pPr>
        <w:ind w:left="1134"/>
      </w:pPr>
      <w:r>
        <w:rPr>
          <w:i/>
          <w:sz w:val="24"/>
        </w:rPr>
        <w:t>min  d</w:t>
      </w:r>
    </w:p>
    <w:p>
      <w:pPr>
        <w:ind w:left="1134"/>
      </w:pPr>
      <w:r>
        <w:rPr>
          <w:i/>
          <w:sz w:val="24"/>
        </w:rPr>
        <w:t>s.t. V_i·[p_i·P_def,i + (1−p_i)·P_no_def,i] ≤ d   ∀ i = 1..6</w:t>
      </w:r>
    </w:p>
    <w:p>
      <w:pPr>
        <w:ind w:left="1134"/>
      </w:pPr>
      <w:r>
        <w:rPr>
          <w:i/>
          <w:sz w:val="24"/>
        </w:rPr>
        <w:t xml:space="preserve">     Σ C_i·p_i ≤ B = 300</w:t>
      </w:r>
    </w:p>
    <w:p>
      <w:pPr>
        <w:ind w:left="1134"/>
      </w:pPr>
      <w:r>
        <w:rPr>
          <w:i/>
          <w:sz w:val="24"/>
        </w:rPr>
        <w:t xml:space="preserve">     0 ≤ p_i ≤ 1</w:t>
      </w:r>
    </w:p>
    <w:p>
      <w:pPr>
        <w:pStyle w:val="Heading2"/>
        <w:jc w:val="left"/>
      </w:pPr>
      <w:r>
        <w:t>2.3 Результаты</w:t>
      </w:r>
    </w:p>
    <w:p>
      <w:r>
        <w:rPr>
          <w:b/>
          <w:sz w:val="22"/>
        </w:rPr>
        <w:t>Таблица 2.2. Равновесие Штакельберга (* — цель атакующего)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Узел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P(защита)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Бюджет C·p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Ущерб без защ.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Ущерб с защ.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Web Server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0.354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28.33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425.00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283.33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Auth Service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0.627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75.29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720.00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283.33 *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0.717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107.52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950.00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283.33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API Gateway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0.517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46.52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480.00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283.33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File Storage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0.425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42.51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525.00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283.33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Monitoring Node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180.00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180.00</w:t>
            </w:r>
          </w:p>
        </w:tc>
      </w:tr>
    </w:tbl>
    <w:p/>
    <w:p>
      <w:r>
        <w:rPr>
          <w:b w:val="0"/>
          <w:i w:val="0"/>
          <w:sz w:val="24"/>
        </w:rPr>
        <w:t>Использовано бюджета: 300.17 / 300 у.е. Цена игры (минимальный гарантированный максимальный ущерб): 283.33 у.е. Снижение максимального ущерба: 70.2% (950 → 283.33 у.е.).</w:t>
      </w:r>
    </w:p>
    <w:p>
      <w:r>
        <w:rPr>
          <w:b w:val="0"/>
          <w:i w:val="0"/>
          <w:sz w:val="24"/>
        </w:rPr>
        <w:t>Рис. 2. Распределение защиты и сравнение ущерба — файл task2_stackelberg.png</w:t>
      </w:r>
    </w:p>
    <w:p>
      <w:pPr>
        <w:pStyle w:val="Heading2"/>
        <w:jc w:val="left"/>
      </w:pPr>
      <w:r>
        <w:t>2.4 Выводы</w:t>
      </w:r>
    </w:p>
    <w:p>
      <w:r>
        <w:rPr>
          <w:b w:val="0"/>
          <w:i w:val="0"/>
          <w:sz w:val="24"/>
        </w:rPr>
        <w:t>Равновесие Штакельберга выравнивает ожидаемый ущерб по всем «опасным» узлам до 283.33 у.е. (принцип индифферентности). База данных (Database) получает наибольшие инвестиции в защиту (≈ 107.5 у.е.) как наиболее ценный и уязвимый узел (V=1000, P_no_def=0.95). Monitoring Node не защищается — ущерб при взломе (180 у.е.) ниже «порога» 283.33 у.е. Бюджет используется полностью; LP решается за миллисекунды.</w:t>
      </w:r>
    </w:p>
    <w:p>
      <w:pPr>
        <w:pStyle w:val="Heading1"/>
        <w:jc w:val="left"/>
      </w:pPr>
      <w:r>
        <w:t>Задача 3. Позиционная игра — дерево решений</w:t>
      </w:r>
    </w:p>
    <w:p>
      <w:pPr>
        <w:pStyle w:val="Heading2"/>
        <w:jc w:val="left"/>
      </w:pPr>
      <w:r>
        <w:t>3.1 Постановка задачи</w:t>
      </w:r>
    </w:p>
    <w:p>
      <w:r>
        <w:rPr>
          <w:b w:val="0"/>
          <w:i w:val="0"/>
          <w:sz w:val="24"/>
        </w:rPr>
        <w:t>Принятие решения о выпуске нового функционала в условиях неопределённости. Три стратегии менеджера: Быстрый релиз, Тестирование, Отмена. Три состояния среды: Стабильная нагрузка (p=0.50), Пиковая нагрузка (p=0.30), Сбой зависимости (p=0.20). Критерий выбора: максимальное отношение EMV/σ (риск-доходность).</w:t>
      </w:r>
    </w:p>
    <w:p>
      <w:pPr>
        <w:pStyle w:val="Heading2"/>
        <w:jc w:val="left"/>
      </w:pPr>
      <w:r>
        <w:t>3.2 Математическая модель</w:t>
      </w:r>
    </w:p>
    <w:p>
      <w:r>
        <w:rPr>
          <w:b w:val="0"/>
          <w:i w:val="0"/>
          <w:sz w:val="24"/>
        </w:rPr>
        <w:t>Математическое ожидание выигрыша (EMV):</w:t>
      </w:r>
    </w:p>
    <w:p>
      <w:pPr>
        <w:ind w:left="1134"/>
      </w:pPr>
      <w:r>
        <w:rPr>
          <w:i/>
          <w:sz w:val="24"/>
        </w:rPr>
        <w:t>EMV(s) = Σ_{e,o} p(e)·p(o|e)·V(s,e,o)</w:t>
      </w:r>
    </w:p>
    <w:p>
      <w:r>
        <w:rPr>
          <w:b w:val="0"/>
          <w:i w:val="0"/>
          <w:sz w:val="24"/>
        </w:rPr>
        <w:t>Среднеквадратическое отклонение (риск):</w:t>
      </w:r>
    </w:p>
    <w:p>
      <w:pPr>
        <w:ind w:left="1134"/>
      </w:pPr>
      <w:r>
        <w:rPr>
          <w:i/>
          <w:sz w:val="24"/>
        </w:rPr>
        <w:t>σ(s) = √[ Σ_{e,o} p(e)·p(o|e)·(V(s,e,o) − EMV(s))² ]</w:t>
      </w:r>
    </w:p>
    <w:p>
      <w:r>
        <w:rPr>
          <w:b w:val="0"/>
          <w:i w:val="0"/>
          <w:sz w:val="24"/>
        </w:rPr>
        <w:t>Коэффициент риск-доходность: EMV/σ (выше — лучше).</w:t>
      </w:r>
    </w:p>
    <w:p>
      <w:pPr>
        <w:pStyle w:val="Heading2"/>
        <w:jc w:val="left"/>
      </w:pPr>
      <w:r>
        <w:t>3.3 Результаты</w:t>
      </w:r>
    </w:p>
    <w:p>
      <w:r>
        <w:rPr>
          <w:b/>
          <w:sz w:val="22"/>
        </w:rPr>
        <w:t>Таблица 3.1. Сравнение стратегий по критерию EMV/σ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Стратегия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EMV, руб.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σ, руб.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EMV/σ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Быстрый релиз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49 800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145 396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0.343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Тестирование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94 500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86 561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1.092 ✓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Отмена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−15 000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</w:tr>
    </w:tbl>
    <w:p/>
    <w:p>
      <w:r>
        <w:rPr>
          <w:b w:val="0"/>
          <w:i w:val="0"/>
          <w:sz w:val="24"/>
        </w:rPr>
        <w:t>Рис. 3. EMV и риск σ по стратегиям; фронт риск-доходность — файл task3_decision_tree.png</w:t>
      </w:r>
    </w:p>
    <w:p>
      <w:pPr>
        <w:pStyle w:val="Heading2"/>
        <w:jc w:val="left"/>
      </w:pPr>
      <w:r>
        <w:t>3.4 Выводы</w:t>
      </w:r>
    </w:p>
    <w:p>
      <w:r>
        <w:rPr>
          <w:b w:val="0"/>
          <w:i w:val="0"/>
          <w:sz w:val="24"/>
        </w:rPr>
        <w:t>Стратегия «Тестирование» является оптимальной: EMV = 94 500 руб., риск σ = 86 561 руб., коэффициент EMV/σ = 1.092 — лучший из трёх. «Быстрый релиз» даёт умеренный EMV = 49 800 руб. при значительно большем риске (σ = 145 396 руб., EMV/σ = 0.343). «Отмена» гарантирует фиксированный убыток −15 000 руб. без риска — выбирается только при крайне высокой несклонности к риску. Вывод: перед выпуском всегда проводить тестирование.</w:t>
      </w:r>
    </w:p>
    <w:p>
      <w:pPr>
        <w:pStyle w:val="Heading1"/>
        <w:jc w:val="left"/>
      </w:pPr>
      <w:r>
        <w:t>Задача 4. Метод анализа иерархий (AHP) — выбор СУБД</w:t>
      </w:r>
    </w:p>
    <w:p>
      <w:pPr>
        <w:pStyle w:val="Heading2"/>
        <w:jc w:val="left"/>
      </w:pPr>
      <w:r>
        <w:t>4.1 Постановка задачи</w:t>
      </w:r>
    </w:p>
    <w:p>
      <w:r>
        <w:rPr>
          <w:b w:val="0"/>
          <w:i w:val="0"/>
          <w:sz w:val="24"/>
        </w:rPr>
        <w:t>Выбор СУБД для нового микросервиса методом АИИ (Т. Саати). Альтернативы: PostgreSQL, MongoDB, Redis, Cassandra, MySQL, DynamoDB. Критерии: Производительность, Стоимость, Масштабируемость, Простота поддержки, Надёжность.</w:t>
      </w:r>
    </w:p>
    <w:p>
      <w:pPr>
        <w:pStyle w:val="Heading2"/>
        <w:jc w:val="left"/>
      </w:pPr>
      <w:r>
        <w:t>4.2 Математическая модель</w:t>
      </w:r>
    </w:p>
    <w:p>
      <w:r>
        <w:rPr>
          <w:b w:val="0"/>
          <w:i w:val="0"/>
          <w:sz w:val="24"/>
        </w:rPr>
        <w:t>Приоритетный вектор критериев — главный собственный вектор матрицы парных сравнений:</w:t>
      </w:r>
    </w:p>
    <w:p>
      <w:pPr>
        <w:ind w:left="1134"/>
      </w:pPr>
      <w:r>
        <w:rPr>
          <w:i/>
          <w:sz w:val="24"/>
        </w:rPr>
        <w:t>A·w = λ_max·w,  Σw_k = 1</w:t>
      </w:r>
    </w:p>
    <w:p>
      <w:r>
        <w:rPr>
          <w:b w:val="0"/>
          <w:i w:val="0"/>
          <w:sz w:val="24"/>
        </w:rPr>
        <w:t>Индекс согласованности: CI = (λ_max − n)/(n − 1), CR = CI/RI ≤ 0.1</w:t>
      </w:r>
    </w:p>
    <w:p>
      <w:r>
        <w:rPr>
          <w:b w:val="0"/>
          <w:i w:val="0"/>
          <w:sz w:val="24"/>
        </w:rPr>
        <w:t>Глобальный приоритет альтернативы: P(a_i) = Σ_k w_k · w_k(a_i)</w:t>
      </w:r>
    </w:p>
    <w:p>
      <w:pPr>
        <w:pStyle w:val="Heading2"/>
        <w:jc w:val="left"/>
      </w:pPr>
      <w:r>
        <w:t>4.3 Результаты</w:t>
      </w:r>
    </w:p>
    <w:p>
      <w:r>
        <w:rPr>
          <w:b/>
          <w:sz w:val="22"/>
        </w:rPr>
        <w:t>Таблица 4.1. Веса критериев (λ_max = 5.017, CI = 0.004, CR = 0.004)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Критерий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Вес w_k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Производительность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0.350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Надёжность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0.266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Масштабируемость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0.213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Стоимость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0.105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Простота поддержки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0.066</w:t>
            </w:r>
          </w:p>
        </w:tc>
      </w:tr>
    </w:tbl>
    <w:p/>
    <w:p>
      <w:r>
        <w:rPr>
          <w:b/>
          <w:sz w:val="22"/>
        </w:rPr>
        <w:t>Таблица 4.2. Итоговый рейтинг альтернатив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Место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СУБД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Глобальный приоритет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PostgreSQL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0.283 ✓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MongoDB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0.197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MySQL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0.168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Cassandra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0.152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DynamoDB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0.120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Redis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0.080</w:t>
            </w:r>
          </w:p>
        </w:tc>
      </w:tr>
    </w:tbl>
    <w:p/>
    <w:p>
      <w:pPr>
        <w:pStyle w:val="Heading2"/>
        <w:jc w:val="left"/>
      </w:pPr>
      <w:r>
        <w:t>4.4 Выводы</w:t>
      </w:r>
    </w:p>
    <w:p>
      <w:r>
        <w:rPr>
          <w:b w:val="0"/>
          <w:i w:val="0"/>
          <w:sz w:val="24"/>
        </w:rPr>
        <w:t>PostgreSQL рекомендована как СУБД с наивысшим глобальным приоритетом (0.283). Она лидирует по производительности (0.312) и надёжности (0.318). Наибольший вес получил критерий «Производительность» (0.350) — ключевой для высоконагруженного микросервиса. CR &lt; 0.1 для всех шести матриц парных сравнений — согласованность подтверждена. АИИ позволяет формализовать экспертные суждения и получить воспроизводимый рейтинг.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