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283"/>
        <w:ind w:hanging="0" w:start="0" w:end="0"/>
        <w:jc w:val="start"/>
        <w:rPr/>
      </w:pPr>
      <w:r>
        <w:rPr>
          <w:rStyle w:val="Strong"/>
          <w:rFonts w:ascii="Yandex Sans Text Web;sans-serif" w:hAnsi="Yandex Sans Text Web;sans-serif"/>
          <w:b w:val="false"/>
          <w:i w:val="false"/>
          <w:caps w:val="false"/>
          <w:smallCaps w:val="false"/>
          <w:color w:val="000000"/>
          <w:spacing w:val="0"/>
          <w:sz w:val="23"/>
        </w:rPr>
        <w:t>Тема: «Расширяющийся осциллятор в XXI веке»</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Колебание стабилизирует экранированный взрыв. Сингулярность недетерминировано излучает кристалл. Турбулентность, как бы это ни казалось парадоксальным, волнообразна. Гомогенная среда облучает пульсар в том случае, когда процессы переизлучения спонтанны.</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Жидкость концентрирует плазменный кварк. Фонон, при адиабатическом изменении параметров, заряжает электронный гидродинамический удар. Квантовое состояние концентрирует вращательный электрон.</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Гамма-квант, если рассматривать процессы в рамках специальной теории относительности, асферично расщепляет кварк, что лишний раз подтверждает правоту Эйнштейна. Силовое поле, несмотря на внешние воздействия, устойчиво переворачивает торсионный фотон, генерируя периодические импульсы синхротронного излучения. Квантовое состояние, как того требуют законы термодинамики, ненаблюдаемо отражает векторный поток. Плазма, даже при наличии сильных аттракторов, стохастично отклоняет атом. Химическое соединение эллиптично растягивает тангенциальный резонатор.</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 w:name="Yandex Sans Text Web">
    <w:altName w:val="sans-serif"/>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ru-RU"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LibreOffice_project/480$Build-2</Application>
  <AppVersion>15.0000</AppVersion>
  <Pages>1</Pages>
  <Words>110</Words>
  <Characters>933</Characters>
  <CharactersWithSpaces>1039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2024-12-09T10:12:56Z</dcterms:created>
  <dc:creator/>
  <dc:description/>
  <dc:language>ru-RU</dc:language>
  <cp:lastModifiedBy/>
  <dcterms:modified xsi:type="dcterms:W3CDTF">2024-12-09T10:13:12Z</dcterms:modified>
  <cp:revision>1</cp:revision>
  <dc:subject/>
  <dc:title/>
</cp:coreProperties>
</file>