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AA094">
      <w:pPr>
        <w:spacing w:before="156" w:beforeLines="50"/>
        <w:ind w:firstLine="6720" w:firstLineChars="2400"/>
        <w:rPr>
          <w:rFonts w:hint="default" w:ascii="Times New Roman" w:hAnsi="Times New Roman" w:eastAsia="黑体" w:cs="Times New Roman"/>
          <w:sz w:val="28"/>
          <w:szCs w:val="28"/>
          <w:u w:val="single"/>
        </w:rPr>
      </w:pPr>
      <w:r>
        <w:rPr>
          <w:rFonts w:hint="default" w:ascii="Times New Roman" w:hAnsi="Times New Roman" w:eastAsia="黑体" w:cs="Times New Roman"/>
          <w:sz w:val="28"/>
          <w:szCs w:val="28"/>
        </w:rPr>
        <w:t xml:space="preserve">成  绩  </w:t>
      </w:r>
      <w:r>
        <w:rPr>
          <w:rFonts w:hint="default" w:ascii="Times New Roman" w:hAnsi="Times New Roman" w:eastAsia="黑体" w:cs="Times New Roman"/>
          <w:sz w:val="28"/>
          <w:szCs w:val="28"/>
          <w:u w:val="single"/>
        </w:rPr>
        <w:t xml:space="preserve">        </w:t>
      </w:r>
    </w:p>
    <w:p w14:paraId="126F0F8E">
      <w:pPr>
        <w:ind w:firstLine="5783" w:firstLineChars="2400"/>
        <w:rPr>
          <w:rFonts w:hint="default" w:ascii="Times New Roman" w:hAnsi="Times New Roman" w:eastAsia="黑体" w:cs="Times New Roman"/>
          <w:b/>
          <w:bCs/>
          <w:szCs w:val="21"/>
          <w:u w:val="single"/>
        </w:rPr>
      </w:pPr>
    </w:p>
    <w:p w14:paraId="49B4807E">
      <w:pPr>
        <w:rPr>
          <w:rFonts w:hint="default" w:ascii="Times New Roman" w:hAnsi="Times New Roman" w:eastAsia="黑体" w:cs="Times New Roman"/>
          <w:b/>
          <w:bCs/>
        </w:rPr>
      </w:pPr>
    </w:p>
    <w:p w14:paraId="2CB24DAC">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0" distR="0">
            <wp:extent cx="4599305" cy="810895"/>
            <wp:effectExtent l="0" t="0" r="0" b="8255"/>
            <wp:docPr id="8772983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98320" name="图片 22"/>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599305" cy="810895"/>
                    </a:xfrm>
                    <a:prstGeom prst="rect">
                      <a:avLst/>
                    </a:prstGeom>
                    <a:noFill/>
                    <a:ln>
                      <a:noFill/>
                    </a:ln>
                    <a:effectLst/>
                  </pic:spPr>
                </pic:pic>
              </a:graphicData>
            </a:graphic>
          </wp:inline>
        </w:drawing>
      </w:r>
    </w:p>
    <w:p w14:paraId="4F5A888A">
      <w:pPr>
        <w:rPr>
          <w:rFonts w:hint="default" w:ascii="Times New Roman" w:hAnsi="Times New Roman" w:eastAsia="黑体" w:cs="Times New Roman"/>
          <w:b/>
          <w:bCs/>
        </w:rPr>
      </w:pPr>
    </w:p>
    <w:p w14:paraId="5F34F3CB">
      <w:pPr>
        <w:spacing w:before="312" w:beforeLines="100"/>
        <w:jc w:val="center"/>
        <w:rPr>
          <w:rFonts w:hint="default" w:ascii="Times New Roman" w:hAnsi="Times New Roman" w:eastAsia="黑体" w:cs="Times New Roman"/>
          <w:spacing w:val="20"/>
          <w:sz w:val="52"/>
          <w:szCs w:val="52"/>
        </w:rPr>
      </w:pPr>
      <w:bookmarkStart w:id="0" w:name="_Toc17747_WPSOffice_Level2"/>
      <w:bookmarkStart w:id="1" w:name="_Toc16909_WPSOffice_Level2"/>
      <w:bookmarkStart w:id="2" w:name="_Toc7837_WPSOffice_Level2"/>
      <w:bookmarkStart w:id="3" w:name="_Toc27145_WPSOffice_Level2"/>
      <w:bookmarkStart w:id="4" w:name="_Toc17433_WPSOffice_Level2"/>
      <w:bookmarkStart w:id="5" w:name="_Toc17304_WPSOffice_Level2"/>
      <w:r>
        <w:rPr>
          <w:rFonts w:hint="default" w:ascii="Times New Roman" w:hAnsi="Times New Roman" w:cs="Times New Roman"/>
          <w:b/>
          <w:sz w:val="52"/>
          <w:szCs w:val="52"/>
        </w:rPr>
        <w:t>《</w:t>
      </w:r>
      <w:r>
        <w:rPr>
          <w:rFonts w:hint="eastAsia" w:cs="Times New Roman"/>
          <w:b/>
          <w:sz w:val="52"/>
          <w:szCs w:val="52"/>
          <w:lang w:eastAsia="zh-CN"/>
        </w:rPr>
        <w:t>图像</w:t>
      </w:r>
      <w:bookmarkStart w:id="6" w:name="_GoBack"/>
      <w:bookmarkEnd w:id="6"/>
      <w:r>
        <w:rPr>
          <w:rFonts w:hint="default" w:ascii="Times New Roman" w:hAnsi="Times New Roman" w:cs="Times New Roman"/>
          <w:b/>
          <w:sz w:val="52"/>
          <w:szCs w:val="52"/>
        </w:rPr>
        <w:t>处理》实验报告</w:t>
      </w:r>
      <w:bookmarkEnd w:id="0"/>
      <w:bookmarkEnd w:id="1"/>
      <w:bookmarkEnd w:id="2"/>
    </w:p>
    <w:p w14:paraId="0D798E89">
      <w:pPr>
        <w:spacing w:before="312" w:beforeLines="100"/>
        <w:jc w:val="center"/>
        <w:outlineLvl w:val="0"/>
        <w:rPr>
          <w:rFonts w:hint="default" w:ascii="Times New Roman" w:hAnsi="Times New Roman" w:eastAsia="黑体" w:cs="Times New Roman"/>
          <w:spacing w:val="20"/>
          <w:sz w:val="52"/>
          <w:szCs w:val="52"/>
          <w:lang w:val="en-US" w:eastAsia="zh-CN"/>
        </w:rPr>
      </w:pPr>
      <w:r>
        <w:rPr>
          <w:rFonts w:hint="default" w:ascii="Times New Roman" w:hAnsi="Times New Roman" w:eastAsia="黑体" w:cs="Times New Roman"/>
          <w:spacing w:val="20"/>
          <w:sz w:val="48"/>
          <w:szCs w:val="48"/>
        </w:rPr>
        <w:t>实验</w:t>
      </w:r>
      <w:bookmarkEnd w:id="3"/>
      <w:bookmarkEnd w:id="4"/>
      <w:bookmarkEnd w:id="5"/>
      <w:r>
        <w:rPr>
          <w:rFonts w:hint="default" w:ascii="Times New Roman" w:hAnsi="Times New Roman" w:eastAsia="黑体" w:cs="Times New Roman"/>
          <w:spacing w:val="20"/>
          <w:sz w:val="48"/>
          <w:szCs w:val="48"/>
          <w:lang w:val="en-US" w:eastAsia="zh-CN"/>
        </w:rPr>
        <w:t>三</w:t>
      </w:r>
      <w:r>
        <w:rPr>
          <w:rFonts w:hint="default" w:ascii="Times New Roman" w:hAnsi="Times New Roman" w:eastAsia="黑体" w:cs="Times New Roman"/>
          <w:spacing w:val="20"/>
          <w:sz w:val="48"/>
          <w:szCs w:val="48"/>
        </w:rPr>
        <w:t xml:space="preserve"> </w:t>
      </w:r>
      <w:r>
        <w:rPr>
          <w:rFonts w:hint="default" w:ascii="Times New Roman" w:hAnsi="Times New Roman" w:eastAsia="黑体" w:cs="Times New Roman"/>
          <w:spacing w:val="20"/>
          <w:sz w:val="52"/>
          <w:szCs w:val="52"/>
          <w:lang w:val="en-US" w:eastAsia="zh-CN"/>
        </w:rPr>
        <w:t>深度学习眼底血管分割</w:t>
      </w:r>
    </w:p>
    <w:p w14:paraId="0B5DE4CE">
      <w:pPr>
        <w:rPr>
          <w:rFonts w:hint="default" w:ascii="Times New Roman" w:hAnsi="Times New Roman" w:cs="Times New Roman"/>
          <w:b/>
          <w:bCs/>
        </w:rPr>
      </w:pPr>
    </w:p>
    <w:p w14:paraId="2C1F6DCE">
      <w:pPr>
        <w:rPr>
          <w:rFonts w:hint="default" w:ascii="Times New Roman" w:hAnsi="Times New Roman" w:cs="Times New Roman"/>
          <w:b/>
          <w:bCs/>
        </w:rPr>
      </w:pPr>
    </w:p>
    <w:p w14:paraId="4CC44FCD">
      <w:pPr>
        <w:rPr>
          <w:rFonts w:hint="default" w:ascii="Times New Roman" w:hAnsi="Times New Roman" w:cs="Times New Roman"/>
          <w:b/>
          <w:bCs/>
        </w:rPr>
      </w:pPr>
    </w:p>
    <w:p w14:paraId="22364EC1">
      <w:pPr>
        <w:rPr>
          <w:rFonts w:hint="default" w:ascii="Times New Roman" w:hAnsi="Times New Roman" w:cs="Times New Roman"/>
          <w:b/>
          <w:bCs/>
        </w:rPr>
      </w:pPr>
    </w:p>
    <w:tbl>
      <w:tblPr>
        <w:tblStyle w:val="14"/>
        <w:tblW w:w="0" w:type="auto"/>
        <w:tblInd w:w="1242" w:type="dxa"/>
        <w:tblLayout w:type="autofit"/>
        <w:tblCellMar>
          <w:top w:w="0" w:type="dxa"/>
          <w:left w:w="108" w:type="dxa"/>
          <w:bottom w:w="0" w:type="dxa"/>
          <w:right w:w="108" w:type="dxa"/>
        </w:tblCellMar>
      </w:tblPr>
      <w:tblGrid>
        <w:gridCol w:w="1985"/>
        <w:gridCol w:w="4678"/>
      </w:tblGrid>
      <w:tr w14:paraId="67E28FB6">
        <w:tblPrEx>
          <w:tblCellMar>
            <w:top w:w="0" w:type="dxa"/>
            <w:left w:w="108" w:type="dxa"/>
            <w:bottom w:w="0" w:type="dxa"/>
            <w:right w:w="108" w:type="dxa"/>
          </w:tblCellMar>
        </w:tblPrEx>
        <w:tc>
          <w:tcPr>
            <w:tcW w:w="1985" w:type="dxa"/>
            <w:vAlign w:val="center"/>
          </w:tcPr>
          <w:p w14:paraId="18780F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院/系名称：</w:t>
            </w:r>
          </w:p>
        </w:tc>
        <w:tc>
          <w:tcPr>
            <w:tcW w:w="4678" w:type="dxa"/>
            <w:vAlign w:val="center"/>
          </w:tcPr>
          <w:p w14:paraId="50F526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自动化科学与电气工程学院</w:t>
            </w:r>
          </w:p>
        </w:tc>
      </w:tr>
      <w:tr w14:paraId="72376084">
        <w:tblPrEx>
          <w:tblCellMar>
            <w:top w:w="0" w:type="dxa"/>
            <w:left w:w="108" w:type="dxa"/>
            <w:bottom w:w="0" w:type="dxa"/>
            <w:right w:w="108" w:type="dxa"/>
          </w:tblCellMar>
        </w:tblPrEx>
        <w:tc>
          <w:tcPr>
            <w:tcW w:w="1985" w:type="dxa"/>
          </w:tcPr>
          <w:p w14:paraId="79B015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专业名称：</w:t>
            </w:r>
          </w:p>
        </w:tc>
        <w:tc>
          <w:tcPr>
            <w:tcW w:w="4678" w:type="dxa"/>
            <w:vAlign w:val="center"/>
          </w:tcPr>
          <w:p w14:paraId="7335CE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val="en-US" w:eastAsia="zh-CN"/>
              </w:rPr>
            </w:pPr>
            <w:r>
              <w:rPr>
                <w:rFonts w:hint="default" w:ascii="Times New Roman" w:hAnsi="Times New Roman" w:eastAsia="黑体" w:cs="Times New Roman"/>
                <w:spacing w:val="30"/>
                <w:kern w:val="10"/>
                <w:sz w:val="30"/>
                <w:lang w:val="en-US" w:eastAsia="zh-CN"/>
              </w:rPr>
              <w:t>自动化</w:t>
            </w:r>
          </w:p>
        </w:tc>
      </w:tr>
      <w:tr w14:paraId="76AD9A66">
        <w:tblPrEx>
          <w:tblCellMar>
            <w:top w:w="0" w:type="dxa"/>
            <w:left w:w="108" w:type="dxa"/>
            <w:bottom w:w="0" w:type="dxa"/>
            <w:right w:w="108" w:type="dxa"/>
          </w:tblCellMar>
        </w:tblPrEx>
        <w:tc>
          <w:tcPr>
            <w:tcW w:w="1985" w:type="dxa"/>
          </w:tcPr>
          <w:p w14:paraId="517EA95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学生学号：</w:t>
            </w:r>
          </w:p>
        </w:tc>
        <w:tc>
          <w:tcPr>
            <w:tcW w:w="4678" w:type="dxa"/>
            <w:vAlign w:val="center"/>
          </w:tcPr>
          <w:p w14:paraId="0333D6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val="en-US" w:eastAsia="zh-CN"/>
              </w:rPr>
            </w:pPr>
            <w:r>
              <w:rPr>
                <w:rFonts w:hint="default" w:ascii="Times New Roman" w:hAnsi="Times New Roman" w:cs="Times New Roman"/>
                <w:b/>
                <w:bCs/>
                <w:sz w:val="28"/>
                <w:lang w:val="en-US" w:eastAsia="zh-CN"/>
              </w:rPr>
              <w:t>23375152</w:t>
            </w:r>
          </w:p>
        </w:tc>
      </w:tr>
      <w:tr w14:paraId="56C28047">
        <w:tblPrEx>
          <w:tblCellMar>
            <w:top w:w="0" w:type="dxa"/>
            <w:left w:w="108" w:type="dxa"/>
            <w:bottom w:w="0" w:type="dxa"/>
            <w:right w:w="108" w:type="dxa"/>
          </w:tblCellMar>
        </w:tblPrEx>
        <w:tc>
          <w:tcPr>
            <w:tcW w:w="1985" w:type="dxa"/>
          </w:tcPr>
          <w:p w14:paraId="7D0931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学生姓名：</w:t>
            </w:r>
          </w:p>
        </w:tc>
        <w:tc>
          <w:tcPr>
            <w:tcW w:w="4678" w:type="dxa"/>
            <w:vAlign w:val="center"/>
          </w:tcPr>
          <w:p w14:paraId="64BD8C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eastAsia="zh-CN"/>
              </w:rPr>
            </w:pPr>
            <w:r>
              <w:rPr>
                <w:rFonts w:hint="default" w:ascii="Times New Roman" w:hAnsi="Times New Roman" w:cs="Times New Roman"/>
                <w:b/>
                <w:bCs/>
                <w:sz w:val="28"/>
                <w:lang w:val="en-US" w:eastAsia="zh-CN"/>
              </w:rPr>
              <w:t>韩昌昊</w:t>
            </w:r>
          </w:p>
        </w:tc>
      </w:tr>
      <w:tr w14:paraId="15CB76F8">
        <w:tblPrEx>
          <w:tblCellMar>
            <w:top w:w="0" w:type="dxa"/>
            <w:left w:w="108" w:type="dxa"/>
            <w:bottom w:w="0" w:type="dxa"/>
            <w:right w:w="108" w:type="dxa"/>
          </w:tblCellMar>
        </w:tblPrEx>
        <w:trPr>
          <w:trHeight w:val="630" w:hRule="atLeast"/>
        </w:trPr>
        <w:tc>
          <w:tcPr>
            <w:tcW w:w="1985" w:type="dxa"/>
          </w:tcPr>
          <w:p w14:paraId="1BE5D1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pacing w:val="30"/>
                <w:kern w:val="10"/>
                <w:sz w:val="30"/>
              </w:rPr>
            </w:pPr>
            <w:r>
              <w:rPr>
                <w:rFonts w:hint="default" w:ascii="Times New Roman" w:hAnsi="Times New Roman" w:eastAsia="黑体" w:cs="Times New Roman"/>
                <w:spacing w:val="30"/>
                <w:kern w:val="10"/>
                <w:sz w:val="30"/>
              </w:rPr>
              <w:t>实验日期：</w:t>
            </w:r>
          </w:p>
        </w:tc>
        <w:tc>
          <w:tcPr>
            <w:tcW w:w="4678" w:type="dxa"/>
            <w:vAlign w:val="center"/>
          </w:tcPr>
          <w:p w14:paraId="5A94B4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cs="Times New Roman"/>
                <w:b/>
                <w:bCs/>
                <w:sz w:val="28"/>
              </w:rPr>
              <w:t>202</w:t>
            </w:r>
            <w:r>
              <w:rPr>
                <w:rFonts w:hint="default" w:ascii="Times New Roman" w:hAnsi="Times New Roman" w:cs="Times New Roman"/>
                <w:b/>
                <w:bCs/>
                <w:sz w:val="28"/>
                <w:lang w:val="en-US" w:eastAsia="zh-CN"/>
              </w:rPr>
              <w:t>6</w:t>
            </w:r>
            <w:r>
              <w:rPr>
                <w:rFonts w:hint="default" w:ascii="Times New Roman" w:hAnsi="Times New Roman" w:cs="Times New Roman"/>
                <w:b/>
                <w:bCs/>
                <w:sz w:val="28"/>
              </w:rPr>
              <w:t xml:space="preserve">年 </w:t>
            </w:r>
            <w:r>
              <w:rPr>
                <w:rFonts w:hint="default" w:ascii="Times New Roman" w:hAnsi="Times New Roman" w:cs="Times New Roman"/>
                <w:b/>
                <w:bCs/>
                <w:sz w:val="28"/>
                <w:lang w:val="en-US" w:eastAsia="zh-CN"/>
              </w:rPr>
              <w:t>5</w:t>
            </w:r>
            <w:r>
              <w:rPr>
                <w:rFonts w:hint="default" w:ascii="Times New Roman" w:hAnsi="Times New Roman" w:cs="Times New Roman"/>
                <w:b/>
                <w:bCs/>
                <w:sz w:val="28"/>
              </w:rPr>
              <w:t>月</w:t>
            </w:r>
          </w:p>
        </w:tc>
      </w:tr>
    </w:tbl>
    <w:p w14:paraId="1B74C467">
      <w:pPr>
        <w:jc w:val="both"/>
        <w:rPr>
          <w:rFonts w:hint="default" w:ascii="Times New Roman" w:hAnsi="Times New Roman" w:eastAsia="黑体" w:cs="Times New Roman"/>
          <w:spacing w:val="22"/>
          <w:kern w:val="10"/>
          <w:sz w:val="30"/>
        </w:rPr>
      </w:pPr>
    </w:p>
    <w:p w14:paraId="2666A829">
      <w:pPr>
        <w:jc w:val="center"/>
        <w:rPr>
          <w:rFonts w:hint="default" w:ascii="Times New Roman" w:hAnsi="Times New Roman" w:eastAsia="黑体" w:cs="Times New Roman"/>
          <w:sz w:val="28"/>
        </w:rPr>
        <w:sectPr>
          <w:headerReference r:id="rId5" w:type="default"/>
          <w:footerReference r:id="rId6" w:type="default"/>
          <w:pgSz w:w="11906" w:h="16838"/>
          <w:pgMar w:top="1701" w:right="1134" w:bottom="1418" w:left="1701" w:header="1134" w:footer="851" w:gutter="0"/>
          <w:cols w:space="425" w:num="1"/>
          <w:docGrid w:type="lines" w:linePitch="312" w:charSpace="0"/>
        </w:sectPr>
      </w:pPr>
      <w:r>
        <w:rPr>
          <w:rFonts w:hint="default" w:ascii="Times New Roman" w:hAnsi="Times New Roman" w:eastAsia="黑体" w:cs="Times New Roman"/>
          <w:spacing w:val="22"/>
          <w:kern w:val="10"/>
          <w:sz w:val="30"/>
        </w:rPr>
        <w:t>202</w:t>
      </w:r>
      <w:r>
        <w:rPr>
          <w:rFonts w:hint="default" w:ascii="Times New Roman" w:hAnsi="Times New Roman" w:eastAsia="黑体" w:cs="Times New Roman"/>
          <w:spacing w:val="22"/>
          <w:kern w:val="10"/>
          <w:sz w:val="30"/>
          <w:lang w:val="en-US" w:eastAsia="zh-CN"/>
        </w:rPr>
        <w:t>6</w:t>
      </w:r>
      <w:r>
        <w:rPr>
          <w:rFonts w:hint="default" w:ascii="Times New Roman" w:hAnsi="Times New Roman" w:eastAsia="黑体" w:cs="Times New Roman"/>
          <w:spacing w:val="22"/>
          <w:kern w:val="10"/>
          <w:sz w:val="30"/>
        </w:rPr>
        <w:t>年</w:t>
      </w:r>
      <w:r>
        <w:rPr>
          <w:rFonts w:hint="default" w:ascii="Times New Roman" w:hAnsi="Times New Roman" w:eastAsia="黑体" w:cs="Times New Roman"/>
          <w:spacing w:val="22"/>
          <w:kern w:val="10"/>
          <w:sz w:val="30"/>
          <w:lang w:val="en-US" w:eastAsia="zh-CN"/>
        </w:rPr>
        <w:t>5</w:t>
      </w:r>
      <w:r>
        <w:rPr>
          <w:rFonts w:hint="default" w:ascii="Times New Roman" w:hAnsi="Times New Roman" w:eastAsia="黑体" w:cs="Times New Roman"/>
          <w:spacing w:val="22"/>
          <w:kern w:val="10"/>
          <w:sz w:val="30"/>
        </w:rPr>
        <w:t>月</w:t>
      </w:r>
    </w:p>
    <w:p w14:paraId="0A3B3ABC">
      <w:pPr>
        <w:spacing w:line="360" w:lineRule="auto"/>
        <w:jc w:val="center"/>
        <w:outlineLvl w:val="0"/>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rPr>
        <w:t>实验</w:t>
      </w:r>
      <w:r>
        <w:rPr>
          <w:rFonts w:hint="default" w:ascii="Times New Roman" w:hAnsi="Times New Roman" w:eastAsia="黑体" w:cs="Times New Roman"/>
          <w:sz w:val="32"/>
          <w:szCs w:val="32"/>
          <w:lang w:val="en-US" w:eastAsia="zh-CN"/>
        </w:rPr>
        <w:t>三</w:t>
      </w:r>
      <w:r>
        <w:rPr>
          <w:rFonts w:hint="default" w:ascii="Times New Roman" w:hAnsi="Times New Roman" w:eastAsia="黑体" w:cs="Times New Roman"/>
          <w:sz w:val="32"/>
          <w:szCs w:val="32"/>
        </w:rPr>
        <w:t xml:space="preserve">   </w:t>
      </w:r>
      <w:r>
        <w:rPr>
          <w:rFonts w:hint="default" w:ascii="Times New Roman" w:hAnsi="Times New Roman" w:eastAsia="黑体" w:cs="Times New Roman"/>
          <w:sz w:val="32"/>
          <w:szCs w:val="32"/>
          <w:lang w:val="en-US" w:eastAsia="zh-CN"/>
        </w:rPr>
        <w:t>深度学习眼底血管分割</w:t>
      </w:r>
    </w:p>
    <w:p w14:paraId="1D61CD41">
      <w:pPr>
        <w:pStyle w:val="3"/>
        <w:numPr>
          <w:ilvl w:val="0"/>
          <w:numId w:val="1"/>
        </w:numPr>
        <w:bidi w:val="0"/>
        <w:rPr>
          <w:rFonts w:hint="default" w:ascii="Times New Roman" w:hAnsi="Times New Roman" w:cs="Times New Roman"/>
        </w:rPr>
        <w:sectPr>
          <w:footerReference r:id="rId7" w:type="default"/>
          <w:pgSz w:w="11906" w:h="16838"/>
          <w:pgMar w:top="1701" w:right="1134" w:bottom="1418" w:left="1701" w:header="1134" w:footer="851" w:gutter="0"/>
          <w:cols w:space="425" w:num="1"/>
          <w:docGrid w:type="lines" w:linePitch="312" w:charSpace="0"/>
        </w:sectPr>
      </w:pPr>
    </w:p>
    <w:p w14:paraId="1458B49E">
      <w:pPr>
        <w:pStyle w:val="3"/>
        <w:numPr>
          <w:ilvl w:val="0"/>
          <w:numId w:val="1"/>
        </w:numPr>
        <w:bidi w:val="0"/>
        <w:rPr>
          <w:rFonts w:hint="default" w:ascii="Times New Roman" w:hAnsi="Times New Roman" w:cs="Times New Roman"/>
        </w:rPr>
      </w:pPr>
      <w:r>
        <w:rPr>
          <w:rFonts w:hint="default" w:ascii="Times New Roman" w:hAnsi="Times New Roman" w:cs="Times New Roman"/>
        </w:rPr>
        <w:t>实验目的</w:t>
      </w:r>
    </w:p>
    <w:p w14:paraId="6998CB02">
      <w:pPr>
        <w:bidi w:val="0"/>
        <w:rPr>
          <w:rFonts w:hint="default" w:ascii="Times New Roman" w:hAnsi="Times New Roman" w:cs="Times New Roman"/>
          <w:lang w:eastAsia="zh-CN"/>
        </w:rPr>
      </w:pPr>
      <w:r>
        <w:rPr>
          <w:rFonts w:hint="default" w:ascii="Times New Roman" w:hAnsi="Times New Roman" w:cs="Times New Roman"/>
          <w:lang w:eastAsia="zh-CN"/>
        </w:rPr>
        <w:t>本实验旨在基于深度学习技术实现眼底图像中视网膜血管的自动分割。通过构建经典的端到端边缘保持分割网络 U-Net，对 DRIVE 数据集中的眼底彩照进行关键通道提取、对比度增强及局部 Patch 采样预处理，并在混合损失函数的指导下进行网络参数优化。实验通过定量评估测试集在眼底圆形视场区域内的准确率、敏感度和特异性，绘制 ROC 曲线并计算 AUC 指标，最终实现高精度的眼底血管自动化提取，以此掌握深度学习在医疗图像分割领域的全流程应用。</w:t>
      </w:r>
    </w:p>
    <w:p w14:paraId="2E5756A0">
      <w:pPr>
        <w:pStyle w:val="3"/>
        <w:numPr>
          <w:ilvl w:val="0"/>
          <w:numId w:val="1"/>
        </w:numPr>
        <w:bidi w:val="0"/>
        <w:rPr>
          <w:rFonts w:hint="default" w:ascii="Times New Roman" w:hAnsi="Times New Roman" w:cs="Times New Roman"/>
          <w:lang w:val="en-US" w:eastAsia="zh-CN"/>
        </w:rPr>
      </w:pPr>
      <w:r>
        <w:rPr>
          <w:rFonts w:hint="default" w:ascii="Times New Roman" w:hAnsi="Times New Roman" w:cs="Times New Roman"/>
          <w:lang w:eastAsia="zh-CN"/>
        </w:rPr>
        <w:t>实验内容</w:t>
      </w:r>
    </w:p>
    <w:p w14:paraId="042E3C62">
      <w:pPr>
        <w:bidi w:val="0"/>
        <w:rPr>
          <w:rFonts w:hint="default" w:ascii="Times New Roman" w:hAnsi="Times New Roman" w:cs="Times New Roman"/>
          <w:lang w:eastAsia="zh-CN"/>
        </w:rPr>
      </w:pPr>
      <w:r>
        <w:rPr>
          <w:rFonts w:hint="default" w:ascii="Times New Roman" w:hAnsi="Times New Roman" w:cs="Times New Roman"/>
          <w:lang w:val="en-US" w:eastAsia="zh-CN"/>
        </w:rPr>
        <w:t>1.</w:t>
      </w:r>
      <w:r>
        <w:rPr>
          <w:rFonts w:hint="default" w:ascii="Times New Roman" w:hAnsi="Times New Roman" w:cs="Times New Roman"/>
        </w:rPr>
        <w:t>获取DRIVE数据集</w:t>
      </w:r>
      <w:r>
        <w:rPr>
          <w:rFonts w:hint="default" w:ascii="Times New Roman" w:hAnsi="Times New Roman" w:cs="Times New Roman"/>
          <w:lang w:eastAsia="zh-CN"/>
        </w:rPr>
        <w:t>。</w:t>
      </w:r>
    </w:p>
    <w:p w14:paraId="6584E8E8">
      <w:pPr>
        <w:bidi w:val="0"/>
        <w:rPr>
          <w:rFonts w:hint="default" w:ascii="Times New Roman" w:hAnsi="Times New Roman" w:cs="Times New Roman"/>
          <w:lang w:eastAsia="zh-CN"/>
        </w:rPr>
      </w:pPr>
      <w:r>
        <w:rPr>
          <w:rFonts w:hint="default" w:ascii="Times New Roman" w:hAnsi="Times New Roman" w:cs="Times New Roman"/>
          <w:lang w:val="en-US" w:eastAsia="zh-CN"/>
        </w:rPr>
        <w:t>2.</w:t>
      </w:r>
      <w:r>
        <w:rPr>
          <w:rFonts w:hint="default" w:ascii="Times New Roman" w:hAnsi="Times New Roman" w:cs="Times New Roman"/>
        </w:rPr>
        <w:t>构建深度学习模型</w:t>
      </w:r>
      <w:r>
        <w:rPr>
          <w:rFonts w:hint="default" w:ascii="Times New Roman" w:hAnsi="Times New Roman" w:cs="Times New Roman"/>
          <w:lang w:eastAsia="zh-CN"/>
        </w:rPr>
        <w:t>。</w:t>
      </w:r>
    </w:p>
    <w:p w14:paraId="4DCA982B">
      <w:pPr>
        <w:bidi w:val="0"/>
        <w:rPr>
          <w:rFonts w:hint="default" w:ascii="Times New Roman" w:hAnsi="Times New Roman" w:cs="Times New Roman"/>
          <w:lang w:eastAsia="zh-CN"/>
        </w:rPr>
      </w:pPr>
      <w:r>
        <w:rPr>
          <w:rFonts w:hint="default" w:ascii="Times New Roman" w:hAnsi="Times New Roman" w:cs="Times New Roman"/>
          <w:lang w:val="en-US" w:eastAsia="zh-CN"/>
        </w:rPr>
        <w:t>3.</w:t>
      </w:r>
      <w:r>
        <w:rPr>
          <w:rFonts w:hint="default" w:ascii="Times New Roman" w:hAnsi="Times New Roman" w:cs="Times New Roman"/>
        </w:rPr>
        <w:t>训练所构建好的深度学习模型（如U-net/CNN），选择适当的损失函数，绘制损失函数随迭代次数变化的曲线</w:t>
      </w:r>
      <w:r>
        <w:rPr>
          <w:rFonts w:hint="default" w:ascii="Times New Roman" w:hAnsi="Times New Roman" w:cs="Times New Roman"/>
          <w:lang w:eastAsia="zh-CN"/>
        </w:rPr>
        <w:t>。</w:t>
      </w:r>
    </w:p>
    <w:p w14:paraId="38C2182B">
      <w:pPr>
        <w:bidi w:val="0"/>
        <w:rPr>
          <w:rFonts w:hint="default" w:ascii="Times New Roman" w:hAnsi="Times New Roman" w:cs="Times New Roman"/>
          <w:lang w:eastAsia="zh-CN"/>
        </w:rPr>
      </w:pPr>
      <w:r>
        <w:rPr>
          <w:rFonts w:hint="default" w:ascii="Times New Roman" w:hAnsi="Times New Roman" w:cs="Times New Roman"/>
          <w:lang w:val="en-US" w:eastAsia="zh-CN"/>
        </w:rPr>
        <w:t>4.</w:t>
      </w:r>
      <w:r>
        <w:rPr>
          <w:rFonts w:hint="default" w:ascii="Times New Roman" w:hAnsi="Times New Roman" w:cs="Times New Roman"/>
        </w:rPr>
        <w:t>测试模型，计算测试集上的分割准确率、敏感度、特异性</w:t>
      </w:r>
      <w:r>
        <w:rPr>
          <w:rFonts w:hint="default" w:ascii="Times New Roman" w:hAnsi="Times New Roman" w:cs="Times New Roman"/>
          <w:lang w:eastAsia="zh-CN"/>
        </w:rPr>
        <w:t>，</w:t>
      </w:r>
      <w:r>
        <w:rPr>
          <w:rFonts w:hint="default" w:ascii="Times New Roman" w:hAnsi="Times New Roman" w:cs="Times New Roman"/>
        </w:rPr>
        <w:t>作出ROC曲线，并展示部分彩照的分割结果</w:t>
      </w:r>
      <w:r>
        <w:rPr>
          <w:rFonts w:hint="default" w:ascii="Times New Roman" w:hAnsi="Times New Roman" w:cs="Times New Roman"/>
          <w:lang w:eastAsia="zh-CN"/>
        </w:rPr>
        <w:t>。</w:t>
      </w:r>
    </w:p>
    <w:p w14:paraId="35C42EB7">
      <w:pPr>
        <w:bidi w:val="0"/>
        <w:rPr>
          <w:rFonts w:hint="default" w:ascii="Times New Roman" w:hAnsi="Times New Roman" w:cs="Times New Roman"/>
          <w:lang w:eastAsia="zh-CN"/>
        </w:rPr>
      </w:pPr>
      <w:r>
        <w:rPr>
          <w:rFonts w:hint="default" w:ascii="Times New Roman" w:hAnsi="Times New Roman" w:cs="Times New Roman"/>
          <w:lang w:val="en-US" w:eastAsia="zh-CN"/>
        </w:rPr>
        <w:t>5.</w:t>
      </w:r>
      <w:r>
        <w:rPr>
          <w:rFonts w:hint="default" w:ascii="Times New Roman" w:hAnsi="Times New Roman" w:cs="Times New Roman"/>
        </w:rPr>
        <w:t>撰写实验报告，提交训练好的模型、测试样例，结合实验二对比分析无监督图像处理方法和深度学习方法的图像分割效果</w:t>
      </w:r>
      <w:r>
        <w:rPr>
          <w:rFonts w:hint="default" w:ascii="Times New Roman" w:hAnsi="Times New Roman" w:cs="Times New Roman"/>
          <w:lang w:eastAsia="zh-CN"/>
        </w:rPr>
        <w:t>。</w:t>
      </w:r>
    </w:p>
    <w:p w14:paraId="4240EFF5">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深度学习模型架构</w:t>
      </w:r>
    </w:p>
    <w:p w14:paraId="78322D69">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1.提取绿色通道</w:t>
      </w:r>
    </w:p>
    <w:p w14:paraId="5D2B2CBE">
      <w:pPr>
        <w:rPr>
          <w:rFonts w:hint="default" w:ascii="Times New Roman" w:hAnsi="Times New Roman" w:cs="Times New Roman"/>
          <w:lang w:val="en-US" w:eastAsia="zh-CN"/>
        </w:rPr>
      </w:pPr>
      <w:r>
        <w:rPr>
          <w:rFonts w:hint="default" w:ascii="Times New Roman" w:hAnsi="Times New Roman" w:cs="Times New Roman"/>
          <w:lang w:val="en-US" w:eastAsia="zh-CN"/>
        </w:rPr>
        <w:t>在眼底图像中，红色通道通常过亮且饱和，蓝色通道偏暗且噪声大。绿色通道中血管与背景（视网膜）的对比度最高，因此通常只使用绿色通道进行分析。</w:t>
      </w:r>
    </w:p>
    <w:p w14:paraId="499B3216">
      <w:pPr>
        <w:pStyle w:val="4"/>
        <w:bidi w:val="0"/>
        <w:rPr>
          <w:rFonts w:hint="eastAsia" w:ascii="Times New Roman" w:hAnsi="Times New Roman" w:eastAsia="宋体" w:cs="Times New Roman"/>
          <w:lang w:eastAsia="zh-CN"/>
        </w:rPr>
      </w:pP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eastAsia" w:cs="Times New Roman"/>
          <w:lang w:eastAsia="zh-CN"/>
        </w:rPr>
        <w:t>数据扩展</w:t>
      </w:r>
    </w:p>
    <w:p w14:paraId="0BB9FB45">
      <w:pPr>
        <w:bidi w:val="0"/>
        <w:rPr>
          <w:rFonts w:hint="default"/>
          <w:lang w:val="en-US" w:eastAsia="zh-CN"/>
        </w:rPr>
      </w:pPr>
      <w:r>
        <w:rPr>
          <w:rFonts w:hint="default"/>
          <w:lang w:val="en-US" w:eastAsia="zh-CN"/>
        </w:rPr>
        <w:t>鉴于获得的训练数据只有20张图片，为了丰富模型的泛化能力，本实验采用Patch采样和旋转翻转的方法增加训练样本数。具体而言，在训练过程中，算法在每张眼底整图内，采样一个128*128*1的空间局部图像块（Patch）。每张完整的眼底图在每个 Epoch 中会被动态采样200次，从而将单轮循环的虚拟样本量扩充至 4000 个。这种局部裁剪分割不仅极大丰富了训练样本的多样性，还降低了单次显存占用。为了模拟眼底相机的旋转偏差并抑制网络对空间位置的绝对依赖，实验对截取出的单通道 Patch 及其对应的二值化标签Mask同步进行实时的空间几何变换。</w:t>
      </w:r>
    </w:p>
    <w:p w14:paraId="1D15C360">
      <w:pPr>
        <w:pStyle w:val="4"/>
        <w:bidi w:val="0"/>
        <w:rPr>
          <w:rFonts w:hint="default" w:ascii="Times New Roman" w:hAnsi="Times New Roman" w:cs="Times New Roman"/>
        </w:rPr>
      </w:pPr>
      <w:r>
        <w:rPr>
          <w:rFonts w:hint="eastAsia" w:cs="Times New Roman"/>
          <w:lang w:val="en-US" w:eastAsia="zh-CN"/>
        </w:rPr>
        <w:t>3</w:t>
      </w:r>
      <w:r>
        <w:rPr>
          <w:rFonts w:hint="default" w:ascii="Times New Roman" w:hAnsi="Times New Roman" w:cs="Times New Roman"/>
        </w:rPr>
        <w:t>. U-Net 网络结构设计</w:t>
      </w:r>
    </w:p>
    <w:p w14:paraId="433AB5FA">
      <w:pPr>
        <w:bidi w:val="0"/>
        <w:rPr>
          <w:rFonts w:hint="default" w:ascii="Times New Roman" w:hAnsi="Times New Roman" w:cs="Times New Roman"/>
          <w:lang w:val="en-US" w:eastAsia="zh-CN"/>
        </w:rPr>
      </w:pPr>
      <w:r>
        <w:rPr>
          <w:rFonts w:hint="default" w:ascii="Times New Roman" w:hAnsi="Times New Roman" w:cs="Times New Roman"/>
        </w:rPr>
        <w:t>本实验采用经典的 U-Net 架构实现眼底血管的端到端像素级分割。</w:t>
      </w:r>
      <w:r>
        <w:rPr>
          <w:rFonts w:hint="default" w:ascii="Times New Roman" w:hAnsi="Times New Roman" w:cs="Times New Roman"/>
          <w:lang w:eastAsia="zh-CN"/>
        </w:rPr>
        <w:t>模型架构如下图</w:t>
      </w:r>
      <w:r>
        <w:rPr>
          <w:rFonts w:hint="default" w:ascii="Times New Roman" w:hAnsi="Times New Roman" w:cs="Times New Roman"/>
          <w:lang w:val="en-US" w:eastAsia="zh-CN"/>
        </w:rPr>
        <w:t>1所示。</w:t>
      </w:r>
    </w:p>
    <w:p w14:paraId="0890F4B7">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49925" cy="3832860"/>
            <wp:effectExtent l="0" t="0" r="3175" b="2540"/>
            <wp:docPr id="3" name="图片 3" descr="ChatGPT Image 2026年5月31日 11_10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31日 11_10_59"/>
                    <pic:cNvPicPr>
                      <a:picLocks noChangeAspect="1"/>
                    </pic:cNvPicPr>
                  </pic:nvPicPr>
                  <pic:blipFill>
                    <a:blip r:embed="rId10"/>
                    <a:stretch>
                      <a:fillRect/>
                    </a:stretch>
                  </pic:blipFill>
                  <pic:spPr>
                    <a:xfrm>
                      <a:off x="0" y="0"/>
                      <a:ext cx="5749925" cy="3832860"/>
                    </a:xfrm>
                    <a:prstGeom prst="rect">
                      <a:avLst/>
                    </a:prstGeom>
                  </pic:spPr>
                </pic:pic>
              </a:graphicData>
            </a:graphic>
          </wp:inline>
        </w:drawing>
      </w:r>
    </w:p>
    <w:p w14:paraId="76985682">
      <w:p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lang w:val="en-US" w:eastAsia="zh-CN"/>
        </w:rPr>
        <w:t>图1 实验U-Net算法架构</w:t>
      </w:r>
    </w:p>
    <w:p w14:paraId="53A4565E">
      <w:pPr>
        <w:bidi w:val="0"/>
        <w:rPr>
          <w:rFonts w:hint="default" w:ascii="Times New Roman" w:hAnsi="Times New Roman" w:cs="Times New Roman"/>
        </w:rPr>
      </w:pPr>
      <w:r>
        <w:rPr>
          <w:rFonts w:hint="default" w:ascii="Times New Roman" w:hAnsi="Times New Roman" w:cs="Times New Roman"/>
        </w:rPr>
        <w:t>网络整体呈现对称的“</w:t>
      </w:r>
      <w:r>
        <w:rPr>
          <w:rFonts w:hint="default" w:ascii="Times New Roman" w:hAnsi="Times New Roman" w:cs="Times New Roman"/>
          <w:lang w:val="en-US" w:eastAsia="zh-CN"/>
        </w:rPr>
        <w:t>U</w:t>
      </w:r>
      <w:r>
        <w:rPr>
          <w:rFonts w:hint="default" w:ascii="Times New Roman" w:hAnsi="Times New Roman" w:cs="Times New Roman"/>
        </w:rPr>
        <w:t>”字形结构，主要由左侧的收缩路径</w:t>
      </w:r>
      <w:r>
        <w:rPr>
          <w:rFonts w:hint="default" w:ascii="Times New Roman" w:hAnsi="Times New Roman" w:cs="Times New Roman"/>
          <w:lang w:eastAsia="zh-CN"/>
        </w:rPr>
        <w:t>编码器</w:t>
      </w:r>
      <w:r>
        <w:rPr>
          <w:rFonts w:hint="default" w:ascii="Times New Roman" w:hAnsi="Times New Roman" w:cs="Times New Roman"/>
        </w:rPr>
        <w:t>和右侧的扩张路径</w:t>
      </w:r>
      <w:r>
        <w:rPr>
          <w:rFonts w:hint="default" w:ascii="Times New Roman" w:hAnsi="Times New Roman" w:cs="Times New Roman"/>
          <w:lang w:eastAsia="zh-CN"/>
        </w:rPr>
        <w:t>解码器</w:t>
      </w:r>
      <w:r>
        <w:rPr>
          <w:rFonts w:hint="default" w:ascii="Times New Roman" w:hAnsi="Times New Roman" w:cs="Times New Roman"/>
        </w:rPr>
        <w:t>组成。在</w:t>
      </w:r>
      <w:r>
        <w:rPr>
          <w:rFonts w:hint="default" w:ascii="Times New Roman" w:hAnsi="Times New Roman" w:cs="Times New Roman"/>
          <w:lang w:eastAsia="zh-CN"/>
        </w:rPr>
        <w:t>编码器</w:t>
      </w:r>
      <w:r>
        <w:rPr>
          <w:rFonts w:hint="default" w:ascii="Times New Roman" w:hAnsi="Times New Roman" w:cs="Times New Roman"/>
        </w:rPr>
        <w:t>中，输入为经过预处理的</w:t>
      </w:r>
      <w:r>
        <w:rPr>
          <w:rFonts w:hint="default" w:ascii="Times New Roman" w:hAnsi="Times New Roman" w:cs="Times New Roman"/>
          <w:lang w:val="en-US" w:eastAsia="zh-CN"/>
        </w:rPr>
        <w:t>Patch</w:t>
      </w:r>
      <w:r>
        <w:rPr>
          <w:rFonts w:hint="default" w:ascii="Times New Roman" w:hAnsi="Times New Roman" w:cs="Times New Roman"/>
        </w:rPr>
        <w:t>图像</w:t>
      </w:r>
      <w:r>
        <w:rPr>
          <w:rFonts w:hint="default" w:ascii="Times New Roman" w:hAnsi="Times New Roman" w:cs="Times New Roman"/>
          <w:lang w:eastAsia="zh-CN"/>
        </w:rPr>
        <w:t>块</w:t>
      </w:r>
      <w:r>
        <w:rPr>
          <w:rFonts w:hint="default" w:ascii="Times New Roman" w:hAnsi="Times New Roman" w:cs="Times New Roman"/>
        </w:rPr>
        <w:t xml:space="preserve">（尺寸为 </w:t>
      </w:r>
      <m:oMath>
        <m:r>
          <m:rPr>
            <m:nor/>
            <m:sty m:val="p"/>
          </m:rPr>
          <w:rPr>
            <w:rFonts w:hint="default" w:ascii="Times New Roman" w:hAnsi="Times New Roman" w:cs="Times New Roman"/>
            <w:b w:val="0"/>
            <w:i w:val="0"/>
            <w:lang w:val="en-US" w:eastAsia="zh-CN"/>
          </w:rPr>
          <m:t>128</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val="en-US" w:eastAsia="zh-CN"/>
          </w:rPr>
          <m:t>128</m:t>
        </m:r>
        <m:r>
          <m:rPr>
            <m:nor/>
            <m:sty m:val="p"/>
          </m:rPr>
          <w:rPr>
            <w:rFonts w:hint="default" w:ascii="Times New Roman" w:hAnsi="Times New Roman" w:cs="Times New Roman"/>
            <w:b w:val="0"/>
            <w:i w:val="0"/>
            <w:sz w:val="24"/>
          </w:rPr>
          <m:t>×</m:t>
        </m:r>
      </m:oMath>
      <w:r>
        <w:rPr>
          <w:rFonts w:hint="default" w:ascii="Times New Roman" w:hAnsi="Times New Roman" w:cs="Times New Roman"/>
          <w:i w:val="0"/>
          <w:sz w:val="24"/>
          <w:lang w:val="en-US" w:eastAsia="zh-CN"/>
        </w:rPr>
        <w:t>1</w:t>
      </w:r>
      <w:r>
        <w:rPr>
          <w:rFonts w:hint="default" w:ascii="Times New Roman" w:hAnsi="Times New Roman" w:cs="Times New Roman"/>
        </w:rPr>
        <w:t xml:space="preserve">）。该路径由四个连续的下采样模块串联而成，每个模块包含一组双卷积层和一个步长为 2 的 </w:t>
      </w:r>
      <m:oMath>
        <m:r>
          <m:rPr>
            <m:nor/>
            <m:sty m:val="p"/>
          </m:rPr>
          <w:rPr>
            <w:rFonts w:hint="default" w:ascii="Times New Roman" w:hAnsi="Times New Roman" w:cs="Times New Roman"/>
            <w:b w:val="0"/>
            <w:i w:val="0"/>
            <w:sz w:val="24"/>
          </w:rPr>
          <m:t>2×2</m:t>
        </m:r>
      </m:oMath>
      <w:r>
        <w:rPr>
          <w:rFonts w:hint="default" w:ascii="Times New Roman" w:hAnsi="Times New Roman" w:cs="Times New Roman"/>
        </w:rPr>
        <w:t xml:space="preserve"> 最大池化层。双卷积层内部均采用</w:t>
      </w:r>
      <m:oMath>
        <m:r>
          <m:rPr>
            <m:nor/>
            <m:sty m:val="p"/>
          </m:rPr>
          <w:rPr>
            <w:rFonts w:hint="default" w:ascii="Times New Roman" w:hAnsi="Times New Roman" w:cs="Times New Roman"/>
            <w:b w:val="0"/>
            <w:i w:val="0"/>
            <w:sz w:val="24"/>
          </w:rPr>
          <m:t>3×3</m:t>
        </m:r>
      </m:oMath>
      <w:r>
        <w:rPr>
          <w:rFonts w:hint="default" w:ascii="Times New Roman" w:hAnsi="Times New Roman" w:cs="Times New Roman"/>
        </w:rPr>
        <w:t>卷积、</w:t>
      </w:r>
      <w:r>
        <w:rPr>
          <w:rFonts w:hint="default" w:ascii="Times New Roman" w:hAnsi="Times New Roman" w:cs="Times New Roman"/>
          <w:lang w:val="en-US" w:eastAsia="zh-CN"/>
        </w:rPr>
        <w:t>BN</w:t>
      </w:r>
      <w:r>
        <w:rPr>
          <w:rFonts w:hint="default" w:ascii="Times New Roman" w:hAnsi="Times New Roman" w:cs="Times New Roman"/>
        </w:rPr>
        <w:t>批归一化和 ReLU 激活函数的组合，在有效提取图像多尺度高级语义特征的同时，通过批归一化加速网络收敛并防止梯度消失。随着网络层数的加深，特征图的空间分辨率逐层减半，而通道数则以 32 为基数逐层翻倍，从 1 逐渐扩展至 32、64、128，最终达到 512 维，从而在深层捕获丰富的上下文信息。在扩张路径中，网络通过转置卷积（ConvTranspose2d）逐步恢复特征图的空间分辨率。</w:t>
      </w:r>
    </w:p>
    <w:p w14:paraId="556063BE">
      <w:pPr>
        <w:pStyle w:val="4"/>
        <w:bidi w:val="0"/>
        <w:rPr>
          <w:rFonts w:hint="default" w:ascii="Times New Roman" w:hAnsi="Times New Roman" w:eastAsia="宋体" w:cs="Times New Roman"/>
          <w:lang w:eastAsia="zh-CN"/>
        </w:rPr>
      </w:pPr>
      <w:r>
        <w:rPr>
          <w:rFonts w:hint="eastAsia"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eastAsia="zh-CN"/>
        </w:rPr>
        <w:t>损失函数设计</w:t>
      </w:r>
    </w:p>
    <w:p w14:paraId="717CBD3F">
      <w:pPr>
        <w:bidi w:val="0"/>
        <w:rPr>
          <w:rFonts w:hint="default" w:ascii="Times New Roman" w:hAnsi="Times New Roman" w:cs="Times New Roman"/>
        </w:rPr>
      </w:pPr>
      <w:r>
        <w:rPr>
          <w:rFonts w:hint="default" w:ascii="Times New Roman" w:hAnsi="Times New Roman" w:cs="Times New Roman"/>
        </w:rPr>
        <w:t>眼底图像中血管像素与背景像素存在极其严重的类不平衡问题，血管区域通常仅占全图面积的 10% 左右。若单一采用二元交叉熵损失函数，网络易陷入将所有像素均预测为背景的局部最优解。为此，本实验设计了结合二元交叉熵损失（BCE Loss）与 Dice 损失（Dice Loss）的混合损失函数，以兼顾像素级的分类准确性与全局血管拓扑结构的完整性。</w:t>
      </w:r>
    </w:p>
    <w:p w14:paraId="244EBED2">
      <w:pPr>
        <w:pStyle w:val="1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二元交叉熵损失专注于每个像素点的独立分类准确率，其数学表达式为：</w:t>
      </w:r>
    </w:p>
    <w:p w14:paraId="6372EB4A">
      <w:pPr>
        <w:keepNext w:val="0"/>
        <w:keepLines w:val="0"/>
        <w:widowControl/>
        <w:suppressLineNumbers w:val="0"/>
        <w:spacing w:before="0" w:beforeAutospacing="0" w:line="12" w:lineRule="atLeast"/>
        <w:jc w:val="left"/>
        <w:rPr>
          <w:rFonts w:hint="default" w:ascii="Times New Roman" w:hAnsi="Times New Roman" w:eastAsia="sans-serif" w:cs="Times New Roman"/>
        </w:rPr>
      </w:pPr>
      <m:oMathPara>
        <m:oMath>
          <m:sSub>
            <m:sSubPr>
              <m:ctrlPr>
                <w:rPr>
                  <w:rFonts w:hint="default" w:ascii="Cambria Math" w:hAnsi="Cambria Math" w:eastAsia="sans-serif" w:cs="Times New Roman"/>
                  <w:sz w:val="24"/>
                </w:rPr>
              </m:ctrlPr>
            </m:sSubPr>
            <m:e>
              <m:r>
                <m:rPr>
                  <m:nor/>
                  <m:sty m:val="p"/>
                  <m:scr m:val="script"/>
                </m:rPr>
                <w:rPr>
                  <w:rFonts w:hint="default" w:ascii="Times New Roman" w:hAnsi="Times New Roman" w:eastAsia="MS Mincho" w:cs="MS Mincho"/>
                  <w:b w:val="0"/>
                  <w:i w:val="0"/>
                  <w:sz w:val="24"/>
                </w:rPr>
                <m:t>ℒ</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BCE</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i/>
                  <w:sz w:val="24"/>
                </w:rPr>
              </m:ctrlPr>
            </m:fPr>
            <m:num>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num>
            <m:den>
              <m:r>
                <m:rPr>
                  <m:nor/>
                </m:rPr>
                <w:rPr>
                  <w:rFonts w:hint="default" w:ascii="Times New Roman" w:hAnsi="Times New Roman" w:eastAsia="sans-serif" w:cs="Times New Roman"/>
                  <w:i/>
                  <w:sz w:val="24"/>
                </w:rPr>
                <m:t>N</m:t>
              </m:r>
              <m:ctrlPr>
                <w:rPr>
                  <w:rFonts w:hint="default" w:ascii="Cambria Math" w:hAnsi="Cambria Math" w:eastAsia="sans-serif" w:cs="Times New Roman"/>
                  <w:sz w:val="24"/>
                </w:rPr>
              </m:ctrlPr>
            </m:den>
          </m:f>
          <m:nary>
            <m:naryPr>
              <m:chr m:val="∑"/>
              <m:limLoc m:val="undOvr"/>
              <m:ctrlPr>
                <w:rPr>
                  <w:rFonts w:hint="default" w:ascii="Cambria Math" w:hAnsi="Cambria Math" w:eastAsia="sans-serif" w:cs="Times New Roman"/>
                  <w:i/>
                  <w:sz w:val="24"/>
                </w:rPr>
              </m:ctrlPr>
            </m:naryPr>
            <m:sub>
              <m:r>
                <m:rPr>
                  <m:nor/>
                </m:rPr>
                <w:rPr>
                  <w:rFonts w:hint="default" w:ascii="Times New Roman" w:hAnsi="Times New Roman" w:eastAsia="sans-serif" w:cs="Times New Roman"/>
                  <w:i/>
                  <w:sz w:val="24"/>
                </w:rPr>
                <m:t>i</m:t>
              </m:r>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sub>
            <m:sup>
              <m:r>
                <m:rPr>
                  <m:nor/>
                </m:rPr>
                <w:rPr>
                  <w:rFonts w:hint="default" w:ascii="Times New Roman" w:hAnsi="Times New Roman" w:eastAsia="sans-serif" w:cs="Times New Roman"/>
                  <w:i/>
                  <w:sz w:val="24"/>
                </w:rPr>
                <m:t>N</m:t>
              </m:r>
              <m:ctrlPr>
                <w:rPr>
                  <w:rFonts w:hint="default" w:ascii="Cambria Math" w:hAnsi="Cambria Math" w:eastAsia="sans-serif" w:cs="Times New Roman"/>
                  <w:sz w:val="24"/>
                </w:rPr>
              </m:ctrlPr>
            </m:sup>
            <m:e>
              <m:d>
                <m:dPr>
                  <m:begChr m:val="["/>
                  <m:endChr m:val="]"/>
                  <m:ctrlPr>
                    <w:rPr>
                      <w:rFonts w:hint="default" w:ascii="Cambria Math" w:hAnsi="Cambria Math" w:eastAsia="sans-serif" w:cs="Times New Roman"/>
                      <w:i/>
                      <w:sz w:val="24"/>
                    </w:rPr>
                  </m:ctrlPr>
                </m:dPr>
                <m:e>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y</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func>
                    <m:funcPr>
                      <m:ctrlPr>
                        <w:rPr>
                          <w:rFonts w:hint="default" w:ascii="Cambria Math" w:hAnsi="Cambria Math" w:eastAsia="sans-serif" w:cs="Times New Roman"/>
                          <w:sz w:val="24"/>
                        </w:rPr>
                      </m:ctrlPr>
                    </m:funcPr>
                    <m:fName>
                      <m:r>
                        <m:rPr>
                          <m:nor/>
                          <m:sty m:val="p"/>
                        </m:rPr>
                        <w:rPr>
                          <w:rFonts w:hint="default" w:ascii="Times New Roman" w:hAnsi="Times New Roman" w:eastAsia="sans-serif" w:cs="Times New Roman"/>
                          <w:b w:val="0"/>
                          <w:i w:val="0"/>
                          <w:sz w:val="24"/>
                        </w:rPr>
                        <m:t>log</m:t>
                      </m:r>
                      <m:ctrlPr>
                        <w:rPr>
                          <w:rFonts w:hint="default" w:ascii="Cambria Math" w:hAnsi="Cambria Math" w:eastAsia="sans-serif" w:cs="Times New Roman"/>
                          <w:sz w:val="24"/>
                        </w:rPr>
                      </m:ctrlPr>
                    </m:fName>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func>
                  <m:r>
                    <m:rPr>
                      <m:nor/>
                    </m:rPr>
                    <w:rPr>
                      <w:rFonts w:hint="default" w:ascii="Times New Roman" w:hAnsi="Times New Roman" w:eastAsia="sans-serif" w:cs="Times New Roman"/>
                      <w:i/>
                      <w:sz w:val="24"/>
                    </w:rPr>
                    <m:t>σ</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p</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))+(1−</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y</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func>
                    <m:funcPr>
                      <m:ctrlPr>
                        <w:rPr>
                          <w:rFonts w:hint="default" w:ascii="Cambria Math" w:hAnsi="Cambria Math" w:eastAsia="sans-serif" w:cs="Times New Roman"/>
                          <w:sz w:val="24"/>
                        </w:rPr>
                      </m:ctrlPr>
                    </m:funcPr>
                    <m:fName>
                      <m:r>
                        <m:rPr>
                          <m:nor/>
                          <m:sty m:val="p"/>
                        </m:rPr>
                        <w:rPr>
                          <w:rFonts w:hint="default" w:ascii="Times New Roman" w:hAnsi="Times New Roman" w:eastAsia="sans-serif" w:cs="Times New Roman"/>
                          <w:b w:val="0"/>
                          <w:i w:val="0"/>
                          <w:sz w:val="24"/>
                        </w:rPr>
                        <m:t>log</m:t>
                      </m:r>
                      <m:ctrlPr>
                        <w:rPr>
                          <w:rFonts w:hint="default" w:ascii="Cambria Math" w:hAnsi="Cambria Math" w:eastAsia="sans-serif" w:cs="Times New Roman"/>
                          <w:sz w:val="24"/>
                        </w:rPr>
                      </m:ctrlPr>
                    </m:fName>
                    <m:e>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func>
                  <m:r>
                    <m:rPr>
                      <m:nor/>
                      <m:sty m:val="p"/>
                    </m:rPr>
                    <w:rPr>
                      <w:rFonts w:hint="default" w:ascii="Times New Roman" w:hAnsi="Times New Roman" w:eastAsia="sans-serif" w:cs="Times New Roman"/>
                      <w:b w:val="0"/>
                      <w:i w:val="0"/>
                      <w:sz w:val="24"/>
                    </w:rPr>
                    <m:t>1−</m:t>
                  </m:r>
                  <m:r>
                    <m:rPr>
                      <m:nor/>
                    </m:rPr>
                    <w:rPr>
                      <w:rFonts w:hint="default" w:ascii="Times New Roman" w:hAnsi="Times New Roman" w:eastAsia="sans-serif" w:cs="Times New Roman"/>
                      <w:i/>
                      <w:sz w:val="24"/>
                    </w:rPr>
                    <m:t>σ</m:t>
                  </m:r>
                  <m:r>
                    <m:rPr>
                      <m:nor/>
                      <m:sty m:val="p"/>
                    </m:rPr>
                    <w:rPr>
                      <w:rFonts w:hint="default" w:ascii="Times New Roman" w:hAnsi="Times New Roman" w:eastAsia="sans-serif" w:cs="Times New Roman"/>
                      <w:b w:val="0"/>
                      <w:i w:val="0"/>
                      <w:sz w:val="24"/>
                    </w:rPr>
                    <m:t>(</m:t>
                  </m:r>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p</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i</m:t>
                      </m:r>
                      <m:ctrlPr>
                        <w:rPr>
                          <w:rFonts w:hint="default" w:ascii="Cambria Math" w:hAnsi="Cambria Math" w:eastAsia="sans-serif" w:cs="Times New Roman"/>
                          <w:sz w:val="24"/>
                        </w:rPr>
                      </m:ctrlPr>
                    </m:sub>
                  </m:sSub>
                  <m:r>
                    <m:rPr>
                      <m:nor/>
                      <m:sty m:val="p"/>
                    </m:rPr>
                    <w:rPr>
                      <w:rFonts w:hint="default" w:ascii="Times New Roman" w:hAnsi="Times New Roman" w:eastAsia="sans-serif" w:cs="Times New Roman"/>
                      <w:b w:val="0"/>
                      <w:i w:val="0"/>
                      <w:sz w:val="24"/>
                    </w:rPr>
                    <m:t>))</m:t>
                  </m:r>
                  <m:ctrlPr>
                    <w:rPr>
                      <w:rFonts w:hint="default" w:ascii="Cambria Math" w:hAnsi="Cambria Math" w:eastAsia="sans-serif" w:cs="Times New Roman"/>
                      <w:sz w:val="24"/>
                    </w:rPr>
                  </m:ctrlPr>
                </m:e>
              </m:d>
              <m:ctrlPr>
                <w:rPr>
                  <w:rFonts w:hint="default" w:ascii="Cambria Math" w:hAnsi="Cambria Math" w:eastAsia="sans-serif" w:cs="Times New Roman"/>
                  <w:i/>
                  <w:sz w:val="24"/>
                </w:rPr>
              </m:ctrlPr>
            </m:e>
          </m:nary>
        </m:oMath>
      </m:oMathPara>
    </w:p>
    <w:p w14:paraId="51A89C83">
      <w:pPr>
        <w:bidi w:val="0"/>
        <w:ind w:firstLine="560"/>
        <w:rPr>
          <w:rFonts w:hint="default" w:ascii="Times New Roman" w:hAnsi="Times New Roman" w:cs="Times New Roman"/>
        </w:rPr>
      </w:pPr>
      <w:r>
        <w:rPr>
          <w:rFonts w:hint="default" w:ascii="Times New Roman" w:hAnsi="Times New Roman" w:cs="Times New Roman"/>
        </w:rPr>
        <w:t>其中，</w:t>
      </w:r>
      <m:oMath>
        <m:r>
          <m:rPr>
            <m:nor/>
          </m:rPr>
          <w:rPr>
            <w:rFonts w:hint="default" w:ascii="Times New Roman" w:hAnsi="Times New Roman" w:cs="Times New Roman"/>
            <w:i/>
            <w:sz w:val="24"/>
          </w:rPr>
          <m:t>N</m:t>
        </m:r>
      </m:oMath>
      <w:r>
        <w:rPr>
          <w:rFonts w:hint="default" w:ascii="Times New Roman" w:hAnsi="Times New Roman" w:cs="Times New Roman"/>
        </w:rPr>
        <w:t xml:space="preserve"> 为单个 Batch 内的总像素点数，</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∈{0,1}</m:t>
        </m:r>
      </m:oMath>
      <w:r>
        <w:rPr>
          <w:rFonts w:hint="default" w:ascii="Times New Roman" w:hAnsi="Times New Roman" w:cs="Times New Roman"/>
        </w:rPr>
        <w:t xml:space="preserve"> 为第 $i$ 个像素点的真实标签（1 代表血管，0 代表背景），</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default" w:ascii="Times New Roman" w:hAnsi="Times New Roman" w:cs="Times New Roman"/>
          <w:i w:val="0"/>
          <w:sz w:val="24"/>
          <w:lang w:val="en-US" w:eastAsia="zh-CN"/>
        </w:rPr>
        <w:t xml:space="preserve"> </w:t>
      </w:r>
      <w:r>
        <w:rPr>
          <w:rFonts w:hint="default" w:ascii="Times New Roman" w:hAnsi="Times New Roman" w:cs="Times New Roman"/>
        </w:rPr>
        <w:t>轴为网络输出的 Logits 值，</w:t>
      </w:r>
      <m:oMath>
        <m:r>
          <m:rPr>
            <m:nor/>
          </m:rPr>
          <w:rPr>
            <w:rFonts w:hint="default" w:ascii="Times New Roman" w:hAnsi="Times New Roman" w:cs="Times New Roman"/>
            <w:i/>
            <w:sz w:val="24"/>
          </w:rPr>
          <m:t>σ</m:t>
        </m:r>
        <m:r>
          <m:rPr>
            <m:nor/>
            <m:sty m:val="p"/>
          </m:rPr>
          <w:rPr>
            <w:rFonts w:hint="default" w:ascii="Times New Roman" w:hAnsi="Times New Roman" w:cs="Times New Roman"/>
            <w:b w:val="0"/>
            <w:i w:val="0"/>
            <w:sz w:val="24"/>
          </w:rPr>
          <m:t>(⋅)</m:t>
        </m:r>
      </m:oMath>
      <w:r>
        <w:rPr>
          <w:rFonts w:hint="default" w:ascii="Times New Roman" w:hAnsi="Times New Roman" w:cs="Times New Roman"/>
        </w:rPr>
        <w:t xml:space="preserve"> 表示 Sigmoid 激活函数，用于将预测值映射至 (0, 1) 的概率区间。</w:t>
      </w:r>
    </w:p>
    <w:p w14:paraId="74586078">
      <w:pPr>
        <w:bidi w:val="0"/>
        <w:ind w:firstLine="560"/>
        <w:rPr>
          <w:rFonts w:hint="default"/>
        </w:rPr>
      </w:pPr>
      <w:r>
        <w:rPr>
          <w:rFonts w:hint="default"/>
        </w:rPr>
        <w:t>Dice 损失基于预测区域与真实区域的重合度进行计算，对网络边界及稀疏目标的分割具有极强的</w:t>
      </w:r>
      <w:r>
        <w:rPr>
          <w:rFonts w:hint="default" w:ascii="Times New Roman" w:hAnsi="Times New Roman" w:cs="Times New Roman"/>
        </w:rPr>
        <w:t>指导</w:t>
      </w:r>
      <w:r>
        <w:rPr>
          <w:rFonts w:hint="default"/>
        </w:rPr>
        <w:t>作用，其数学表达式为：</w:t>
      </w:r>
    </w:p>
    <w:p w14:paraId="124F1192">
      <w:pPr>
        <w:keepNext w:val="0"/>
        <w:keepLines w:val="0"/>
        <w:widowControl/>
        <w:suppressLineNumbers w:val="0"/>
        <w:spacing w:before="0" w:beforeAutospacing="0" w:line="12" w:lineRule="atLeast"/>
        <w:jc w:val="left"/>
        <w:rPr>
          <w:rFonts w:hint="default" w:ascii="Times New Roman" w:hAnsi="Times New Roman" w:eastAsia="sans-serif" w:cs="Times New Roman"/>
        </w:rPr>
      </w:pPr>
      <m:oMathPara>
        <m:oMath>
          <m:sSub>
            <m:sSubPr>
              <m:ctrlPr>
                <w:rPr>
                  <w:rFonts w:hint="default" w:ascii="Cambria Math" w:hAnsi="Cambria Math" w:eastAsia="sans-serif"/>
                  <w:sz w:val="24"/>
                </w:rPr>
              </m:ctrlPr>
            </m:sSubPr>
            <m:e>
              <m:r>
                <m:rPr>
                  <m:scr m:val="script"/>
                </m:rPr>
                <w:rPr>
                  <w:rFonts w:hint="default" w:ascii="Cambria Math" w:hAnsi="Cambria Math" w:eastAsia="MS Mincho"/>
                  <w:sz w:val="24"/>
                </w:rPr>
                <m:t>ℒ</m:t>
              </m:r>
              <m:ctrlPr>
                <w:rPr>
                  <w:rFonts w:ascii="Cambria Math" w:hAnsi="Cambria Math" w:eastAsia="sans-serif"/>
                  <w:sz w:val="24"/>
                </w:rPr>
              </m:ctrlPr>
            </m:e>
            <m:sub>
              <m:r>
                <m:rPr/>
                <w:rPr>
                  <w:rFonts w:hint="default" w:ascii="Cambria Math" w:hAnsi="Cambria Math" w:eastAsia="sans-serif"/>
                  <w:sz w:val="24"/>
                </w:rPr>
                <m:t>Dice</m:t>
              </m:r>
              <m:ctrlPr>
                <w:rPr>
                  <w:rFonts w:ascii="Cambria Math" w:hAnsi="Cambria Math" w:eastAsia="sans-serif"/>
                  <w:sz w:val="24"/>
                </w:rPr>
              </m:ctrlPr>
            </m:sub>
          </m:sSub>
          <m:r>
            <m:rPr/>
            <w:rPr>
              <w:rFonts w:hint="default" w:ascii="Cambria Math" w:hAnsi="Cambria Math" w:eastAsia="sans-serif"/>
              <w:sz w:val="24"/>
            </w:rPr>
            <m:t>=1−</m:t>
          </m:r>
          <m:f>
            <m:fPr>
              <m:ctrlPr>
                <w:rPr>
                  <w:rFonts w:hint="default" w:ascii="Cambria Math" w:hAnsi="Cambria Math" w:eastAsia="sans-serif"/>
                  <w:i/>
                  <w:sz w:val="24"/>
                </w:rPr>
              </m:ctrlPr>
            </m:fPr>
            <m:num>
              <m:r>
                <m:rPr/>
                <w:rPr>
                  <w:rFonts w:hint="default" w:ascii="Cambria Math" w:hAnsi="Cambria Math" w:eastAsia="sans-serif"/>
                  <w:sz w:val="24"/>
                </w:rPr>
                <m:t>2</m:t>
              </m:r>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r>
                    <m:rPr/>
                    <w:rPr>
                      <w:rFonts w:hint="default" w:ascii="Cambria Math" w:hAnsi="Cambria Math" w:eastAsia="sans-serif"/>
                      <w:sz w:val="24"/>
                    </w:rPr>
                    <m:t>σ</m:t>
                  </m:r>
                  <m:ctrlPr>
                    <w:rPr>
                      <w:rFonts w:ascii="Cambria Math" w:hAnsi="Cambria Math" w:eastAsia="sans-serif"/>
                      <w:sz w:val="24"/>
                    </w:rPr>
                  </m:ctrlPr>
                </m:e>
              </m:nary>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y</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+ϵ</m:t>
              </m:r>
              <m:ctrlPr>
                <w:rPr>
                  <w:rFonts w:hint="default" w:ascii="Cambria Math" w:hAnsi="Cambria Math" w:eastAsia="sans-serif"/>
                  <w:sz w:val="24"/>
                </w:rPr>
              </m:ctrlPr>
            </m:num>
            <m:den>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r>
                    <m:rPr/>
                    <w:rPr>
                      <w:rFonts w:hint="default" w:ascii="Cambria Math" w:hAnsi="Cambria Math" w:eastAsia="sans-serif"/>
                      <w:sz w:val="24"/>
                    </w:rPr>
                    <m:t>σ</m:t>
                  </m:r>
                  <m:ctrlPr>
                    <w:rPr>
                      <w:rFonts w:ascii="Cambria Math" w:hAnsi="Cambria Math" w:eastAsia="sans-serif"/>
                      <w:sz w:val="24"/>
                    </w:rPr>
                  </m:ctrlPr>
                </m:e>
              </m:nary>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nary>
                <m:naryPr>
                  <m:chr m:val="∑"/>
                  <m:limLoc m:val="undOvr"/>
                  <m:ctrlPr>
                    <w:rPr>
                      <w:rFonts w:hint="default" w:ascii="Cambria Math" w:hAnsi="Cambria Math" w:eastAsia="sans-serif"/>
                      <w:i/>
                      <w:sz w:val="24"/>
                    </w:rPr>
                  </m:ctrlPr>
                </m:naryPr>
                <m:sub>
                  <m:r>
                    <m:rPr/>
                    <w:rPr>
                      <w:rFonts w:hint="default" w:ascii="Cambria Math" w:hAnsi="Cambria Math" w:eastAsia="sans-serif"/>
                      <w:sz w:val="24"/>
                    </w:rPr>
                    <m:t>i=1</m:t>
                  </m:r>
                  <m:ctrlPr>
                    <w:rPr>
                      <w:rFonts w:ascii="Cambria Math" w:hAnsi="Cambria Math" w:eastAsia="sans-serif"/>
                      <w:sz w:val="24"/>
                    </w:rPr>
                  </m:ctrlPr>
                </m:sub>
                <m:sup>
                  <m:r>
                    <m:rPr/>
                    <w:rPr>
                      <w:rFonts w:hint="default" w:ascii="Cambria Math" w:hAnsi="Cambria Math" w:eastAsia="sans-serif"/>
                      <w:sz w:val="24"/>
                    </w:rPr>
                    <m:t>N</m:t>
                  </m:r>
                  <m:ctrlPr>
                    <w:rPr>
                      <w:rFonts w:ascii="Cambria Math" w:hAnsi="Cambria Math" w:eastAsia="sans-serif"/>
                      <w:sz w:val="24"/>
                    </w:rPr>
                  </m:ctrlPr>
                </m:sup>
                <m:e>
                  <m:sSub>
                    <m:sSubPr>
                      <m:ctrlPr>
                        <w:rPr>
                          <w:rFonts w:hint="default" w:ascii="Cambria Math" w:hAnsi="Cambria Math" w:eastAsia="sans-serif"/>
                          <w:sz w:val="24"/>
                        </w:rPr>
                      </m:ctrlPr>
                    </m:sSubPr>
                    <m:e>
                      <m:r>
                        <m:rPr/>
                        <w:rPr>
                          <w:rFonts w:hint="default" w:ascii="Cambria Math" w:hAnsi="Cambria Math" w:eastAsia="sans-serif"/>
                          <w:sz w:val="24"/>
                        </w:rPr>
                        <m:t>y</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ctrlPr>
                    <w:rPr>
                      <w:rFonts w:hint="default" w:ascii="Cambria Math" w:hAnsi="Cambria Math" w:eastAsia="sans-serif"/>
                      <w:sz w:val="24"/>
                    </w:rPr>
                  </m:ctrlPr>
                </m:e>
              </m:nary>
              <m:r>
                <m:rPr/>
                <w:rPr>
                  <w:rFonts w:hint="default" w:ascii="Cambria Math" w:hAnsi="Cambria Math" w:eastAsia="sans-serif"/>
                  <w:sz w:val="24"/>
                </w:rPr>
                <m:t>+ϵ</m:t>
              </m:r>
              <m:ctrlPr>
                <w:rPr>
                  <w:rFonts w:hint="default" w:ascii="Cambria Math" w:hAnsi="Cambria Math" w:eastAsia="sans-serif"/>
                  <w:i/>
                  <w:sz w:val="24"/>
                </w:rPr>
              </m:ctrlPr>
            </m:den>
          </m:f>
        </m:oMath>
      </m:oMathPara>
    </w:p>
    <w:p w14:paraId="7BBDD15D">
      <w:pPr>
        <w:bidi w:val="0"/>
        <w:ind w:firstLine="560"/>
        <w:rPr>
          <w:rFonts w:hint="default" w:ascii="Times New Roman" w:hAnsi="Times New Roman" w:eastAsia="sans-serif" w:cs="Times New Roman"/>
        </w:rPr>
      </w:pPr>
      <w:r>
        <w:rPr>
          <w:rFonts w:hint="default" w:ascii="Times New Roman" w:hAnsi="Times New Roman" w:eastAsia="sans-serif" w:cs="Times New Roman"/>
        </w:rPr>
        <w:t>式中，</w:t>
      </w:r>
      <m:oMath>
        <m:r>
          <m:rPr/>
          <w:rPr>
            <w:rFonts w:hint="default" w:ascii="Cambria Math" w:hAnsi="Cambria Math" w:eastAsia="sans-serif"/>
            <w:sz w:val="24"/>
          </w:rPr>
          <m:t>ϵ</m:t>
        </m:r>
      </m:oMath>
      <w:r>
        <w:rPr>
          <w:rFonts w:hint="default" w:ascii="Times New Roman" w:hAnsi="Times New Roman" w:eastAsia="sans-serif" w:cs="Times New Roman"/>
        </w:rPr>
        <w:t xml:space="preserve"> 为平滑项（本实验中设为 </w:t>
      </w:r>
      <m:oMath>
        <m:r>
          <m:rPr/>
          <w:rPr>
            <w:rFonts w:hint="default" w:ascii="Cambria Math" w:hAnsi="Cambria Math" w:eastAsia="sans-serif"/>
            <w:sz w:val="24"/>
          </w:rPr>
          <m:t>1</m:t>
        </m:r>
        <m:sSup>
          <m:sSupPr>
            <m:ctrlPr>
              <w:rPr>
                <w:rFonts w:hint="default" w:ascii="Cambria Math" w:hAnsi="Cambria Math" w:eastAsia="sans-serif"/>
                <w:sz w:val="24"/>
              </w:rPr>
            </m:ctrlPr>
          </m:sSupPr>
          <m:e>
            <m:r>
              <m:rPr/>
              <w:rPr>
                <w:rFonts w:hint="default" w:ascii="Cambria Math" w:hAnsi="Cambria Math" w:eastAsia="sans-serif"/>
                <w:sz w:val="24"/>
              </w:rPr>
              <m:t>0</m:t>
            </m:r>
            <m:ctrlPr>
              <w:rPr>
                <w:rFonts w:ascii="Cambria Math" w:hAnsi="Cambria Math" w:eastAsia="sans-serif"/>
                <w:sz w:val="24"/>
              </w:rPr>
            </m:ctrlPr>
          </m:e>
          <m:sup>
            <m:r>
              <m:rPr/>
              <w:rPr>
                <w:rFonts w:hint="default" w:ascii="Cambria Math" w:hAnsi="Cambria Math" w:eastAsia="sans-serif"/>
                <w:sz w:val="24"/>
              </w:rPr>
              <m:t>−6</m:t>
            </m:r>
            <m:ctrlPr>
              <w:rPr>
                <w:rFonts w:ascii="Cambria Math" w:hAnsi="Cambria Math" w:eastAsia="sans-serif"/>
                <w:sz w:val="24"/>
              </w:rPr>
            </m:ctrlPr>
          </m:sup>
        </m:sSup>
      </m:oMath>
      <w:r>
        <w:rPr>
          <w:rFonts w:hint="default" w:ascii="Times New Roman" w:hAnsi="Times New Roman" w:eastAsia="sans-serif" w:cs="Times New Roman"/>
        </w:rPr>
        <w:t>），其作用是防止分母为零，并在预测与标签均为全黑背景时稳定梯度。</w:t>
      </w:r>
    </w:p>
    <w:p w14:paraId="13B179DF">
      <w:pPr>
        <w:bidi w:val="0"/>
        <w:ind w:firstLine="560"/>
        <w:rPr>
          <w:rFonts w:hint="default" w:ascii="Times New Roman" w:hAnsi="Times New Roman" w:eastAsia="sans-serif" w:cs="Times New Roman"/>
        </w:rPr>
      </w:pPr>
      <w:r>
        <w:rPr>
          <w:rFonts w:hint="default" w:ascii="Times New Roman" w:hAnsi="Times New Roman" w:eastAsia="sans-serif" w:cs="Times New Roman"/>
        </w:rPr>
        <w:t>最</w:t>
      </w:r>
      <w:r>
        <w:rPr>
          <w:rFonts w:hint="default"/>
        </w:rPr>
        <w:t>终，整体</w:t>
      </w:r>
      <w:r>
        <w:rPr>
          <w:rFonts w:hint="default" w:ascii="Times New Roman" w:hAnsi="Times New Roman" w:cs="Times New Roman"/>
        </w:rPr>
        <w:t>优化</w:t>
      </w:r>
      <w:r>
        <w:rPr>
          <w:rFonts w:hint="default"/>
        </w:rPr>
        <w:t>目标通过对两者进行加权求和构建，实验中将二者的权重比例设为 0.3 与 0.7，以</w:t>
      </w:r>
      <w:r>
        <w:rPr>
          <w:rFonts w:hint="default" w:ascii="Times New Roman" w:hAnsi="Times New Roman" w:eastAsia="sans-serif" w:cs="Times New Roman"/>
        </w:rPr>
        <w:t>突出 Dice 损失在应对类不平衡时的引导作用。总损失函数表达式为：</w:t>
      </w:r>
    </w:p>
    <w:p w14:paraId="44358627">
      <w:pPr>
        <w:keepNext w:val="0"/>
        <w:keepLines w:val="0"/>
        <w:widowControl/>
        <w:suppressLineNumbers w:val="0"/>
        <w:spacing w:before="0" w:beforeAutospacing="0" w:line="12" w:lineRule="atLeast"/>
        <w:jc w:val="left"/>
        <w:rPr>
          <w:rFonts w:hint="default" w:ascii="Times New Roman" w:hAnsi="Times New Roman" w:cs="Times New Roman"/>
        </w:rPr>
      </w:pPr>
      <m:oMathPara>
        <m:oMath>
          <m:sSub>
            <m:sSubPr>
              <m:ctrlPr>
                <w:rPr>
                  <w:rFonts w:hint="default" w:ascii="Cambria Math" w:hAnsi="Cambria Math" w:eastAsia="sans-serif"/>
                  <w:sz w:val="24"/>
                </w:rPr>
              </m:ctrlPr>
            </m:sSubPr>
            <m:e>
              <m:r>
                <m:rPr>
                  <m:scr m:val="script"/>
                </m:rPr>
                <w:rPr>
                  <w:rFonts w:hint="default" w:ascii="Cambria Math" w:hAnsi="Cambria Math" w:eastAsia="MS Mincho"/>
                  <w:sz w:val="24"/>
                </w:rPr>
                <m:t>ℒ</m:t>
              </m:r>
              <m:ctrlPr>
                <w:rPr>
                  <w:rFonts w:ascii="Cambria Math" w:hAnsi="Cambria Math" w:eastAsia="sans-serif"/>
                  <w:sz w:val="24"/>
                </w:rPr>
              </m:ctrlPr>
            </m:e>
            <m:sub>
              <m:r>
                <m:rPr/>
                <w:rPr>
                  <w:rFonts w:hint="default" w:ascii="Cambria Math" w:hAnsi="Cambria Math" w:eastAsia="sans-serif"/>
                  <w:sz w:val="24"/>
                </w:rPr>
                <m:t>Total</m:t>
              </m:r>
              <m:ctrlPr>
                <w:rPr>
                  <w:rFonts w:ascii="Cambria Math" w:hAnsi="Cambria Math" w:eastAsia="sans-serif"/>
                  <w:sz w:val="24"/>
                </w:rPr>
              </m:ctrlPr>
            </m:sub>
          </m:sSub>
          <m:r>
            <m:rPr/>
            <w:rPr>
              <w:rFonts w:hint="default" w:ascii="Cambria Math" w:hAnsi="Cambria Math" w:eastAsia="sans-serif"/>
              <w:sz w:val="24"/>
            </w:rPr>
            <m:t>=0.3⋅</m:t>
          </m:r>
          <m:sSub>
            <m:sSubPr>
              <m:ctrlPr>
                <w:rPr>
                  <w:rFonts w:hint="default" w:ascii="Cambria Math" w:hAnsi="Cambria Math" w:eastAsia="sans-serif"/>
                  <w:sz w:val="24"/>
                </w:rPr>
              </m:ctrlPr>
            </m:sSubPr>
            <m:e>
              <m:r>
                <m:rPr>
                  <m:scr m:val="script"/>
                </m:rPr>
                <w:rPr>
                  <w:rFonts w:hint="default" w:ascii="Cambria Math" w:hAnsi="Cambria Math" w:eastAsia="MS Mincho"/>
                  <w:sz w:val="24"/>
                </w:rPr>
                <m:t>ℒ</m:t>
              </m:r>
              <m:ctrlPr>
                <w:rPr>
                  <w:rFonts w:ascii="Cambria Math" w:hAnsi="Cambria Math" w:eastAsia="sans-serif"/>
                  <w:sz w:val="24"/>
                </w:rPr>
              </m:ctrlPr>
            </m:e>
            <m:sub>
              <m:r>
                <m:rPr/>
                <w:rPr>
                  <w:rFonts w:hint="default" w:ascii="Cambria Math" w:hAnsi="Cambria Math" w:eastAsia="sans-serif"/>
                  <w:sz w:val="24"/>
                </w:rPr>
                <m:t>BCE</m:t>
              </m:r>
              <m:ctrlPr>
                <w:rPr>
                  <w:rFonts w:ascii="Cambria Math" w:hAnsi="Cambria Math" w:eastAsia="sans-serif"/>
                  <w:sz w:val="24"/>
                </w:rPr>
              </m:ctrlPr>
            </m:sub>
          </m:sSub>
          <m:r>
            <m:rPr/>
            <w:rPr>
              <w:rFonts w:hint="default" w:ascii="Cambria Math" w:hAnsi="Cambria Math" w:eastAsia="sans-serif"/>
              <w:sz w:val="24"/>
            </w:rPr>
            <m:t>+0.7⋅</m:t>
          </m:r>
          <m:sSub>
            <m:sSubPr>
              <m:ctrlPr>
                <w:rPr>
                  <w:rFonts w:hint="default" w:ascii="Cambria Math" w:hAnsi="Cambria Math" w:eastAsia="sans-serif"/>
                  <w:sz w:val="24"/>
                </w:rPr>
              </m:ctrlPr>
            </m:sSubPr>
            <m:e>
              <m:r>
                <m:rPr>
                  <m:scr m:val="script"/>
                </m:rPr>
                <w:rPr>
                  <w:rFonts w:hint="default" w:ascii="Cambria Math" w:hAnsi="Cambria Math" w:eastAsia="MS Mincho"/>
                  <w:sz w:val="24"/>
                </w:rPr>
                <m:t>ℒ</m:t>
              </m:r>
              <m:ctrlPr>
                <w:rPr>
                  <w:rFonts w:ascii="Cambria Math" w:hAnsi="Cambria Math" w:eastAsia="sans-serif"/>
                  <w:sz w:val="24"/>
                </w:rPr>
              </m:ctrlPr>
            </m:e>
            <m:sub>
              <m:r>
                <m:rPr/>
                <w:rPr>
                  <w:rFonts w:hint="default" w:ascii="Cambria Math" w:hAnsi="Cambria Math" w:eastAsia="sans-serif"/>
                  <w:sz w:val="24"/>
                </w:rPr>
                <m:t>Dice</m:t>
              </m:r>
              <m:ctrlPr>
                <w:rPr>
                  <w:rFonts w:ascii="Cambria Math" w:hAnsi="Cambria Math" w:eastAsia="sans-serif"/>
                  <w:sz w:val="24"/>
                </w:rPr>
              </m:ctrlPr>
            </m:sub>
          </m:sSub>
        </m:oMath>
      </m:oMathPara>
    </w:p>
    <w:p w14:paraId="2F76412A">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模型训练</w:t>
      </w:r>
    </w:p>
    <w:p w14:paraId="0748AE2D">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1. 训练环境与超参数设置</w:t>
      </w:r>
    </w:p>
    <w:p w14:paraId="2F8D4218">
      <w:pPr>
        <w:rPr>
          <w:rFonts w:hint="default"/>
        </w:rPr>
      </w:pPr>
      <w:r>
        <w:rPr>
          <w:rFonts w:hint="default"/>
        </w:rPr>
        <w:t>模型训练基于 PyTorch 深度学习框架，在</w:t>
      </w:r>
      <w:r>
        <w:rPr>
          <w:rFonts w:hint="eastAsia"/>
          <w:lang w:eastAsia="zh-CN"/>
        </w:rPr>
        <w:t>本地笔记本的</w:t>
      </w:r>
      <w:r>
        <w:rPr>
          <w:rFonts w:hint="eastAsia"/>
          <w:lang w:val="en-US" w:eastAsia="zh-CN"/>
        </w:rPr>
        <w:t>RTX4060上</w:t>
      </w:r>
      <w:r>
        <w:rPr>
          <w:rFonts w:hint="default"/>
        </w:rPr>
        <w:t xml:space="preserve">完成。为了使网络平稳且高效地收敛，实验经过参数调优，最终确定的训练超参数配置如下：优化器选用自适应矩估计优化器（Adam），其能为每个参数动态调整学习率，初始学习率设定为 </w:t>
      </w:r>
      <m:oMath>
        <m:r>
          <m:rPr/>
          <w:rPr>
            <w:rFonts w:hint="default" w:ascii="Cambria Math" w:hAnsi="Cambria Math"/>
            <w:sz w:val="24"/>
          </w:rPr>
          <m:t>1.0</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−4</m:t>
            </m:r>
            <m:ctrlPr>
              <w:rPr>
                <w:rFonts w:ascii="Cambria Math" w:hAnsi="Cambria Math"/>
                <w:sz w:val="24"/>
              </w:rPr>
            </m:ctrlPr>
          </m:sup>
        </m:sSup>
      </m:oMath>
      <w:r>
        <w:rPr>
          <w:rFonts w:hint="default"/>
        </w:rPr>
        <w:t>，并配合 ReduceLROnPlateau 动态调度器在损失平台期进行学习率折半惩罚；单次前向传播的批大小（Batch Size）设为 32；网络总计训练 150 个 Epoch，每个 Epoch 包含 125 次迭代（基于 4000 个虚拟 Patch 样本数与 32 的批大小计算得出）。训练过程中开启了验证监控，当单轮总损失低于历史最低损失时，实时触发权重保存机制，以确保捕获表现最优秀的 best_model.pth 模型权重。</w:t>
      </w:r>
    </w:p>
    <w:p w14:paraId="3C8F84FD">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2. 损失函数收敛过程分析</w:t>
      </w:r>
    </w:p>
    <w:p w14:paraId="583348AF">
      <w:pPr>
        <w:rPr>
          <w:rFonts w:hint="default"/>
          <w:lang w:val="en-US" w:eastAsia="zh-CN"/>
        </w:rPr>
      </w:pPr>
      <w:r>
        <w:rPr>
          <w:rFonts w:hint="eastAsia" w:cs="Times New Roman"/>
          <w:lang w:val="en-US" w:eastAsia="zh-CN"/>
        </w:rPr>
        <w:t>训练过程损失函数曲线如下图2所示。</w:t>
      </w:r>
    </w:p>
    <w:p w14:paraId="408357D7">
      <w:pPr>
        <w:ind w:left="0" w:leftChars="0" w:firstLine="0" w:firstLineChars="0"/>
        <w:rPr>
          <w:rFonts w:hint="default"/>
          <w:lang w:val="en-US" w:eastAsia="zh-CN"/>
        </w:rPr>
      </w:pPr>
      <w:r>
        <w:rPr>
          <w:rFonts w:hint="default"/>
          <w:lang w:val="en-US" w:eastAsia="zh-CN"/>
        </w:rPr>
        <w:drawing>
          <wp:inline distT="0" distB="0" distL="114300" distR="114300">
            <wp:extent cx="5756910" cy="3597910"/>
            <wp:effectExtent l="0" t="0" r="8890" b="8890"/>
            <wp:docPr id="7" name="图片 7"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ss_curve"/>
                    <pic:cNvPicPr>
                      <a:picLocks noChangeAspect="1"/>
                    </pic:cNvPicPr>
                  </pic:nvPicPr>
                  <pic:blipFill>
                    <a:blip r:embed="rId11"/>
                    <a:stretch>
                      <a:fillRect/>
                    </a:stretch>
                  </pic:blipFill>
                  <pic:spPr>
                    <a:xfrm>
                      <a:off x="0" y="0"/>
                      <a:ext cx="5756910" cy="3597910"/>
                    </a:xfrm>
                    <a:prstGeom prst="rect">
                      <a:avLst/>
                    </a:prstGeom>
                  </pic:spPr>
                </pic:pic>
              </a:graphicData>
            </a:graphic>
          </wp:inline>
        </w:drawing>
      </w:r>
    </w:p>
    <w:p w14:paraId="48A6C7EC">
      <w:pPr>
        <w:ind w:left="0" w:leftChars="0" w:firstLine="0" w:firstLineChars="0"/>
        <w:jc w:val="center"/>
        <w:rPr>
          <w:rFonts w:ascii="宋体" w:hAnsi="宋体" w:eastAsia="宋体" w:cs="宋体"/>
          <w:sz w:val="24"/>
          <w:szCs w:val="24"/>
        </w:rPr>
      </w:pPr>
      <w:r>
        <w:rPr>
          <w:rFonts w:hint="eastAsia"/>
          <w:lang w:val="en-US" w:eastAsia="zh-CN"/>
        </w:rPr>
        <w:t xml:space="preserve">图2 </w:t>
      </w:r>
      <w:r>
        <w:rPr>
          <w:rFonts w:ascii="宋体" w:hAnsi="宋体" w:eastAsia="宋体" w:cs="宋体"/>
          <w:sz w:val="24"/>
          <w:szCs w:val="24"/>
        </w:rPr>
        <w:t>训练损失函数下降曲线图</w:t>
      </w:r>
    </w:p>
    <w:p w14:paraId="08979DB0">
      <w:pPr>
        <w:bidi w:val="0"/>
        <w:rPr>
          <w:rFonts w:hint="default"/>
          <w:lang w:val="en-US" w:eastAsia="zh-CN"/>
        </w:rPr>
      </w:pPr>
      <w:r>
        <w:rPr>
          <w:rFonts w:hint="default"/>
          <w:lang w:val="en-US" w:eastAsia="zh-CN"/>
        </w:rPr>
        <w:t>在训练初期（第 1 至 30 个 Epoch），损失曲线呈现出急剧下降的态势，总损失值迅速从初期的较高水平降至较低区间。这一阶段表明，U-Net 的收敛路径和双卷积结构正在快速捕捉眼底图像中的强特征，尤其是主干粗血管的轮廓及大面积背景区域，在混合损失函数中 BCE 损失的支配下被迅速分类对齐。</w:t>
      </w:r>
    </w:p>
    <w:p w14:paraId="27A8B768">
      <w:pPr>
        <w:bidi w:val="0"/>
        <w:rPr>
          <w:rFonts w:hint="default"/>
          <w:lang w:val="en-US" w:eastAsia="zh-CN"/>
        </w:rPr>
      </w:pPr>
      <w:r>
        <w:rPr>
          <w:rFonts w:hint="default"/>
          <w:lang w:val="en-US" w:eastAsia="zh-CN"/>
        </w:rPr>
        <w:t xml:space="preserve">在训练中期（第 31 至 </w:t>
      </w:r>
      <w:r>
        <w:rPr>
          <w:rFonts w:hint="eastAsia"/>
          <w:lang w:val="en-US" w:eastAsia="zh-CN"/>
        </w:rPr>
        <w:t>11</w:t>
      </w:r>
      <w:r>
        <w:rPr>
          <w:rFonts w:hint="default"/>
          <w:lang w:val="en-US" w:eastAsia="zh-CN"/>
        </w:rPr>
        <w:t>0 个 Epoch），随着主要特征的捕获完成，曲线的下降斜率逐渐放缓，进入精细化调整阶段。此时，混合损失函数中的 Dice 损失开始发挥核心主导作用，网络开始克服类不平衡问题，对毛细血管的边缘、分支拓扑连接等稀疏细节进行像素级的反复微调。在此期间，动态学习率调度器根据损失平台的反馈进行了自适应衰减，使训练在局部波动的干扰下仍能维持稳步下降。</w:t>
      </w:r>
    </w:p>
    <w:p w14:paraId="59901BCB">
      <w:pPr>
        <w:bidi w:val="0"/>
        <w:rPr>
          <w:rFonts w:hint="default"/>
          <w:lang w:val="en-US" w:eastAsia="zh-CN"/>
        </w:rPr>
      </w:pPr>
      <w:r>
        <w:rPr>
          <w:rFonts w:hint="default"/>
          <w:lang w:val="en-US" w:eastAsia="zh-CN"/>
        </w:rPr>
        <w:t xml:space="preserve">在训练后期（第 </w:t>
      </w:r>
      <w:r>
        <w:rPr>
          <w:rFonts w:hint="eastAsia"/>
          <w:lang w:val="en-US" w:eastAsia="zh-CN"/>
        </w:rPr>
        <w:t>11</w:t>
      </w:r>
      <w:r>
        <w:rPr>
          <w:rFonts w:hint="default"/>
          <w:lang w:val="en-US" w:eastAsia="zh-CN"/>
        </w:rPr>
        <w:t xml:space="preserve">1 至 150 个 Epoch），总损失曲线趋于平缓，波动幅度显著减小，并最终在低位形成了一条稳定的水平渐近线，标志着模型已达到饱和收敛状态。在此阶段，最佳模型权重被锁定，网络没有出现明显的过拟合或梯度震荡迹象，表明 </w:t>
      </w:r>
      <m:oMath>
        <m:r>
          <m:rPr/>
          <w:rPr>
            <w:rFonts w:hint="default" w:ascii="Cambria Math" w:hAnsi="Cambria Math"/>
            <w:sz w:val="24"/>
          </w:rPr>
          <m:t>0.3⋅</m:t>
        </m:r>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BCE</m:t>
            </m:r>
            <m:ctrlPr>
              <w:rPr>
                <w:rFonts w:ascii="Cambria Math" w:hAnsi="Cambria Math"/>
                <w:sz w:val="24"/>
              </w:rPr>
            </m:ctrlPr>
          </m:sub>
        </m:sSub>
        <m:r>
          <m:rPr/>
          <w:rPr>
            <w:rFonts w:hint="default" w:ascii="Cambria Math" w:hAnsi="Cambria Math"/>
            <w:sz w:val="24"/>
          </w:rPr>
          <m:t>+0.7⋅</m:t>
        </m:r>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Dice</m:t>
            </m:r>
            <m:ctrlPr>
              <w:rPr>
                <w:rFonts w:ascii="Cambria Math" w:hAnsi="Cambria Math"/>
                <w:sz w:val="24"/>
              </w:rPr>
            </m:ctrlPr>
          </m:sub>
        </m:sSub>
      </m:oMath>
      <w:r>
        <w:rPr>
          <w:rFonts w:hint="default"/>
          <w:lang w:val="en-US" w:eastAsia="zh-CN"/>
        </w:rPr>
        <w:t xml:space="preserve"> 的权重设计成功引导网络在像素精确度与拓扑结构完整性之间取得了最佳平衡。</w:t>
      </w:r>
    </w:p>
    <w:p w14:paraId="40AD7E56">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实验结论与对比分析</w:t>
      </w:r>
    </w:p>
    <w:p w14:paraId="4C98B864">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1. 定量指标评估与分析</w:t>
      </w:r>
    </w:p>
    <w:p w14:paraId="76D6F8FB">
      <w:pPr>
        <w:bidi w:val="0"/>
        <w:rPr>
          <w:rFonts w:hint="eastAsia"/>
          <w:lang w:eastAsia="zh-CN"/>
        </w:rPr>
      </w:pPr>
      <w:r>
        <w:t>为了全面评估训练完成的 U-Net 模型在测试集上的分割泛化性能，实验对 DRIVE 数据集测试集的 20 张图像进行了像素级推断。依据医疗图像分割的严谨性标准，汇总全集像素得到的最终定量测试评估结果如表</w:t>
      </w:r>
      <w:r>
        <w:rPr>
          <w:rFonts w:hint="eastAsia"/>
          <w:lang w:val="en-US" w:eastAsia="zh-CN"/>
        </w:rPr>
        <w:t>1</w:t>
      </w:r>
      <w:r>
        <w:t>所示</w:t>
      </w:r>
      <w:r>
        <w:rPr>
          <w:rFonts w:hint="eastAsia"/>
          <w:lang w:eastAsia="zh-CN"/>
        </w:rPr>
        <w:t>。</w:t>
      </w:r>
    </w:p>
    <w:p w14:paraId="58A4DF40">
      <w:pPr>
        <w:bidi w:val="0"/>
        <w:ind w:left="0" w:leftChars="0" w:firstLine="0" w:firstLineChars="0"/>
        <w:jc w:val="center"/>
        <w:rPr>
          <w:rFonts w:hint="eastAsia"/>
          <w:lang w:val="en-US" w:eastAsia="zh-CN"/>
        </w:rPr>
      </w:pPr>
      <w:r>
        <w:rPr>
          <w:rFonts w:hint="eastAsia"/>
          <w:lang w:eastAsia="zh-CN"/>
        </w:rPr>
        <w:t>表</w:t>
      </w:r>
      <w:r>
        <w:rPr>
          <w:rFonts w:hint="eastAsia"/>
          <w:lang w:val="en-US" w:eastAsia="zh-CN"/>
        </w:rPr>
        <w:t>1 实验结果</w:t>
      </w:r>
    </w:p>
    <w:tbl>
      <w:tblPr>
        <w:tblStyle w:val="14"/>
        <w:tblW w:w="9287"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82"/>
        <w:gridCol w:w="1540"/>
        <w:gridCol w:w="5665"/>
      </w:tblGrid>
      <w:tr w14:paraId="0053B6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Header/>
          <w:tblCellSpacing w:w="15" w:type="dxa"/>
          <w:jc w:val="center"/>
        </w:trPr>
        <w:tc>
          <w:tcPr>
            <w:tcW w:w="2037" w:type="dxa"/>
            <w:tcBorders>
              <w:top w:val="single" w:color="156082" w:themeColor="accent1" w:sz="8" w:space="0"/>
              <w:left w:val="single" w:color="156082" w:themeColor="accent1" w:sz="8" w:space="0"/>
              <w:bottom w:val="single" w:color="156082" w:themeColor="accent1" w:sz="8" w:space="0"/>
              <w:right w:val="nil"/>
            </w:tcBorders>
            <w:shd w:val="clear" w:color="auto" w:fill="156082" w:themeFill="accent1"/>
            <w:tcMar>
              <w:top w:w="80" w:type="dxa"/>
              <w:left w:w="120" w:type="dxa"/>
              <w:bottom w:w="80" w:type="dxa"/>
              <w:right w:w="120" w:type="dxa"/>
            </w:tcMar>
            <w:vAlign w:val="center"/>
          </w:tcPr>
          <w:p w14:paraId="5F65B7C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FFFFFF"/>
                <w:sz w:val="21"/>
                <w:szCs w:val="21"/>
              </w:rPr>
            </w:pPr>
            <w:r>
              <w:rPr>
                <w:rStyle w:val="17"/>
                <w:rFonts w:hint="default" w:ascii="Times New Roman" w:hAnsi="Times New Roman" w:eastAsia="宋体" w:cs="Times New Roman"/>
                <w:b/>
                <w:i w:val="0"/>
                <w:color w:val="FFFFFF"/>
                <w:kern w:val="0"/>
                <w:sz w:val="21"/>
                <w:szCs w:val="21"/>
                <w:lang w:val="en-US" w:eastAsia="zh-CN" w:bidi="ar"/>
              </w:rPr>
              <w:t>评估指标</w:t>
            </w:r>
          </w:p>
        </w:tc>
        <w:tc>
          <w:tcPr>
            <w:tcW w:w="1510" w:type="dxa"/>
            <w:tcBorders>
              <w:top w:val="single" w:color="156082" w:themeColor="accent1" w:sz="8" w:space="0"/>
              <w:left w:val="nil"/>
              <w:bottom w:val="single" w:color="156082" w:themeColor="accent1" w:sz="8" w:space="0"/>
              <w:right w:val="nil"/>
            </w:tcBorders>
            <w:shd w:val="clear" w:color="auto" w:fill="156082" w:themeFill="accent1"/>
            <w:tcMar>
              <w:top w:w="80" w:type="dxa"/>
              <w:left w:w="120" w:type="dxa"/>
              <w:bottom w:w="80" w:type="dxa"/>
              <w:right w:w="120" w:type="dxa"/>
            </w:tcMar>
            <w:vAlign w:val="center"/>
          </w:tcPr>
          <w:p w14:paraId="36AF3843">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FFFFFF"/>
                <w:sz w:val="21"/>
                <w:szCs w:val="21"/>
              </w:rPr>
            </w:pPr>
            <w:r>
              <w:rPr>
                <w:rStyle w:val="17"/>
                <w:rFonts w:hint="default" w:ascii="Times New Roman" w:hAnsi="Times New Roman" w:eastAsia="宋体" w:cs="Times New Roman"/>
                <w:b/>
                <w:i w:val="0"/>
                <w:color w:val="FFFFFF"/>
                <w:kern w:val="0"/>
                <w:sz w:val="21"/>
                <w:szCs w:val="21"/>
                <w:lang w:val="en-US" w:eastAsia="zh-CN" w:bidi="ar"/>
              </w:rPr>
              <w:t>实验测得数值</w:t>
            </w:r>
          </w:p>
        </w:tc>
        <w:tc>
          <w:tcPr>
            <w:tcW w:w="5620" w:type="dxa"/>
            <w:tcBorders>
              <w:top w:val="single" w:color="156082" w:themeColor="accent1" w:sz="8" w:space="0"/>
              <w:left w:val="nil"/>
              <w:bottom w:val="single" w:color="156082" w:themeColor="accent1" w:sz="8" w:space="0"/>
              <w:right w:val="single" w:color="156082" w:themeColor="accent1" w:sz="8" w:space="0"/>
            </w:tcBorders>
            <w:shd w:val="clear" w:color="auto" w:fill="156082" w:themeFill="accent1"/>
            <w:tcMar>
              <w:top w:w="80" w:type="dxa"/>
              <w:left w:w="120" w:type="dxa"/>
              <w:bottom w:w="80" w:type="dxa"/>
              <w:right w:w="120" w:type="dxa"/>
            </w:tcMar>
            <w:vAlign w:val="center"/>
          </w:tcPr>
          <w:p w14:paraId="209AD377">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FFFFFF"/>
                <w:sz w:val="21"/>
                <w:szCs w:val="21"/>
              </w:rPr>
            </w:pPr>
            <w:r>
              <w:rPr>
                <w:rStyle w:val="17"/>
                <w:rFonts w:hint="default" w:ascii="Times New Roman" w:hAnsi="Times New Roman" w:eastAsia="宋体" w:cs="Times New Roman"/>
                <w:b/>
                <w:i w:val="0"/>
                <w:color w:val="FFFFFF"/>
                <w:kern w:val="0"/>
                <w:sz w:val="21"/>
                <w:szCs w:val="21"/>
                <w:lang w:val="en-US" w:eastAsia="zh-CN" w:bidi="ar"/>
              </w:rPr>
              <w:t>医疗图像分割临床参考意义</w:t>
            </w:r>
          </w:p>
        </w:tc>
      </w:tr>
      <w:tr w14:paraId="4FE604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single" w:color="156082" w:themeColor="accent1" w:sz="8" w:space="0"/>
              <w:left w:val="single" w:color="156082" w:themeColor="accent1" w:sz="8" w:space="0"/>
              <w:bottom w:val="nil"/>
              <w:right w:val="nil"/>
            </w:tcBorders>
            <w:shd w:val="clear" w:color="auto" w:fill="C2E5F5" w:themeFill="accent1" w:themeFillTint="32"/>
            <w:tcMar>
              <w:top w:w="80" w:type="dxa"/>
              <w:left w:w="120" w:type="dxa"/>
              <w:bottom w:w="80" w:type="dxa"/>
              <w:right w:w="120" w:type="dxa"/>
            </w:tcMar>
            <w:vAlign w:val="center"/>
          </w:tcPr>
          <w:p w14:paraId="1F470E38">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准确率 (Accuracy, ACC)</w:t>
            </w:r>
          </w:p>
        </w:tc>
        <w:tc>
          <w:tcPr>
            <w:tcW w:w="1510" w:type="dxa"/>
            <w:tcBorders>
              <w:top w:val="single" w:color="156082" w:themeColor="accent1" w:sz="8" w:space="0"/>
              <w:left w:val="nil"/>
              <w:bottom w:val="nil"/>
              <w:right w:val="nil"/>
            </w:tcBorders>
            <w:shd w:val="clear" w:color="auto" w:fill="FFFFFF"/>
            <w:tcMar>
              <w:top w:w="80" w:type="dxa"/>
              <w:left w:w="120" w:type="dxa"/>
              <w:bottom w:w="80" w:type="dxa"/>
              <w:right w:w="120" w:type="dxa"/>
            </w:tcMar>
            <w:vAlign w:val="center"/>
          </w:tcPr>
          <w:p w14:paraId="02A8717C">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94.00%</w:t>
            </w:r>
          </w:p>
        </w:tc>
        <w:tc>
          <w:tcPr>
            <w:tcW w:w="5620" w:type="dxa"/>
            <w:tcBorders>
              <w:top w:val="single" w:color="156082" w:themeColor="accent1" w:sz="8" w:space="0"/>
              <w:left w:val="nil"/>
              <w:bottom w:val="nil"/>
              <w:right w:val="single" w:color="156082" w:themeColor="accent1" w:sz="8" w:space="0"/>
            </w:tcBorders>
            <w:shd w:val="clear" w:color="auto" w:fill="FFFFFF"/>
            <w:tcMar>
              <w:top w:w="80" w:type="dxa"/>
              <w:left w:w="120" w:type="dxa"/>
              <w:bottom w:w="80" w:type="dxa"/>
              <w:right w:w="120" w:type="dxa"/>
            </w:tcMar>
            <w:vAlign w:val="center"/>
          </w:tcPr>
          <w:p w14:paraId="1414D7B0">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反映视场内全图像素（血管与背景）被正确分类的整体比例，94% 表明模型具备极高的整体判别稳定性。</w:t>
            </w:r>
          </w:p>
        </w:tc>
      </w:tr>
      <w:tr w14:paraId="105C61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nil"/>
              <w:left w:val="single" w:color="156082" w:themeColor="accent1" w:sz="8" w:space="0"/>
              <w:bottom w:val="nil"/>
              <w:right w:val="nil"/>
            </w:tcBorders>
            <w:shd w:val="clear" w:color="auto" w:fill="C2E5F5" w:themeFill="accent1" w:themeFillTint="32"/>
            <w:tcMar>
              <w:top w:w="80" w:type="dxa"/>
              <w:left w:w="120" w:type="dxa"/>
              <w:bottom w:w="80" w:type="dxa"/>
              <w:right w:w="120" w:type="dxa"/>
            </w:tcMar>
            <w:vAlign w:val="center"/>
          </w:tcPr>
          <w:p w14:paraId="32CC963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敏感度 (Sensitivity, SEN)</w:t>
            </w:r>
          </w:p>
        </w:tc>
        <w:tc>
          <w:tcPr>
            <w:tcW w:w="1510" w:type="dxa"/>
            <w:tcBorders>
              <w:top w:val="nil"/>
              <w:left w:val="nil"/>
              <w:bottom w:val="nil"/>
              <w:right w:val="nil"/>
            </w:tcBorders>
            <w:shd w:val="clear" w:color="auto" w:fill="FFFFFF"/>
            <w:tcMar>
              <w:top w:w="80" w:type="dxa"/>
              <w:left w:w="120" w:type="dxa"/>
              <w:bottom w:w="80" w:type="dxa"/>
              <w:right w:w="120" w:type="dxa"/>
            </w:tcMar>
            <w:vAlign w:val="center"/>
          </w:tcPr>
          <w:p w14:paraId="1F187175">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77.23%</w:t>
            </w:r>
          </w:p>
        </w:tc>
        <w:tc>
          <w:tcPr>
            <w:tcW w:w="5620" w:type="dxa"/>
            <w:tcBorders>
              <w:top w:val="nil"/>
              <w:left w:val="nil"/>
              <w:bottom w:val="nil"/>
              <w:right w:val="single" w:color="156082" w:themeColor="accent1" w:sz="8" w:space="0"/>
            </w:tcBorders>
            <w:shd w:val="clear" w:color="auto" w:fill="FFFFFF"/>
            <w:tcMar>
              <w:top w:w="80" w:type="dxa"/>
              <w:left w:w="120" w:type="dxa"/>
              <w:bottom w:w="80" w:type="dxa"/>
              <w:right w:w="120" w:type="dxa"/>
            </w:tcMar>
            <w:vAlign w:val="center"/>
          </w:tcPr>
          <w:p w14:paraId="7C70840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代表真正的血管像素被正确提取出来的比例。受限于微细血管和毛细血管分支的极度稀疏性，77.23% 说明模型对绝大多数主流血管有良好的捕捉能力。</w:t>
            </w:r>
          </w:p>
        </w:tc>
      </w:tr>
      <w:tr w14:paraId="540744D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CellSpacing w:w="15" w:type="dxa"/>
          <w:jc w:val="center"/>
        </w:trPr>
        <w:tc>
          <w:tcPr>
            <w:tcW w:w="2037" w:type="dxa"/>
            <w:tcBorders>
              <w:top w:val="nil"/>
              <w:left w:val="single" w:color="156082" w:themeColor="accent1" w:sz="8" w:space="0"/>
              <w:bottom w:val="nil"/>
              <w:right w:val="nil"/>
            </w:tcBorders>
            <w:shd w:val="clear" w:color="auto" w:fill="C2E5F5" w:themeFill="accent1" w:themeFillTint="32"/>
            <w:tcMar>
              <w:top w:w="80" w:type="dxa"/>
              <w:left w:w="120" w:type="dxa"/>
              <w:bottom w:w="80" w:type="dxa"/>
              <w:right w:w="120" w:type="dxa"/>
            </w:tcMar>
            <w:vAlign w:val="center"/>
          </w:tcPr>
          <w:p w14:paraId="642739C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特异性 (Specificity, SPE)</w:t>
            </w:r>
          </w:p>
        </w:tc>
        <w:tc>
          <w:tcPr>
            <w:tcW w:w="1510" w:type="dxa"/>
            <w:tcBorders>
              <w:top w:val="nil"/>
              <w:left w:val="nil"/>
              <w:bottom w:val="nil"/>
              <w:right w:val="nil"/>
            </w:tcBorders>
            <w:shd w:val="clear" w:color="auto" w:fill="FFFFFF"/>
            <w:tcMar>
              <w:top w:w="80" w:type="dxa"/>
              <w:left w:w="120" w:type="dxa"/>
              <w:bottom w:w="80" w:type="dxa"/>
              <w:right w:w="120" w:type="dxa"/>
            </w:tcMar>
            <w:vAlign w:val="center"/>
          </w:tcPr>
          <w:p w14:paraId="1FC9510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96.45%</w:t>
            </w:r>
          </w:p>
        </w:tc>
        <w:tc>
          <w:tcPr>
            <w:tcW w:w="5620" w:type="dxa"/>
            <w:tcBorders>
              <w:top w:val="nil"/>
              <w:left w:val="nil"/>
              <w:bottom w:val="nil"/>
              <w:right w:val="single" w:color="156082" w:themeColor="accent1" w:sz="8" w:space="0"/>
            </w:tcBorders>
            <w:shd w:val="clear" w:color="auto" w:fill="FFFFFF"/>
            <w:tcMar>
              <w:top w:w="80" w:type="dxa"/>
              <w:left w:w="120" w:type="dxa"/>
              <w:bottom w:w="80" w:type="dxa"/>
              <w:right w:w="120" w:type="dxa"/>
            </w:tcMar>
            <w:vAlign w:val="center"/>
          </w:tcPr>
          <w:p w14:paraId="0E6C2F31">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代表非血管背景区域被正确识别的比例</w:t>
            </w:r>
            <w:r>
              <w:rPr>
                <w:rFonts w:hint="eastAsia" w:cs="Times New Roman"/>
                <w:b w:val="0"/>
                <w:i w:val="0"/>
                <w:color w:val="000000"/>
                <w:kern w:val="0"/>
                <w:sz w:val="21"/>
                <w:szCs w:val="21"/>
                <w:lang w:val="en-US" w:eastAsia="zh-CN" w:bidi="ar"/>
              </w:rPr>
              <w:t>。</w:t>
            </w:r>
            <w:r>
              <w:rPr>
                <w:rFonts w:hint="default" w:ascii="Times New Roman" w:hAnsi="Times New Roman" w:eastAsia="宋体" w:cs="Times New Roman"/>
                <w:b w:val="0"/>
                <w:i w:val="0"/>
                <w:color w:val="000000"/>
                <w:kern w:val="0"/>
                <w:sz w:val="21"/>
                <w:szCs w:val="21"/>
                <w:lang w:val="en-US" w:eastAsia="zh-CN" w:bidi="ar"/>
              </w:rPr>
              <w:t>96.45% 的高水平表明模型对复杂眼底背景（如视盘、色素沉着等）有极强的抑制噪声能力，极少发生假阳性误判。</w:t>
            </w:r>
          </w:p>
        </w:tc>
      </w:tr>
      <w:tr w14:paraId="721A3E8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2037" w:type="dxa"/>
            <w:tcBorders>
              <w:top w:val="nil"/>
              <w:left w:val="single" w:color="156082" w:themeColor="accent1" w:sz="8" w:space="0"/>
              <w:bottom w:val="single" w:color="156082" w:themeColor="accent1" w:sz="8" w:space="0"/>
              <w:right w:val="nil"/>
            </w:tcBorders>
            <w:shd w:val="clear" w:color="auto" w:fill="C2E5F5" w:themeFill="accent1" w:themeFillTint="32"/>
            <w:tcMar>
              <w:top w:w="80" w:type="dxa"/>
              <w:left w:w="120" w:type="dxa"/>
              <w:bottom w:w="80" w:type="dxa"/>
              <w:right w:w="120" w:type="dxa"/>
            </w:tcMar>
            <w:vAlign w:val="center"/>
          </w:tcPr>
          <w:p w14:paraId="0ABD8A2F">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i w:val="0"/>
                <w:color w:val="08090C"/>
                <w:sz w:val="21"/>
                <w:szCs w:val="21"/>
              </w:rPr>
            </w:pPr>
            <w:r>
              <w:rPr>
                <w:rFonts w:hint="default" w:ascii="Times New Roman" w:hAnsi="Times New Roman" w:eastAsia="宋体" w:cs="Times New Roman"/>
                <w:b/>
                <w:bCs/>
                <w:i w:val="0"/>
                <w:color w:val="08090C"/>
                <w:kern w:val="0"/>
                <w:sz w:val="21"/>
                <w:szCs w:val="21"/>
                <w:lang w:val="en-US" w:eastAsia="zh-CN" w:bidi="ar"/>
              </w:rPr>
              <w:t>线下面积 (Area Under ROC, AUC)</w:t>
            </w:r>
          </w:p>
        </w:tc>
        <w:tc>
          <w:tcPr>
            <w:tcW w:w="1510" w:type="dxa"/>
            <w:tcBorders>
              <w:top w:val="nil"/>
              <w:left w:val="nil"/>
              <w:bottom w:val="single" w:color="156082" w:themeColor="accent1" w:sz="8" w:space="0"/>
              <w:right w:val="nil"/>
            </w:tcBorders>
            <w:shd w:val="clear" w:color="auto" w:fill="FFFFFF"/>
            <w:tcMar>
              <w:top w:w="80" w:type="dxa"/>
              <w:left w:w="120" w:type="dxa"/>
              <w:bottom w:w="80" w:type="dxa"/>
              <w:right w:w="120" w:type="dxa"/>
            </w:tcMar>
            <w:vAlign w:val="center"/>
          </w:tcPr>
          <w:p w14:paraId="39B1C352">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bCs/>
                <w:i w:val="0"/>
                <w:color w:val="000000"/>
                <w:kern w:val="0"/>
                <w:sz w:val="21"/>
                <w:szCs w:val="21"/>
                <w:lang w:val="en-US" w:eastAsia="zh-CN" w:bidi="ar"/>
              </w:rPr>
              <w:t>0.9606</w:t>
            </w:r>
          </w:p>
        </w:tc>
        <w:tc>
          <w:tcPr>
            <w:tcW w:w="5620" w:type="dxa"/>
            <w:tcBorders>
              <w:top w:val="nil"/>
              <w:left w:val="nil"/>
              <w:bottom w:val="single" w:color="156082" w:themeColor="accent1" w:sz="8" w:space="0"/>
              <w:right w:val="single" w:color="156082" w:themeColor="accent1" w:sz="8" w:space="0"/>
            </w:tcBorders>
            <w:shd w:val="clear" w:color="auto" w:fill="FFFFFF"/>
            <w:tcMar>
              <w:top w:w="80" w:type="dxa"/>
              <w:left w:w="120" w:type="dxa"/>
              <w:bottom w:w="80" w:type="dxa"/>
              <w:right w:w="120" w:type="dxa"/>
            </w:tcMar>
            <w:vAlign w:val="center"/>
          </w:tcPr>
          <w:p w14:paraId="35F6715A">
            <w:pPr>
              <w:keepNext w:val="0"/>
              <w:keepLines w:val="0"/>
              <w:widowControl/>
              <w:suppressLineNumbers w:val="0"/>
              <w:bidi w:val="0"/>
              <w:snapToGrid w:val="0"/>
              <w:spacing w:before="0" w:beforeAutospacing="0" w:after="0" w:afterAutospacing="0" w:line="240" w:lineRule="auto"/>
              <w:ind w:left="0" w:leftChars="0" w:right="0" w:rightChars="0" w:firstLine="0" w:firstLineChars="0"/>
              <w:jc w:val="left"/>
              <w:rPr>
                <w:rFonts w:hint="default" w:ascii="Times New Roman" w:hAnsi="Times New Roman" w:eastAsia="宋体" w:cs="Times New Roman"/>
                <w:b w:val="0"/>
                <w:i w:val="0"/>
                <w:color w:val="000000"/>
                <w:sz w:val="21"/>
                <w:szCs w:val="21"/>
              </w:rPr>
            </w:pPr>
            <w:r>
              <w:rPr>
                <w:rFonts w:hint="default" w:ascii="Times New Roman" w:hAnsi="Times New Roman" w:eastAsia="宋体" w:cs="Times New Roman"/>
                <w:b w:val="0"/>
                <w:i w:val="0"/>
                <w:color w:val="000000"/>
                <w:kern w:val="0"/>
                <w:sz w:val="21"/>
                <w:szCs w:val="21"/>
                <w:lang w:val="en-US" w:eastAsia="zh-CN" w:bidi="ar"/>
              </w:rPr>
              <w:t>综合衡量模型在所有潜在二值化阈值下的判别能力。AUC 超过 0.96 证明模型具备极为优秀的鲁棒性，具备高度学术可信度。</w:t>
            </w:r>
          </w:p>
        </w:tc>
      </w:tr>
    </w:tbl>
    <w:p w14:paraId="73635C1D">
      <w:pPr>
        <w:pStyle w:val="4"/>
        <w:bidi w:val="0"/>
      </w:pPr>
      <w:r>
        <w:t>2. ROC 曲线分析</w:t>
      </w:r>
    </w:p>
    <w:p w14:paraId="28749D85">
      <w:pPr>
        <w:bidi w:val="0"/>
        <w:rPr>
          <w:rFonts w:hint="eastAsia"/>
          <w:lang w:val="en-US" w:eastAsia="zh-CN"/>
        </w:rPr>
      </w:pPr>
      <w:r>
        <w:t>ROC 曲线通过动态改变二值化判别阈值，完整绘制了Sensitivity随1 - Specificity的变化轨迹。本实验汇总测试集生成的</w:t>
      </w:r>
      <w:r>
        <w:rPr>
          <w:rFonts w:hint="eastAsia"/>
          <w:lang w:eastAsia="zh-CN"/>
        </w:rPr>
        <w:t>结果如图</w:t>
      </w:r>
      <w:r>
        <w:rPr>
          <w:rFonts w:hint="eastAsia"/>
          <w:lang w:val="en-US" w:eastAsia="zh-CN"/>
        </w:rPr>
        <w:t>3所示。</w:t>
      </w:r>
    </w:p>
    <w:p w14:paraId="1D55E866">
      <w:pPr>
        <w:bidi w:val="0"/>
        <w:ind w:left="0" w:leftChars="0" w:firstLine="0" w:firstLineChars="0"/>
        <w:jc w:val="center"/>
        <w:rPr>
          <w:rFonts w:hint="eastAsia"/>
          <w:lang w:val="en-US" w:eastAsia="zh-CN"/>
        </w:rPr>
      </w:pPr>
      <w:r>
        <w:rPr>
          <w:rFonts w:hint="eastAsia"/>
          <w:lang w:val="en-US" w:eastAsia="zh-CN"/>
        </w:rPr>
        <w:drawing>
          <wp:inline distT="0" distB="0" distL="114300" distR="114300">
            <wp:extent cx="3878580" cy="3878580"/>
            <wp:effectExtent l="0" t="0" r="7620" b="7620"/>
            <wp:docPr id="8" name="图片 8" descr="roc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oc_curve"/>
                    <pic:cNvPicPr>
                      <a:picLocks noChangeAspect="1"/>
                    </pic:cNvPicPr>
                  </pic:nvPicPr>
                  <pic:blipFill>
                    <a:blip r:embed="rId12"/>
                    <a:stretch>
                      <a:fillRect/>
                    </a:stretch>
                  </pic:blipFill>
                  <pic:spPr>
                    <a:xfrm>
                      <a:off x="0" y="0"/>
                      <a:ext cx="3878580" cy="3878580"/>
                    </a:xfrm>
                    <a:prstGeom prst="rect">
                      <a:avLst/>
                    </a:prstGeom>
                  </pic:spPr>
                </pic:pic>
              </a:graphicData>
            </a:graphic>
          </wp:inline>
        </w:drawing>
      </w:r>
    </w:p>
    <w:p w14:paraId="4482E0E4">
      <w:pPr>
        <w:bidi w:val="0"/>
        <w:ind w:left="0" w:leftChars="0" w:firstLine="0" w:firstLineChars="0"/>
        <w:jc w:val="center"/>
        <w:rPr>
          <w:rFonts w:hint="default"/>
          <w:lang w:val="en-US" w:eastAsia="zh-CN"/>
        </w:rPr>
      </w:pPr>
      <w:r>
        <w:rPr>
          <w:rFonts w:hint="eastAsia"/>
          <w:lang w:val="en-US" w:eastAsia="zh-CN"/>
        </w:rPr>
        <w:t>图3 ROC曲线</w:t>
      </w:r>
    </w:p>
    <w:p w14:paraId="59FDCE83">
      <w:pPr>
        <w:bidi w:val="0"/>
      </w:pPr>
      <w:r>
        <w:t>呈现出显著向左上角趋近的平滑弧线，在较低的假正率水平下即可飙升至较高的真正率。曲线所包围的面积 AUC 达到 0.9606，从统计学角度定量证实了该 U-Net 网络对血管与非血管像素具有强大的辨别边界和区分能力，不仅在单一固定的 0.5 阈值下表现优异，在全阈值范围内同样具备极强的判别弹性。</w:t>
      </w:r>
    </w:p>
    <w:p w14:paraId="62E0A4D3">
      <w:pPr>
        <w:pStyle w:val="4"/>
        <w:bidi w:val="0"/>
        <w:rPr>
          <w:rFonts w:hint="eastAsia"/>
          <w:lang w:eastAsia="zh-CN"/>
        </w:rPr>
      </w:pPr>
      <w:r>
        <w:rPr>
          <w:rFonts w:hint="eastAsia"/>
          <w:lang w:val="en-US" w:eastAsia="zh-CN"/>
        </w:rPr>
        <w:t>3</w:t>
      </w:r>
      <w:r>
        <w:t xml:space="preserve">. </w:t>
      </w:r>
      <w:r>
        <w:rPr>
          <w:rFonts w:hint="eastAsia"/>
          <w:lang w:eastAsia="zh-CN"/>
        </w:rPr>
        <w:t>分割结果及与实验二对比</w:t>
      </w:r>
    </w:p>
    <w:p w14:paraId="078F8455">
      <w:pPr>
        <w:bidi w:val="0"/>
        <w:rPr>
          <w:rFonts w:hint="default"/>
          <w:lang w:val="en-US" w:eastAsia="zh-CN"/>
        </w:rPr>
      </w:pPr>
      <w:r>
        <w:rPr>
          <w:rFonts w:hint="eastAsia"/>
          <w:lang w:eastAsia="zh-CN"/>
        </w:rPr>
        <w:t>下图为部分本深度学习模型分割的对比图，完整版详见"\Task3\results"目录下。下附测试集</w:t>
      </w:r>
      <w:r>
        <w:rPr>
          <w:rFonts w:hint="eastAsia"/>
          <w:lang w:val="en-US" w:eastAsia="zh-CN"/>
        </w:rPr>
        <w:t>4,6,15的效果图。</w:t>
      </w:r>
    </w:p>
    <w:p w14:paraId="326F1ED1">
      <w:pPr>
        <w:bidi w:val="0"/>
        <w:ind w:left="0" w:leftChars="0" w:firstLine="0" w:firstLineChars="0"/>
        <w:rPr>
          <w:rFonts w:hint="default"/>
          <w:lang w:val="en-US" w:eastAsia="zh-CN"/>
        </w:rPr>
      </w:pPr>
      <w:r>
        <w:rPr>
          <w:rFonts w:hint="default"/>
          <w:lang w:val="en-US" w:eastAsia="zh-CN"/>
        </w:rPr>
        <w:drawing>
          <wp:inline distT="0" distB="0" distL="114300" distR="114300">
            <wp:extent cx="5749925" cy="1916430"/>
            <wp:effectExtent l="0" t="0" r="3175" b="1270"/>
            <wp:docPr id="14" name="图片 14" descr="04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4_compare"/>
                    <pic:cNvPicPr>
                      <a:picLocks noChangeAspect="1"/>
                    </pic:cNvPicPr>
                  </pic:nvPicPr>
                  <pic:blipFill>
                    <a:blip r:embed="rId13"/>
                    <a:stretch>
                      <a:fillRect/>
                    </a:stretch>
                  </pic:blipFill>
                  <pic:spPr>
                    <a:xfrm>
                      <a:off x="0" y="0"/>
                      <a:ext cx="5749925" cy="1916430"/>
                    </a:xfrm>
                    <a:prstGeom prst="rect">
                      <a:avLst/>
                    </a:prstGeom>
                  </pic:spPr>
                </pic:pic>
              </a:graphicData>
            </a:graphic>
          </wp:inline>
        </w:drawing>
      </w:r>
    </w:p>
    <w:p w14:paraId="585A4AF7">
      <w:pPr>
        <w:bidi w:val="0"/>
        <w:ind w:left="0" w:leftChars="0" w:firstLine="0" w:firstLineChars="0"/>
        <w:rPr>
          <w:rFonts w:hint="default"/>
          <w:lang w:val="en-US" w:eastAsia="zh-CN"/>
        </w:rPr>
      </w:pPr>
      <w:r>
        <w:rPr>
          <w:rFonts w:hint="default"/>
          <w:lang w:val="en-US" w:eastAsia="zh-CN"/>
        </w:rPr>
        <w:drawing>
          <wp:inline distT="0" distB="0" distL="114300" distR="114300">
            <wp:extent cx="5749925" cy="1916430"/>
            <wp:effectExtent l="0" t="0" r="3175" b="1270"/>
            <wp:docPr id="15" name="图片 15" descr="06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6_compare"/>
                    <pic:cNvPicPr>
                      <a:picLocks noChangeAspect="1"/>
                    </pic:cNvPicPr>
                  </pic:nvPicPr>
                  <pic:blipFill>
                    <a:blip r:embed="rId14"/>
                    <a:stretch>
                      <a:fillRect/>
                    </a:stretch>
                  </pic:blipFill>
                  <pic:spPr>
                    <a:xfrm>
                      <a:off x="0" y="0"/>
                      <a:ext cx="5749925" cy="1916430"/>
                    </a:xfrm>
                    <a:prstGeom prst="rect">
                      <a:avLst/>
                    </a:prstGeom>
                  </pic:spPr>
                </pic:pic>
              </a:graphicData>
            </a:graphic>
          </wp:inline>
        </w:drawing>
      </w:r>
    </w:p>
    <w:p w14:paraId="79255F77">
      <w:pPr>
        <w:bidi w:val="0"/>
        <w:ind w:left="0" w:leftChars="0" w:firstLine="0" w:firstLineChars="0"/>
        <w:rPr>
          <w:rFonts w:hint="default"/>
          <w:lang w:val="en-US" w:eastAsia="zh-CN"/>
        </w:rPr>
      </w:pPr>
      <w:r>
        <w:rPr>
          <w:rFonts w:hint="default"/>
          <w:lang w:val="en-US" w:eastAsia="zh-CN"/>
        </w:rPr>
        <w:drawing>
          <wp:inline distT="0" distB="0" distL="114300" distR="114300">
            <wp:extent cx="5749925" cy="1916430"/>
            <wp:effectExtent l="0" t="0" r="3175" b="1270"/>
            <wp:docPr id="16" name="图片 16" descr="15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5_compare"/>
                    <pic:cNvPicPr>
                      <a:picLocks noChangeAspect="1"/>
                    </pic:cNvPicPr>
                  </pic:nvPicPr>
                  <pic:blipFill>
                    <a:blip r:embed="rId15"/>
                    <a:stretch>
                      <a:fillRect/>
                    </a:stretch>
                  </pic:blipFill>
                  <pic:spPr>
                    <a:xfrm>
                      <a:off x="0" y="0"/>
                      <a:ext cx="5749925" cy="1916430"/>
                    </a:xfrm>
                    <a:prstGeom prst="rect">
                      <a:avLst/>
                    </a:prstGeom>
                  </pic:spPr>
                </pic:pic>
              </a:graphicData>
            </a:graphic>
          </wp:inline>
        </w:drawing>
      </w:r>
    </w:p>
    <w:p w14:paraId="69280A57">
      <w:pPr>
        <w:bidi w:val="0"/>
        <w:rPr>
          <w:rFonts w:hint="eastAsia"/>
          <w:lang w:val="en-US" w:eastAsia="zh-CN"/>
        </w:rPr>
      </w:pPr>
      <w:r>
        <w:rPr>
          <w:rFonts w:hint="eastAsia"/>
          <w:lang w:val="en-US" w:eastAsia="zh-CN"/>
        </w:rPr>
        <w:t>为了讨论深度学习模型与无监督方法的对比效果，下面两张图为测试集1的对比效果图。</w:t>
      </w:r>
    </w:p>
    <w:p w14:paraId="272423BB">
      <w:pPr>
        <w:bidi w:val="0"/>
        <w:ind w:left="0" w:leftChars="0" w:firstLine="0" w:firstLineChars="0"/>
        <w:rPr>
          <w:rFonts w:hint="eastAsia"/>
          <w:lang w:val="en-US" w:eastAsia="zh-CN"/>
        </w:rPr>
      </w:pPr>
      <w:r>
        <w:rPr>
          <w:rFonts w:hint="eastAsia"/>
          <w:lang w:val="en-US" w:eastAsia="zh-CN"/>
        </w:rPr>
        <w:drawing>
          <wp:inline distT="0" distB="0" distL="114300" distR="114300">
            <wp:extent cx="5749925" cy="1916430"/>
            <wp:effectExtent l="0" t="0" r="3175" b="1270"/>
            <wp:docPr id="18" name="图片 18" descr="01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1_compare"/>
                    <pic:cNvPicPr>
                      <a:picLocks noChangeAspect="1"/>
                    </pic:cNvPicPr>
                  </pic:nvPicPr>
                  <pic:blipFill>
                    <a:blip r:embed="rId16"/>
                    <a:stretch>
                      <a:fillRect/>
                    </a:stretch>
                  </pic:blipFill>
                  <pic:spPr>
                    <a:xfrm>
                      <a:off x="0" y="0"/>
                      <a:ext cx="5749925" cy="1916430"/>
                    </a:xfrm>
                    <a:prstGeom prst="rect">
                      <a:avLst/>
                    </a:prstGeom>
                  </pic:spPr>
                </pic:pic>
              </a:graphicData>
            </a:graphic>
          </wp:inline>
        </w:drawing>
      </w:r>
    </w:p>
    <w:p w14:paraId="02BCE529">
      <w:pPr>
        <w:bidi w:val="0"/>
        <w:ind w:left="0" w:leftChars="0" w:firstLine="0" w:firstLineChars="0"/>
        <w:jc w:val="center"/>
        <w:rPr>
          <w:rFonts w:hint="eastAsia"/>
          <w:lang w:val="en-US" w:eastAsia="zh-CN"/>
        </w:rPr>
      </w:pPr>
      <w:r>
        <w:rPr>
          <w:rFonts w:hint="eastAsia"/>
          <w:lang w:val="en-US" w:eastAsia="zh-CN"/>
        </w:rPr>
        <w:t>测试集1深度学习方法处理结果</w:t>
      </w:r>
    </w:p>
    <w:p w14:paraId="044ECB16">
      <w:pPr>
        <w:bidi w:val="0"/>
        <w:ind w:left="0" w:leftChars="0" w:firstLine="0" w:firstLineChars="0"/>
      </w:pPr>
      <w:r>
        <w:drawing>
          <wp:inline distT="0" distB="0" distL="114300" distR="114300">
            <wp:extent cx="5754370" cy="1653540"/>
            <wp:effectExtent l="0" t="0" r="11430" b="1016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7"/>
                    <a:stretch>
                      <a:fillRect/>
                    </a:stretch>
                  </pic:blipFill>
                  <pic:spPr>
                    <a:xfrm>
                      <a:off x="0" y="0"/>
                      <a:ext cx="5754370" cy="1653540"/>
                    </a:xfrm>
                    <a:prstGeom prst="rect">
                      <a:avLst/>
                    </a:prstGeom>
                    <a:noFill/>
                    <a:ln>
                      <a:noFill/>
                    </a:ln>
                  </pic:spPr>
                </pic:pic>
              </a:graphicData>
            </a:graphic>
          </wp:inline>
        </w:drawing>
      </w:r>
    </w:p>
    <w:p w14:paraId="27DDFB44">
      <w:pPr>
        <w:bidi w:val="0"/>
        <w:ind w:left="0" w:leftChars="0" w:firstLine="0" w:firstLineChars="0"/>
        <w:jc w:val="center"/>
        <w:rPr>
          <w:rFonts w:hint="eastAsia"/>
          <w:lang w:val="en-US" w:eastAsia="zh-CN"/>
        </w:rPr>
      </w:pPr>
      <w:r>
        <w:rPr>
          <w:rFonts w:hint="eastAsia"/>
          <w:lang w:eastAsia="zh-CN"/>
        </w:rPr>
        <w:t>测试集</w:t>
      </w:r>
      <w:r>
        <w:rPr>
          <w:rFonts w:hint="eastAsia"/>
          <w:lang w:val="en-US" w:eastAsia="zh-CN"/>
        </w:rPr>
        <w:t>1</w:t>
      </w:r>
      <w:r>
        <w:rPr>
          <w:rFonts w:hint="eastAsia"/>
          <w:lang w:eastAsia="zh-CN"/>
        </w:rPr>
        <w:t>无监督方法处理结果</w:t>
      </w:r>
    </w:p>
    <w:p w14:paraId="69ECCF21">
      <w:pPr>
        <w:bidi w:val="0"/>
        <w:rPr>
          <w:rFonts w:hint="eastAsia"/>
          <w:lang w:val="en-US" w:eastAsia="zh-CN"/>
        </w:rPr>
      </w:pPr>
      <w:r>
        <w:rPr>
          <w:rFonts w:hint="eastAsia"/>
          <w:lang w:val="en-US" w:eastAsia="zh-CN"/>
        </w:rPr>
        <w:t>可以发现，传统无监督图像处理方法完全依赖于人工设计的算子。在实际输出中，它们对主干粗血管具有一定的提取能力，但在噪声抑制和微细血管连接性上表现较差。由于没有先验知识的指导，图像中的眼底视盘边缘、病变渗出斑块以及视网膜边缘的强明暗过渡区域，极易被无监督方法错误地识别为血管。此外，由于毛细血管处的对比度微弱，传统算法常常无法跨越局部噪声，导致分割出的微细血管呈现严重的断续和碎裂状。</w:t>
      </w:r>
    </w:p>
    <w:p w14:paraId="4CC057C4">
      <w:pPr>
        <w:bidi w:val="0"/>
        <w:rPr>
          <w:rFonts w:hint="eastAsia"/>
          <w:lang w:val="en-US" w:eastAsia="zh-CN"/>
        </w:rPr>
      </w:pPr>
      <w:r>
        <w:rPr>
          <w:rFonts w:hint="eastAsia"/>
          <w:lang w:val="en-US" w:eastAsia="zh-CN"/>
        </w:rPr>
        <w:t>深度学习方法通过在大规模像素级标注上的端到端训练，学到了关于血管解剖学拓扑结构的深层高阶特征。在可视化结果中，U-Net 提取的血管不仅主干光滑完整，而且微细血管的延伸连续性显著优于传统方法。更重要的是，得益于对全局上下文信息的感知能力，U-Net 能够完美抑制高亮的视盘边缘和背景噪声，几乎不产生假阳性斑块，表现出极高的视觉洁净度。</w:t>
      </w:r>
    </w:p>
    <w:p w14:paraId="5EEFDF8D">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实验收获、体会</w:t>
      </w:r>
    </w:p>
    <w:p w14:paraId="0F8EA1B6">
      <w:pPr>
        <w:bidi w:val="0"/>
        <w:rPr>
          <w:rFonts w:hint="default"/>
          <w:lang w:val="en-US" w:eastAsia="zh-CN"/>
        </w:rPr>
      </w:pPr>
      <w:r>
        <w:rPr>
          <w:rFonts w:hint="default"/>
          <w:lang w:val="en-US" w:eastAsia="zh-CN"/>
        </w:rPr>
        <w:t>本实验成功构建并训练了一个基于经典 U-Net 架构的端到端深度学习网络，并在标准的测试集上实现了对眼底视网膜血管的高精度自动分割。</w:t>
      </w:r>
    </w:p>
    <w:p w14:paraId="4A6E8174">
      <w:pPr>
        <w:bidi w:val="0"/>
        <w:rPr>
          <w:rFonts w:hint="default"/>
          <w:lang w:val="en-US" w:eastAsia="zh-CN"/>
        </w:rPr>
      </w:pPr>
      <w:r>
        <w:rPr>
          <w:rFonts w:hint="default"/>
          <w:lang w:val="en-US" w:eastAsia="zh-CN"/>
        </w:rPr>
        <w:t>通过对 DRIVE 数据集的定量评估与定性视觉分析，可以得出以下核心结论：第一，深度学习模型在医疗图像分割任务中展现出了极高的判别准确性与临床可用性。本模型实现了 94.00% 的整体准确率（Accuracy） 以及 0.9606 的线下面积（AUC）。这表明网络对复杂眼底背景与血管网络之间具有极强的边界划分能力，证明了数据驱动的深度学习特征泛化方法在复杂医疗场景下的决定性优势。</w:t>
      </w:r>
    </w:p>
    <w:p w14:paraId="27F6C50C">
      <w:pPr>
        <w:bidi w:val="0"/>
        <w:rPr>
          <w:rFonts w:hint="default"/>
          <w:lang w:val="en-US" w:eastAsia="zh-CN"/>
        </w:rPr>
      </w:pPr>
      <w:r>
        <w:rPr>
          <w:rFonts w:hint="default"/>
          <w:lang w:val="en-US" w:eastAsia="zh-CN"/>
        </w:rPr>
        <w:t>第二，相比于传统无监督图像处理方法，本架构在噪声抑制与解剖学拓扑连接的保持上实现了跨越式提升。通过对比分析可见，模型能够完美消除高亮视盘边缘、病变渗出斑块以及外围黑框对血管的假阳性误判干扰，主干血管提取平滑完整，展现出了卓越的鲁棒性。</w:t>
      </w:r>
    </w:p>
    <w:sectPr>
      <w:type w:val="continuous"/>
      <w:pgSz w:w="11906" w:h="16838"/>
      <w:pgMar w:top="1701" w:right="1134" w:bottom="1418" w:left="1701" w:header="1134"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355C5">
    <w:pPr>
      <w:pStyle w:val="10"/>
      <w:pBdr>
        <w:top w:val="single" w:color="auto" w:sz="4" w:space="1"/>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25</w:t>
    </w:r>
    <w:r>
      <w:rPr>
        <w:rFonts w:ascii="Times New Roman" w:hAnsi="Times New Roman"/>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44758">
    <w:pPr>
      <w:pStyle w:val="10"/>
      <w:pBdr>
        <w:top w:val="single" w:color="auto" w:sz="4" w:space="1"/>
      </w:pBdr>
      <w:jc w:val="center"/>
      <w:rPr>
        <w:rFonts w:ascii="Times New Roman" w:hAnsi="Times New Roman"/>
        <w:sz w:val="21"/>
      </w:rPr>
    </w:pPr>
    <w:r>
      <w:rPr>
        <w:rFonts w:ascii="Times New Roman" w:hAnsi="Times New Roman"/>
        <w:sz w:val="21"/>
      </w:rPr>
      <w:fldChar w:fldCharType="begin"/>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33</w: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87B8">
    <w:pPr>
      <w:pStyle w:val="11"/>
      <w:textAlignment w:val="top"/>
      <w:rPr>
        <w:sz w:val="21"/>
        <w:szCs w:val="21"/>
      </w:rPr>
    </w:pPr>
    <w:r>
      <w:rPr>
        <w:rFonts w:hint="eastAsia"/>
        <w:sz w:val="21"/>
        <w:szCs w:val="21"/>
      </w:rPr>
      <w:drawing>
        <wp:inline distT="0" distB="0" distL="0" distR="0">
          <wp:extent cx="2117725" cy="3549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t="8923" b="10498"/>
                  <a:stretch>
                    <a:fillRect/>
                  </a:stretch>
                </pic:blipFill>
                <pic:spPr>
                  <a:xfrm>
                    <a:off x="0" y="0"/>
                    <a:ext cx="2117725" cy="35496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032BB4"/>
    <w:multiLevelType w:val="singleLevel"/>
    <w:tmpl w:val="EF032BB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yM2RiYWVkYjI0ZDBiYzIyZjRiNzM4NmNhNTk0MGEifQ=="/>
  </w:docVars>
  <w:rsids>
    <w:rsidRoot w:val="002A21CE"/>
    <w:rsid w:val="00000719"/>
    <w:rsid w:val="000007DD"/>
    <w:rsid w:val="00003680"/>
    <w:rsid w:val="00003794"/>
    <w:rsid w:val="000075E3"/>
    <w:rsid w:val="00010489"/>
    <w:rsid w:val="000113A3"/>
    <w:rsid w:val="00015990"/>
    <w:rsid w:val="00015B06"/>
    <w:rsid w:val="000162D7"/>
    <w:rsid w:val="00016C1B"/>
    <w:rsid w:val="00017772"/>
    <w:rsid w:val="0002109A"/>
    <w:rsid w:val="000231A4"/>
    <w:rsid w:val="00023F4B"/>
    <w:rsid w:val="000264FE"/>
    <w:rsid w:val="00031E3B"/>
    <w:rsid w:val="00031F48"/>
    <w:rsid w:val="00033DC0"/>
    <w:rsid w:val="00037729"/>
    <w:rsid w:val="000443A3"/>
    <w:rsid w:val="00044E38"/>
    <w:rsid w:val="00047D01"/>
    <w:rsid w:val="0005365D"/>
    <w:rsid w:val="000558B4"/>
    <w:rsid w:val="00056027"/>
    <w:rsid w:val="00057614"/>
    <w:rsid w:val="00057C2C"/>
    <w:rsid w:val="00062838"/>
    <w:rsid w:val="000648DE"/>
    <w:rsid w:val="000666C9"/>
    <w:rsid w:val="00072329"/>
    <w:rsid w:val="00074668"/>
    <w:rsid w:val="00076454"/>
    <w:rsid w:val="000776E4"/>
    <w:rsid w:val="0008270F"/>
    <w:rsid w:val="00082BA6"/>
    <w:rsid w:val="00082D85"/>
    <w:rsid w:val="00082F27"/>
    <w:rsid w:val="000841AA"/>
    <w:rsid w:val="00084B6E"/>
    <w:rsid w:val="0008597F"/>
    <w:rsid w:val="000979A2"/>
    <w:rsid w:val="000A183B"/>
    <w:rsid w:val="000A4ECC"/>
    <w:rsid w:val="000A6038"/>
    <w:rsid w:val="000B1450"/>
    <w:rsid w:val="000B1494"/>
    <w:rsid w:val="000B4204"/>
    <w:rsid w:val="000B669B"/>
    <w:rsid w:val="000B7A01"/>
    <w:rsid w:val="000C0E68"/>
    <w:rsid w:val="000C1366"/>
    <w:rsid w:val="000C4B70"/>
    <w:rsid w:val="000C78BC"/>
    <w:rsid w:val="000D00D5"/>
    <w:rsid w:val="000D110C"/>
    <w:rsid w:val="000D25BB"/>
    <w:rsid w:val="000D3467"/>
    <w:rsid w:val="000D4483"/>
    <w:rsid w:val="000D5B92"/>
    <w:rsid w:val="000E28A3"/>
    <w:rsid w:val="000E32AD"/>
    <w:rsid w:val="000E431E"/>
    <w:rsid w:val="000E603F"/>
    <w:rsid w:val="000F11F4"/>
    <w:rsid w:val="000F32E8"/>
    <w:rsid w:val="000F503D"/>
    <w:rsid w:val="000F6BCC"/>
    <w:rsid w:val="001008E5"/>
    <w:rsid w:val="001018DC"/>
    <w:rsid w:val="0010334B"/>
    <w:rsid w:val="001034B4"/>
    <w:rsid w:val="00103C7B"/>
    <w:rsid w:val="00104226"/>
    <w:rsid w:val="00104908"/>
    <w:rsid w:val="00110F5D"/>
    <w:rsid w:val="001135F1"/>
    <w:rsid w:val="00113CC7"/>
    <w:rsid w:val="001149CA"/>
    <w:rsid w:val="00115DA8"/>
    <w:rsid w:val="001162C7"/>
    <w:rsid w:val="00117E74"/>
    <w:rsid w:val="001201E6"/>
    <w:rsid w:val="001205A2"/>
    <w:rsid w:val="00122267"/>
    <w:rsid w:val="001222F9"/>
    <w:rsid w:val="00122551"/>
    <w:rsid w:val="001229BE"/>
    <w:rsid w:val="001253E0"/>
    <w:rsid w:val="001326CD"/>
    <w:rsid w:val="001328B9"/>
    <w:rsid w:val="00133B66"/>
    <w:rsid w:val="00133FE1"/>
    <w:rsid w:val="00136266"/>
    <w:rsid w:val="00140EE9"/>
    <w:rsid w:val="001451B8"/>
    <w:rsid w:val="001474B2"/>
    <w:rsid w:val="00153196"/>
    <w:rsid w:val="00153BAF"/>
    <w:rsid w:val="0015495B"/>
    <w:rsid w:val="00155378"/>
    <w:rsid w:val="00156CBA"/>
    <w:rsid w:val="0015721F"/>
    <w:rsid w:val="001603EB"/>
    <w:rsid w:val="00163F80"/>
    <w:rsid w:val="00167997"/>
    <w:rsid w:val="001704C8"/>
    <w:rsid w:val="00171F1D"/>
    <w:rsid w:val="00172E7B"/>
    <w:rsid w:val="00176BBF"/>
    <w:rsid w:val="001771DE"/>
    <w:rsid w:val="00177F97"/>
    <w:rsid w:val="00183903"/>
    <w:rsid w:val="00185129"/>
    <w:rsid w:val="00187273"/>
    <w:rsid w:val="00196529"/>
    <w:rsid w:val="00197615"/>
    <w:rsid w:val="00197FAB"/>
    <w:rsid w:val="001A16C4"/>
    <w:rsid w:val="001A28CA"/>
    <w:rsid w:val="001A6E01"/>
    <w:rsid w:val="001A7142"/>
    <w:rsid w:val="001B0970"/>
    <w:rsid w:val="001B6E7F"/>
    <w:rsid w:val="001C1EDC"/>
    <w:rsid w:val="001C2293"/>
    <w:rsid w:val="001C25B7"/>
    <w:rsid w:val="001C2B28"/>
    <w:rsid w:val="001C5A75"/>
    <w:rsid w:val="001D36E6"/>
    <w:rsid w:val="001D72C1"/>
    <w:rsid w:val="001E56E8"/>
    <w:rsid w:val="001E5BF4"/>
    <w:rsid w:val="001E6EAD"/>
    <w:rsid w:val="001E7C2B"/>
    <w:rsid w:val="001F35C2"/>
    <w:rsid w:val="001F4CA0"/>
    <w:rsid w:val="00200404"/>
    <w:rsid w:val="002048AD"/>
    <w:rsid w:val="002066C5"/>
    <w:rsid w:val="00211777"/>
    <w:rsid w:val="00211D6F"/>
    <w:rsid w:val="00215509"/>
    <w:rsid w:val="00215C78"/>
    <w:rsid w:val="00217AA3"/>
    <w:rsid w:val="0022192D"/>
    <w:rsid w:val="00222D11"/>
    <w:rsid w:val="00222DDD"/>
    <w:rsid w:val="00225656"/>
    <w:rsid w:val="00231723"/>
    <w:rsid w:val="00232D1C"/>
    <w:rsid w:val="00234A41"/>
    <w:rsid w:val="00236294"/>
    <w:rsid w:val="002372D6"/>
    <w:rsid w:val="002376DE"/>
    <w:rsid w:val="00242CF8"/>
    <w:rsid w:val="002433ED"/>
    <w:rsid w:val="00247CC3"/>
    <w:rsid w:val="002549E5"/>
    <w:rsid w:val="002569A3"/>
    <w:rsid w:val="00256DAF"/>
    <w:rsid w:val="00260CFC"/>
    <w:rsid w:val="00262967"/>
    <w:rsid w:val="002634ED"/>
    <w:rsid w:val="0026659F"/>
    <w:rsid w:val="0027308A"/>
    <w:rsid w:val="0027590B"/>
    <w:rsid w:val="002761CE"/>
    <w:rsid w:val="00276F96"/>
    <w:rsid w:val="002770E7"/>
    <w:rsid w:val="00277693"/>
    <w:rsid w:val="00277EDB"/>
    <w:rsid w:val="00285504"/>
    <w:rsid w:val="00287500"/>
    <w:rsid w:val="0029140C"/>
    <w:rsid w:val="00295E5D"/>
    <w:rsid w:val="00296E5C"/>
    <w:rsid w:val="002A008A"/>
    <w:rsid w:val="002A0EF6"/>
    <w:rsid w:val="002A1218"/>
    <w:rsid w:val="002A21CE"/>
    <w:rsid w:val="002A3665"/>
    <w:rsid w:val="002A577B"/>
    <w:rsid w:val="002B0C67"/>
    <w:rsid w:val="002B4917"/>
    <w:rsid w:val="002B4D92"/>
    <w:rsid w:val="002B5554"/>
    <w:rsid w:val="002C0B5F"/>
    <w:rsid w:val="002C28DA"/>
    <w:rsid w:val="002C3F7E"/>
    <w:rsid w:val="002C41D3"/>
    <w:rsid w:val="002C7282"/>
    <w:rsid w:val="002C7C31"/>
    <w:rsid w:val="002D029F"/>
    <w:rsid w:val="002D55EA"/>
    <w:rsid w:val="002D5D41"/>
    <w:rsid w:val="002E44EF"/>
    <w:rsid w:val="002E5FB8"/>
    <w:rsid w:val="002F311D"/>
    <w:rsid w:val="002F4807"/>
    <w:rsid w:val="002F7E90"/>
    <w:rsid w:val="00301F5F"/>
    <w:rsid w:val="00302174"/>
    <w:rsid w:val="00302C81"/>
    <w:rsid w:val="00302F05"/>
    <w:rsid w:val="0030462A"/>
    <w:rsid w:val="003050BB"/>
    <w:rsid w:val="003061D5"/>
    <w:rsid w:val="00306B3B"/>
    <w:rsid w:val="00307251"/>
    <w:rsid w:val="003126A0"/>
    <w:rsid w:val="0031549E"/>
    <w:rsid w:val="0031551D"/>
    <w:rsid w:val="00316D5B"/>
    <w:rsid w:val="00317C32"/>
    <w:rsid w:val="00317C8E"/>
    <w:rsid w:val="00321C7E"/>
    <w:rsid w:val="00322F66"/>
    <w:rsid w:val="003265F1"/>
    <w:rsid w:val="00331179"/>
    <w:rsid w:val="003328DB"/>
    <w:rsid w:val="0033313C"/>
    <w:rsid w:val="00335115"/>
    <w:rsid w:val="0033745B"/>
    <w:rsid w:val="00341F86"/>
    <w:rsid w:val="00342EDA"/>
    <w:rsid w:val="00344440"/>
    <w:rsid w:val="003500D2"/>
    <w:rsid w:val="00350899"/>
    <w:rsid w:val="00351202"/>
    <w:rsid w:val="00354EFE"/>
    <w:rsid w:val="00357D6C"/>
    <w:rsid w:val="00360737"/>
    <w:rsid w:val="003620B2"/>
    <w:rsid w:val="0036227E"/>
    <w:rsid w:val="00365C04"/>
    <w:rsid w:val="003672F5"/>
    <w:rsid w:val="00367C9C"/>
    <w:rsid w:val="00372872"/>
    <w:rsid w:val="00372AD3"/>
    <w:rsid w:val="00373206"/>
    <w:rsid w:val="00375273"/>
    <w:rsid w:val="0038136D"/>
    <w:rsid w:val="00381CC2"/>
    <w:rsid w:val="00381DD1"/>
    <w:rsid w:val="00383709"/>
    <w:rsid w:val="003837CD"/>
    <w:rsid w:val="00384ED1"/>
    <w:rsid w:val="00386D0B"/>
    <w:rsid w:val="00390EA0"/>
    <w:rsid w:val="00391472"/>
    <w:rsid w:val="00391A37"/>
    <w:rsid w:val="00392EE5"/>
    <w:rsid w:val="003958C7"/>
    <w:rsid w:val="00395B4B"/>
    <w:rsid w:val="00397261"/>
    <w:rsid w:val="003A291D"/>
    <w:rsid w:val="003A3398"/>
    <w:rsid w:val="003A33F3"/>
    <w:rsid w:val="003A609A"/>
    <w:rsid w:val="003A622A"/>
    <w:rsid w:val="003A71CA"/>
    <w:rsid w:val="003A72BC"/>
    <w:rsid w:val="003A7D06"/>
    <w:rsid w:val="003B508E"/>
    <w:rsid w:val="003C028D"/>
    <w:rsid w:val="003C1A5F"/>
    <w:rsid w:val="003C445B"/>
    <w:rsid w:val="003C6539"/>
    <w:rsid w:val="003D2487"/>
    <w:rsid w:val="003D5102"/>
    <w:rsid w:val="003D762A"/>
    <w:rsid w:val="003E276B"/>
    <w:rsid w:val="003E5458"/>
    <w:rsid w:val="003E5B02"/>
    <w:rsid w:val="003E5C0B"/>
    <w:rsid w:val="003E61AB"/>
    <w:rsid w:val="003E7226"/>
    <w:rsid w:val="003E7E3B"/>
    <w:rsid w:val="003F149B"/>
    <w:rsid w:val="003F1B1D"/>
    <w:rsid w:val="003F24B2"/>
    <w:rsid w:val="003F2F9F"/>
    <w:rsid w:val="003F34BA"/>
    <w:rsid w:val="003F49BF"/>
    <w:rsid w:val="003F65D9"/>
    <w:rsid w:val="004000C6"/>
    <w:rsid w:val="00401739"/>
    <w:rsid w:val="004030DD"/>
    <w:rsid w:val="00406724"/>
    <w:rsid w:val="00411CCC"/>
    <w:rsid w:val="00413FD8"/>
    <w:rsid w:val="004167D1"/>
    <w:rsid w:val="00417C5F"/>
    <w:rsid w:val="00420C8D"/>
    <w:rsid w:val="00430F6A"/>
    <w:rsid w:val="004326D1"/>
    <w:rsid w:val="00435C43"/>
    <w:rsid w:val="00437FD5"/>
    <w:rsid w:val="00442A40"/>
    <w:rsid w:val="0044440D"/>
    <w:rsid w:val="004447C6"/>
    <w:rsid w:val="00447305"/>
    <w:rsid w:val="00450AFE"/>
    <w:rsid w:val="004537AD"/>
    <w:rsid w:val="00454A0E"/>
    <w:rsid w:val="004553DD"/>
    <w:rsid w:val="004553E5"/>
    <w:rsid w:val="00456DCA"/>
    <w:rsid w:val="004572DA"/>
    <w:rsid w:val="00457A50"/>
    <w:rsid w:val="00460DDF"/>
    <w:rsid w:val="00462D2C"/>
    <w:rsid w:val="004655CA"/>
    <w:rsid w:val="00471C98"/>
    <w:rsid w:val="004727CC"/>
    <w:rsid w:val="00477F27"/>
    <w:rsid w:val="00481D9C"/>
    <w:rsid w:val="0048303A"/>
    <w:rsid w:val="00490076"/>
    <w:rsid w:val="00490973"/>
    <w:rsid w:val="0049098A"/>
    <w:rsid w:val="00490CE4"/>
    <w:rsid w:val="00494A66"/>
    <w:rsid w:val="004952BC"/>
    <w:rsid w:val="00495BB5"/>
    <w:rsid w:val="0049627A"/>
    <w:rsid w:val="004962F2"/>
    <w:rsid w:val="0049644E"/>
    <w:rsid w:val="00497081"/>
    <w:rsid w:val="004A2369"/>
    <w:rsid w:val="004A4AF0"/>
    <w:rsid w:val="004A7E31"/>
    <w:rsid w:val="004B0AD4"/>
    <w:rsid w:val="004B1018"/>
    <w:rsid w:val="004B1793"/>
    <w:rsid w:val="004B3D6C"/>
    <w:rsid w:val="004B3F64"/>
    <w:rsid w:val="004B4EDE"/>
    <w:rsid w:val="004B7C3B"/>
    <w:rsid w:val="004C0386"/>
    <w:rsid w:val="004C39B1"/>
    <w:rsid w:val="004C3B8E"/>
    <w:rsid w:val="004C454C"/>
    <w:rsid w:val="004C6550"/>
    <w:rsid w:val="004C6DD0"/>
    <w:rsid w:val="004C78B6"/>
    <w:rsid w:val="004D0FD2"/>
    <w:rsid w:val="004D142D"/>
    <w:rsid w:val="004D2A6F"/>
    <w:rsid w:val="004D3400"/>
    <w:rsid w:val="004D385D"/>
    <w:rsid w:val="004D5147"/>
    <w:rsid w:val="004D5853"/>
    <w:rsid w:val="004D61AC"/>
    <w:rsid w:val="004D7E11"/>
    <w:rsid w:val="004E058D"/>
    <w:rsid w:val="004E0FAE"/>
    <w:rsid w:val="004E10EE"/>
    <w:rsid w:val="004E14A5"/>
    <w:rsid w:val="004E59DF"/>
    <w:rsid w:val="004E5CCA"/>
    <w:rsid w:val="004E68CF"/>
    <w:rsid w:val="004E7DF8"/>
    <w:rsid w:val="004F1EAD"/>
    <w:rsid w:val="004F292F"/>
    <w:rsid w:val="004F2C21"/>
    <w:rsid w:val="004F40E8"/>
    <w:rsid w:val="004F4660"/>
    <w:rsid w:val="004F5141"/>
    <w:rsid w:val="004F5D2D"/>
    <w:rsid w:val="004F690A"/>
    <w:rsid w:val="004F76C8"/>
    <w:rsid w:val="00500959"/>
    <w:rsid w:val="00501DD5"/>
    <w:rsid w:val="0050232C"/>
    <w:rsid w:val="00503A68"/>
    <w:rsid w:val="005058BF"/>
    <w:rsid w:val="00506004"/>
    <w:rsid w:val="005066D6"/>
    <w:rsid w:val="00507957"/>
    <w:rsid w:val="0051106C"/>
    <w:rsid w:val="005124C6"/>
    <w:rsid w:val="00513905"/>
    <w:rsid w:val="00513B83"/>
    <w:rsid w:val="00513D16"/>
    <w:rsid w:val="00516AE3"/>
    <w:rsid w:val="005170CB"/>
    <w:rsid w:val="005202D9"/>
    <w:rsid w:val="00522890"/>
    <w:rsid w:val="00525EE3"/>
    <w:rsid w:val="00526CFF"/>
    <w:rsid w:val="00527018"/>
    <w:rsid w:val="005323C7"/>
    <w:rsid w:val="00533B6C"/>
    <w:rsid w:val="00534A03"/>
    <w:rsid w:val="005370E0"/>
    <w:rsid w:val="00537693"/>
    <w:rsid w:val="005420DE"/>
    <w:rsid w:val="00546875"/>
    <w:rsid w:val="005507DC"/>
    <w:rsid w:val="0055454E"/>
    <w:rsid w:val="00555A19"/>
    <w:rsid w:val="00560054"/>
    <w:rsid w:val="0056505C"/>
    <w:rsid w:val="00567002"/>
    <w:rsid w:val="00571D66"/>
    <w:rsid w:val="00573280"/>
    <w:rsid w:val="00573D08"/>
    <w:rsid w:val="005761F2"/>
    <w:rsid w:val="005773B7"/>
    <w:rsid w:val="00577CA9"/>
    <w:rsid w:val="00577FCE"/>
    <w:rsid w:val="00582BD6"/>
    <w:rsid w:val="00582F95"/>
    <w:rsid w:val="005908A7"/>
    <w:rsid w:val="0059294A"/>
    <w:rsid w:val="00594B21"/>
    <w:rsid w:val="005954F4"/>
    <w:rsid w:val="00596D91"/>
    <w:rsid w:val="005A02B3"/>
    <w:rsid w:val="005A1879"/>
    <w:rsid w:val="005A1A6A"/>
    <w:rsid w:val="005A391D"/>
    <w:rsid w:val="005A7FA1"/>
    <w:rsid w:val="005B0A1A"/>
    <w:rsid w:val="005B1BFC"/>
    <w:rsid w:val="005B4C85"/>
    <w:rsid w:val="005B6BC5"/>
    <w:rsid w:val="005B6CC2"/>
    <w:rsid w:val="005C334E"/>
    <w:rsid w:val="005C4628"/>
    <w:rsid w:val="005C74C6"/>
    <w:rsid w:val="005D0C7E"/>
    <w:rsid w:val="005D0F66"/>
    <w:rsid w:val="005D1ADC"/>
    <w:rsid w:val="005D313C"/>
    <w:rsid w:val="005D4747"/>
    <w:rsid w:val="005D5B56"/>
    <w:rsid w:val="005D67B6"/>
    <w:rsid w:val="005D7BD6"/>
    <w:rsid w:val="005E1AD2"/>
    <w:rsid w:val="005E286D"/>
    <w:rsid w:val="005F0190"/>
    <w:rsid w:val="005F0460"/>
    <w:rsid w:val="00600224"/>
    <w:rsid w:val="00600EFD"/>
    <w:rsid w:val="0060205D"/>
    <w:rsid w:val="00602A1B"/>
    <w:rsid w:val="00605F25"/>
    <w:rsid w:val="00610071"/>
    <w:rsid w:val="0061027B"/>
    <w:rsid w:val="00610594"/>
    <w:rsid w:val="00611F24"/>
    <w:rsid w:val="00612624"/>
    <w:rsid w:val="00614895"/>
    <w:rsid w:val="0061703F"/>
    <w:rsid w:val="00617554"/>
    <w:rsid w:val="0061794A"/>
    <w:rsid w:val="00620A01"/>
    <w:rsid w:val="00621B2E"/>
    <w:rsid w:val="0062253B"/>
    <w:rsid w:val="00622A55"/>
    <w:rsid w:val="0062529D"/>
    <w:rsid w:val="00626527"/>
    <w:rsid w:val="00630362"/>
    <w:rsid w:val="006305C9"/>
    <w:rsid w:val="00630813"/>
    <w:rsid w:val="00632EE8"/>
    <w:rsid w:val="00633AFD"/>
    <w:rsid w:val="006408AD"/>
    <w:rsid w:val="00644D74"/>
    <w:rsid w:val="00646131"/>
    <w:rsid w:val="0064618F"/>
    <w:rsid w:val="00653B3C"/>
    <w:rsid w:val="00654BC9"/>
    <w:rsid w:val="006569E4"/>
    <w:rsid w:val="00656B84"/>
    <w:rsid w:val="00660965"/>
    <w:rsid w:val="00663365"/>
    <w:rsid w:val="0066566A"/>
    <w:rsid w:val="006734C5"/>
    <w:rsid w:val="00674883"/>
    <w:rsid w:val="00682475"/>
    <w:rsid w:val="006857D2"/>
    <w:rsid w:val="00686C94"/>
    <w:rsid w:val="00687054"/>
    <w:rsid w:val="00691020"/>
    <w:rsid w:val="00692AFC"/>
    <w:rsid w:val="00695316"/>
    <w:rsid w:val="006957D0"/>
    <w:rsid w:val="00696950"/>
    <w:rsid w:val="00697B32"/>
    <w:rsid w:val="006A4723"/>
    <w:rsid w:val="006A47BA"/>
    <w:rsid w:val="006B176D"/>
    <w:rsid w:val="006B7372"/>
    <w:rsid w:val="006C04F8"/>
    <w:rsid w:val="006C213D"/>
    <w:rsid w:val="006C22F8"/>
    <w:rsid w:val="006C2507"/>
    <w:rsid w:val="006C4D32"/>
    <w:rsid w:val="006C540D"/>
    <w:rsid w:val="006C7A14"/>
    <w:rsid w:val="006D15E8"/>
    <w:rsid w:val="006D1F10"/>
    <w:rsid w:val="006D3D93"/>
    <w:rsid w:val="006D769C"/>
    <w:rsid w:val="006E2610"/>
    <w:rsid w:val="006E33B4"/>
    <w:rsid w:val="006E474E"/>
    <w:rsid w:val="006E4E6F"/>
    <w:rsid w:val="006E658D"/>
    <w:rsid w:val="006F003C"/>
    <w:rsid w:val="006F0190"/>
    <w:rsid w:val="006F0B81"/>
    <w:rsid w:val="006F0F59"/>
    <w:rsid w:val="006F479A"/>
    <w:rsid w:val="006F522D"/>
    <w:rsid w:val="006F70E1"/>
    <w:rsid w:val="007000E1"/>
    <w:rsid w:val="007000FF"/>
    <w:rsid w:val="007015CC"/>
    <w:rsid w:val="00706FC8"/>
    <w:rsid w:val="00707452"/>
    <w:rsid w:val="00711570"/>
    <w:rsid w:val="00711E24"/>
    <w:rsid w:val="0071302E"/>
    <w:rsid w:val="0071330C"/>
    <w:rsid w:val="00714587"/>
    <w:rsid w:val="0071508B"/>
    <w:rsid w:val="00715A44"/>
    <w:rsid w:val="00721652"/>
    <w:rsid w:val="007251B8"/>
    <w:rsid w:val="007265F7"/>
    <w:rsid w:val="00727029"/>
    <w:rsid w:val="0072777F"/>
    <w:rsid w:val="00731AA6"/>
    <w:rsid w:val="00731BAF"/>
    <w:rsid w:val="00731D95"/>
    <w:rsid w:val="0073273E"/>
    <w:rsid w:val="00733951"/>
    <w:rsid w:val="00736463"/>
    <w:rsid w:val="00744E15"/>
    <w:rsid w:val="007450D6"/>
    <w:rsid w:val="00751680"/>
    <w:rsid w:val="00751931"/>
    <w:rsid w:val="00755E59"/>
    <w:rsid w:val="00757BD3"/>
    <w:rsid w:val="00761564"/>
    <w:rsid w:val="00761B11"/>
    <w:rsid w:val="0076332A"/>
    <w:rsid w:val="007648E1"/>
    <w:rsid w:val="00764A6B"/>
    <w:rsid w:val="00765379"/>
    <w:rsid w:val="007655B5"/>
    <w:rsid w:val="00765606"/>
    <w:rsid w:val="00766071"/>
    <w:rsid w:val="0076649B"/>
    <w:rsid w:val="00766DBF"/>
    <w:rsid w:val="00771CF2"/>
    <w:rsid w:val="00771DB6"/>
    <w:rsid w:val="00772142"/>
    <w:rsid w:val="007722AE"/>
    <w:rsid w:val="007756BD"/>
    <w:rsid w:val="00780C70"/>
    <w:rsid w:val="00783608"/>
    <w:rsid w:val="007847FA"/>
    <w:rsid w:val="00786D2E"/>
    <w:rsid w:val="007872FF"/>
    <w:rsid w:val="007875F0"/>
    <w:rsid w:val="0079164C"/>
    <w:rsid w:val="007A2F77"/>
    <w:rsid w:val="007A3621"/>
    <w:rsid w:val="007A45FF"/>
    <w:rsid w:val="007A5F24"/>
    <w:rsid w:val="007A6A23"/>
    <w:rsid w:val="007B0563"/>
    <w:rsid w:val="007B27B4"/>
    <w:rsid w:val="007B5D60"/>
    <w:rsid w:val="007C238E"/>
    <w:rsid w:val="007C29C6"/>
    <w:rsid w:val="007C2EF2"/>
    <w:rsid w:val="007C31F2"/>
    <w:rsid w:val="007C44DD"/>
    <w:rsid w:val="007C45EC"/>
    <w:rsid w:val="007C6B3C"/>
    <w:rsid w:val="007D035E"/>
    <w:rsid w:val="007D1704"/>
    <w:rsid w:val="007D60CA"/>
    <w:rsid w:val="007D61B3"/>
    <w:rsid w:val="007E13EB"/>
    <w:rsid w:val="007E3D77"/>
    <w:rsid w:val="007E41EA"/>
    <w:rsid w:val="007E48FC"/>
    <w:rsid w:val="007E5022"/>
    <w:rsid w:val="007E6F92"/>
    <w:rsid w:val="007F0588"/>
    <w:rsid w:val="007F2F27"/>
    <w:rsid w:val="007F366C"/>
    <w:rsid w:val="007F53AD"/>
    <w:rsid w:val="007F7E32"/>
    <w:rsid w:val="0080002C"/>
    <w:rsid w:val="008000F3"/>
    <w:rsid w:val="00800F5C"/>
    <w:rsid w:val="00801328"/>
    <w:rsid w:val="008049F8"/>
    <w:rsid w:val="00806011"/>
    <w:rsid w:val="00812C02"/>
    <w:rsid w:val="00822F66"/>
    <w:rsid w:val="0082491A"/>
    <w:rsid w:val="00825945"/>
    <w:rsid w:val="00830C10"/>
    <w:rsid w:val="00831E85"/>
    <w:rsid w:val="0083411E"/>
    <w:rsid w:val="00835251"/>
    <w:rsid w:val="00835A31"/>
    <w:rsid w:val="008427D0"/>
    <w:rsid w:val="0084674E"/>
    <w:rsid w:val="0084777F"/>
    <w:rsid w:val="00847EC9"/>
    <w:rsid w:val="00855228"/>
    <w:rsid w:val="0085701C"/>
    <w:rsid w:val="00860059"/>
    <w:rsid w:val="00862AF0"/>
    <w:rsid w:val="00867743"/>
    <w:rsid w:val="008712D3"/>
    <w:rsid w:val="008715BC"/>
    <w:rsid w:val="00872D80"/>
    <w:rsid w:val="00874385"/>
    <w:rsid w:val="00874860"/>
    <w:rsid w:val="00874D42"/>
    <w:rsid w:val="00875EE6"/>
    <w:rsid w:val="0087659A"/>
    <w:rsid w:val="008773A5"/>
    <w:rsid w:val="00885A76"/>
    <w:rsid w:val="00894F60"/>
    <w:rsid w:val="00897E8B"/>
    <w:rsid w:val="008A3246"/>
    <w:rsid w:val="008A7DF0"/>
    <w:rsid w:val="008B0C1D"/>
    <w:rsid w:val="008B61B6"/>
    <w:rsid w:val="008B716E"/>
    <w:rsid w:val="008C16D2"/>
    <w:rsid w:val="008C222D"/>
    <w:rsid w:val="008C23E5"/>
    <w:rsid w:val="008C3E4E"/>
    <w:rsid w:val="008C7084"/>
    <w:rsid w:val="008D1BCE"/>
    <w:rsid w:val="008D3745"/>
    <w:rsid w:val="008E07B6"/>
    <w:rsid w:val="008E185D"/>
    <w:rsid w:val="008E385D"/>
    <w:rsid w:val="008E3B2B"/>
    <w:rsid w:val="008E64AC"/>
    <w:rsid w:val="008E74BB"/>
    <w:rsid w:val="008F0912"/>
    <w:rsid w:val="008F3BC2"/>
    <w:rsid w:val="008F5BB6"/>
    <w:rsid w:val="00901B26"/>
    <w:rsid w:val="00907067"/>
    <w:rsid w:val="00910D1F"/>
    <w:rsid w:val="00912C79"/>
    <w:rsid w:val="0091451B"/>
    <w:rsid w:val="00915101"/>
    <w:rsid w:val="00916016"/>
    <w:rsid w:val="00921603"/>
    <w:rsid w:val="009224EB"/>
    <w:rsid w:val="00923137"/>
    <w:rsid w:val="0092550F"/>
    <w:rsid w:val="00927BEA"/>
    <w:rsid w:val="00931664"/>
    <w:rsid w:val="00932BF7"/>
    <w:rsid w:val="009408DB"/>
    <w:rsid w:val="0094166F"/>
    <w:rsid w:val="009423B2"/>
    <w:rsid w:val="00944682"/>
    <w:rsid w:val="00944E9C"/>
    <w:rsid w:val="009475AF"/>
    <w:rsid w:val="009511ED"/>
    <w:rsid w:val="00951526"/>
    <w:rsid w:val="00951E43"/>
    <w:rsid w:val="0095371C"/>
    <w:rsid w:val="009544D3"/>
    <w:rsid w:val="009569EA"/>
    <w:rsid w:val="00957805"/>
    <w:rsid w:val="0096001F"/>
    <w:rsid w:val="009602D7"/>
    <w:rsid w:val="0096344C"/>
    <w:rsid w:val="00963A8D"/>
    <w:rsid w:val="00964C02"/>
    <w:rsid w:val="0096746B"/>
    <w:rsid w:val="00967812"/>
    <w:rsid w:val="00967F55"/>
    <w:rsid w:val="0097243E"/>
    <w:rsid w:val="009731D7"/>
    <w:rsid w:val="0097323E"/>
    <w:rsid w:val="00976034"/>
    <w:rsid w:val="009767E1"/>
    <w:rsid w:val="00977AC6"/>
    <w:rsid w:val="00980032"/>
    <w:rsid w:val="00980142"/>
    <w:rsid w:val="0098090E"/>
    <w:rsid w:val="00981038"/>
    <w:rsid w:val="0098204A"/>
    <w:rsid w:val="00983353"/>
    <w:rsid w:val="0098446B"/>
    <w:rsid w:val="00985286"/>
    <w:rsid w:val="00985431"/>
    <w:rsid w:val="009901B7"/>
    <w:rsid w:val="00992451"/>
    <w:rsid w:val="009977E2"/>
    <w:rsid w:val="009A5997"/>
    <w:rsid w:val="009A627A"/>
    <w:rsid w:val="009B1200"/>
    <w:rsid w:val="009B28A3"/>
    <w:rsid w:val="009B28A9"/>
    <w:rsid w:val="009B396E"/>
    <w:rsid w:val="009B6171"/>
    <w:rsid w:val="009B7DB0"/>
    <w:rsid w:val="009C0F84"/>
    <w:rsid w:val="009C1DB6"/>
    <w:rsid w:val="009C21DD"/>
    <w:rsid w:val="009C2E77"/>
    <w:rsid w:val="009C3086"/>
    <w:rsid w:val="009C50E9"/>
    <w:rsid w:val="009C65ED"/>
    <w:rsid w:val="009D03F5"/>
    <w:rsid w:val="009D040F"/>
    <w:rsid w:val="009D2791"/>
    <w:rsid w:val="009D3792"/>
    <w:rsid w:val="009D38BE"/>
    <w:rsid w:val="009D410C"/>
    <w:rsid w:val="009D5112"/>
    <w:rsid w:val="009D71C7"/>
    <w:rsid w:val="009E20E5"/>
    <w:rsid w:val="009E42B6"/>
    <w:rsid w:val="009E5327"/>
    <w:rsid w:val="009E640D"/>
    <w:rsid w:val="009E66BB"/>
    <w:rsid w:val="009E769B"/>
    <w:rsid w:val="009F1668"/>
    <w:rsid w:val="009F26BD"/>
    <w:rsid w:val="009F36D6"/>
    <w:rsid w:val="009F470D"/>
    <w:rsid w:val="009F4CF5"/>
    <w:rsid w:val="00A01E4D"/>
    <w:rsid w:val="00A01F57"/>
    <w:rsid w:val="00A041CC"/>
    <w:rsid w:val="00A042E3"/>
    <w:rsid w:val="00A053E5"/>
    <w:rsid w:val="00A06D0B"/>
    <w:rsid w:val="00A13DB8"/>
    <w:rsid w:val="00A14126"/>
    <w:rsid w:val="00A20AED"/>
    <w:rsid w:val="00A21B71"/>
    <w:rsid w:val="00A21CDE"/>
    <w:rsid w:val="00A26BFE"/>
    <w:rsid w:val="00A27247"/>
    <w:rsid w:val="00A30A12"/>
    <w:rsid w:val="00A32636"/>
    <w:rsid w:val="00A33620"/>
    <w:rsid w:val="00A33689"/>
    <w:rsid w:val="00A3415C"/>
    <w:rsid w:val="00A357C5"/>
    <w:rsid w:val="00A36C95"/>
    <w:rsid w:val="00A37662"/>
    <w:rsid w:val="00A41051"/>
    <w:rsid w:val="00A44AF4"/>
    <w:rsid w:val="00A44CED"/>
    <w:rsid w:val="00A45043"/>
    <w:rsid w:val="00A450C1"/>
    <w:rsid w:val="00A462A3"/>
    <w:rsid w:val="00A54232"/>
    <w:rsid w:val="00A56F73"/>
    <w:rsid w:val="00A57748"/>
    <w:rsid w:val="00A6422F"/>
    <w:rsid w:val="00A65141"/>
    <w:rsid w:val="00A65998"/>
    <w:rsid w:val="00A6718F"/>
    <w:rsid w:val="00A72D52"/>
    <w:rsid w:val="00A72E1A"/>
    <w:rsid w:val="00A75445"/>
    <w:rsid w:val="00A759D1"/>
    <w:rsid w:val="00A75D33"/>
    <w:rsid w:val="00A772A3"/>
    <w:rsid w:val="00A809AF"/>
    <w:rsid w:val="00A82BCD"/>
    <w:rsid w:val="00A85794"/>
    <w:rsid w:val="00A85F8D"/>
    <w:rsid w:val="00A87BD7"/>
    <w:rsid w:val="00A9154E"/>
    <w:rsid w:val="00A9426A"/>
    <w:rsid w:val="00A9467C"/>
    <w:rsid w:val="00AA1423"/>
    <w:rsid w:val="00AA19EC"/>
    <w:rsid w:val="00AA24E9"/>
    <w:rsid w:val="00AA4221"/>
    <w:rsid w:val="00AB0FE2"/>
    <w:rsid w:val="00AB11C2"/>
    <w:rsid w:val="00AB242B"/>
    <w:rsid w:val="00AB61A6"/>
    <w:rsid w:val="00AB6FD2"/>
    <w:rsid w:val="00AB7596"/>
    <w:rsid w:val="00AC0B99"/>
    <w:rsid w:val="00AC25FE"/>
    <w:rsid w:val="00AC2613"/>
    <w:rsid w:val="00AC3B05"/>
    <w:rsid w:val="00AC7AA9"/>
    <w:rsid w:val="00AC7FA7"/>
    <w:rsid w:val="00AD1109"/>
    <w:rsid w:val="00AD26DD"/>
    <w:rsid w:val="00AD3CCB"/>
    <w:rsid w:val="00AD40AC"/>
    <w:rsid w:val="00AD4887"/>
    <w:rsid w:val="00AD4EE6"/>
    <w:rsid w:val="00AD58B0"/>
    <w:rsid w:val="00AD6A5C"/>
    <w:rsid w:val="00AE1231"/>
    <w:rsid w:val="00AE16B1"/>
    <w:rsid w:val="00AE19AA"/>
    <w:rsid w:val="00AE23EF"/>
    <w:rsid w:val="00AE4B19"/>
    <w:rsid w:val="00AE6268"/>
    <w:rsid w:val="00AE7C5D"/>
    <w:rsid w:val="00AE7FA9"/>
    <w:rsid w:val="00AF6334"/>
    <w:rsid w:val="00B04029"/>
    <w:rsid w:val="00B0535A"/>
    <w:rsid w:val="00B10D60"/>
    <w:rsid w:val="00B14EB9"/>
    <w:rsid w:val="00B21111"/>
    <w:rsid w:val="00B21543"/>
    <w:rsid w:val="00B215E7"/>
    <w:rsid w:val="00B21BE7"/>
    <w:rsid w:val="00B3102E"/>
    <w:rsid w:val="00B3103A"/>
    <w:rsid w:val="00B31085"/>
    <w:rsid w:val="00B3143B"/>
    <w:rsid w:val="00B34B21"/>
    <w:rsid w:val="00B3705F"/>
    <w:rsid w:val="00B415F0"/>
    <w:rsid w:val="00B42849"/>
    <w:rsid w:val="00B42E0B"/>
    <w:rsid w:val="00B47CED"/>
    <w:rsid w:val="00B53B60"/>
    <w:rsid w:val="00B54035"/>
    <w:rsid w:val="00B55AB2"/>
    <w:rsid w:val="00B55EE3"/>
    <w:rsid w:val="00B57876"/>
    <w:rsid w:val="00B66F67"/>
    <w:rsid w:val="00B66FA0"/>
    <w:rsid w:val="00B70545"/>
    <w:rsid w:val="00B71560"/>
    <w:rsid w:val="00B750BB"/>
    <w:rsid w:val="00B77350"/>
    <w:rsid w:val="00B81273"/>
    <w:rsid w:val="00B83D67"/>
    <w:rsid w:val="00B83D96"/>
    <w:rsid w:val="00B84BBB"/>
    <w:rsid w:val="00B860B2"/>
    <w:rsid w:val="00B862DA"/>
    <w:rsid w:val="00B92BB5"/>
    <w:rsid w:val="00B94D81"/>
    <w:rsid w:val="00B956C7"/>
    <w:rsid w:val="00B966A2"/>
    <w:rsid w:val="00BA1A18"/>
    <w:rsid w:val="00BA1EC8"/>
    <w:rsid w:val="00BA318A"/>
    <w:rsid w:val="00BA33F6"/>
    <w:rsid w:val="00BA4FEF"/>
    <w:rsid w:val="00BA5554"/>
    <w:rsid w:val="00BB0060"/>
    <w:rsid w:val="00BB07DB"/>
    <w:rsid w:val="00BB461B"/>
    <w:rsid w:val="00BB69AD"/>
    <w:rsid w:val="00BB7BD7"/>
    <w:rsid w:val="00BC1627"/>
    <w:rsid w:val="00BC1A9D"/>
    <w:rsid w:val="00BC3AF4"/>
    <w:rsid w:val="00BC4D23"/>
    <w:rsid w:val="00BC5FF0"/>
    <w:rsid w:val="00BC7E47"/>
    <w:rsid w:val="00BC7E8A"/>
    <w:rsid w:val="00BD092A"/>
    <w:rsid w:val="00BD0AA2"/>
    <w:rsid w:val="00BD5B59"/>
    <w:rsid w:val="00BD681A"/>
    <w:rsid w:val="00BD6D39"/>
    <w:rsid w:val="00BE11BF"/>
    <w:rsid w:val="00BF05CB"/>
    <w:rsid w:val="00BF2C7D"/>
    <w:rsid w:val="00BF58A2"/>
    <w:rsid w:val="00C03370"/>
    <w:rsid w:val="00C05292"/>
    <w:rsid w:val="00C06F5A"/>
    <w:rsid w:val="00C07201"/>
    <w:rsid w:val="00C07CD3"/>
    <w:rsid w:val="00C13DBB"/>
    <w:rsid w:val="00C14204"/>
    <w:rsid w:val="00C14263"/>
    <w:rsid w:val="00C14724"/>
    <w:rsid w:val="00C15C81"/>
    <w:rsid w:val="00C248CC"/>
    <w:rsid w:val="00C25067"/>
    <w:rsid w:val="00C25500"/>
    <w:rsid w:val="00C273F8"/>
    <w:rsid w:val="00C32930"/>
    <w:rsid w:val="00C33C7D"/>
    <w:rsid w:val="00C3529F"/>
    <w:rsid w:val="00C36C44"/>
    <w:rsid w:val="00C37954"/>
    <w:rsid w:val="00C418CF"/>
    <w:rsid w:val="00C41D4A"/>
    <w:rsid w:val="00C42E0A"/>
    <w:rsid w:val="00C4391D"/>
    <w:rsid w:val="00C44921"/>
    <w:rsid w:val="00C4499A"/>
    <w:rsid w:val="00C45EB3"/>
    <w:rsid w:val="00C45F1A"/>
    <w:rsid w:val="00C46BC4"/>
    <w:rsid w:val="00C47CAB"/>
    <w:rsid w:val="00C5092F"/>
    <w:rsid w:val="00C61212"/>
    <w:rsid w:val="00C61783"/>
    <w:rsid w:val="00C64E64"/>
    <w:rsid w:val="00C67647"/>
    <w:rsid w:val="00C76FC8"/>
    <w:rsid w:val="00C84505"/>
    <w:rsid w:val="00C84C49"/>
    <w:rsid w:val="00C854A7"/>
    <w:rsid w:val="00C87F83"/>
    <w:rsid w:val="00C90A56"/>
    <w:rsid w:val="00C9245A"/>
    <w:rsid w:val="00C94722"/>
    <w:rsid w:val="00C965A6"/>
    <w:rsid w:val="00C97494"/>
    <w:rsid w:val="00CA1743"/>
    <w:rsid w:val="00CA20DD"/>
    <w:rsid w:val="00CA2BB7"/>
    <w:rsid w:val="00CA391F"/>
    <w:rsid w:val="00CA3BA7"/>
    <w:rsid w:val="00CA3EC8"/>
    <w:rsid w:val="00CA5817"/>
    <w:rsid w:val="00CA655A"/>
    <w:rsid w:val="00CB2798"/>
    <w:rsid w:val="00CB45CC"/>
    <w:rsid w:val="00CB631A"/>
    <w:rsid w:val="00CC3768"/>
    <w:rsid w:val="00CC5BA7"/>
    <w:rsid w:val="00CD081F"/>
    <w:rsid w:val="00CD10FE"/>
    <w:rsid w:val="00CD24DB"/>
    <w:rsid w:val="00CD32A6"/>
    <w:rsid w:val="00CD6245"/>
    <w:rsid w:val="00CD69C2"/>
    <w:rsid w:val="00CE00E6"/>
    <w:rsid w:val="00CE0D12"/>
    <w:rsid w:val="00CE0DE3"/>
    <w:rsid w:val="00CE239D"/>
    <w:rsid w:val="00CE372B"/>
    <w:rsid w:val="00CE7684"/>
    <w:rsid w:val="00CF1964"/>
    <w:rsid w:val="00CF27FE"/>
    <w:rsid w:val="00CF3026"/>
    <w:rsid w:val="00CF3567"/>
    <w:rsid w:val="00CF5C35"/>
    <w:rsid w:val="00CF64E1"/>
    <w:rsid w:val="00D00C62"/>
    <w:rsid w:val="00D01361"/>
    <w:rsid w:val="00D0144F"/>
    <w:rsid w:val="00D0204F"/>
    <w:rsid w:val="00D10959"/>
    <w:rsid w:val="00D10CF6"/>
    <w:rsid w:val="00D11259"/>
    <w:rsid w:val="00D144BA"/>
    <w:rsid w:val="00D1534A"/>
    <w:rsid w:val="00D1745E"/>
    <w:rsid w:val="00D20D07"/>
    <w:rsid w:val="00D23E1D"/>
    <w:rsid w:val="00D26EBE"/>
    <w:rsid w:val="00D30185"/>
    <w:rsid w:val="00D30E5A"/>
    <w:rsid w:val="00D33264"/>
    <w:rsid w:val="00D3369B"/>
    <w:rsid w:val="00D3563E"/>
    <w:rsid w:val="00D3572E"/>
    <w:rsid w:val="00D3611F"/>
    <w:rsid w:val="00D3690F"/>
    <w:rsid w:val="00D47A5C"/>
    <w:rsid w:val="00D50E04"/>
    <w:rsid w:val="00D543DB"/>
    <w:rsid w:val="00D566A0"/>
    <w:rsid w:val="00D56737"/>
    <w:rsid w:val="00D56EAF"/>
    <w:rsid w:val="00D60D2F"/>
    <w:rsid w:val="00D61DE2"/>
    <w:rsid w:val="00D65BA2"/>
    <w:rsid w:val="00D66982"/>
    <w:rsid w:val="00D72EB7"/>
    <w:rsid w:val="00D809FC"/>
    <w:rsid w:val="00D810C2"/>
    <w:rsid w:val="00D81DBD"/>
    <w:rsid w:val="00D82026"/>
    <w:rsid w:val="00D851C3"/>
    <w:rsid w:val="00D86321"/>
    <w:rsid w:val="00D9088B"/>
    <w:rsid w:val="00D90A32"/>
    <w:rsid w:val="00D91AEA"/>
    <w:rsid w:val="00D91F63"/>
    <w:rsid w:val="00D92C92"/>
    <w:rsid w:val="00D938F0"/>
    <w:rsid w:val="00D94E2C"/>
    <w:rsid w:val="00DA3B2A"/>
    <w:rsid w:val="00DA5A45"/>
    <w:rsid w:val="00DA629F"/>
    <w:rsid w:val="00DB1EBE"/>
    <w:rsid w:val="00DB3BA6"/>
    <w:rsid w:val="00DB3CFC"/>
    <w:rsid w:val="00DB5305"/>
    <w:rsid w:val="00DB5A1C"/>
    <w:rsid w:val="00DC0D58"/>
    <w:rsid w:val="00DC58EF"/>
    <w:rsid w:val="00DD0AB9"/>
    <w:rsid w:val="00DD0B66"/>
    <w:rsid w:val="00DD206B"/>
    <w:rsid w:val="00DD338B"/>
    <w:rsid w:val="00DD43D0"/>
    <w:rsid w:val="00DD6DB6"/>
    <w:rsid w:val="00DE4AC3"/>
    <w:rsid w:val="00DE641B"/>
    <w:rsid w:val="00DE75FA"/>
    <w:rsid w:val="00DF2587"/>
    <w:rsid w:val="00DF67D4"/>
    <w:rsid w:val="00E00A50"/>
    <w:rsid w:val="00E029EF"/>
    <w:rsid w:val="00E03074"/>
    <w:rsid w:val="00E04EA0"/>
    <w:rsid w:val="00E04F65"/>
    <w:rsid w:val="00E06256"/>
    <w:rsid w:val="00E075B4"/>
    <w:rsid w:val="00E12053"/>
    <w:rsid w:val="00E15077"/>
    <w:rsid w:val="00E15629"/>
    <w:rsid w:val="00E173C5"/>
    <w:rsid w:val="00E17C7A"/>
    <w:rsid w:val="00E200C8"/>
    <w:rsid w:val="00E209BA"/>
    <w:rsid w:val="00E21BF8"/>
    <w:rsid w:val="00E21C6E"/>
    <w:rsid w:val="00E27432"/>
    <w:rsid w:val="00E31193"/>
    <w:rsid w:val="00E31294"/>
    <w:rsid w:val="00E32AEE"/>
    <w:rsid w:val="00E33366"/>
    <w:rsid w:val="00E34DD8"/>
    <w:rsid w:val="00E3608B"/>
    <w:rsid w:val="00E428E3"/>
    <w:rsid w:val="00E42E8E"/>
    <w:rsid w:val="00E432DF"/>
    <w:rsid w:val="00E43FEA"/>
    <w:rsid w:val="00E45547"/>
    <w:rsid w:val="00E45631"/>
    <w:rsid w:val="00E50197"/>
    <w:rsid w:val="00E505EE"/>
    <w:rsid w:val="00E51EBB"/>
    <w:rsid w:val="00E5269D"/>
    <w:rsid w:val="00E541F8"/>
    <w:rsid w:val="00E54381"/>
    <w:rsid w:val="00E55D81"/>
    <w:rsid w:val="00E57C9B"/>
    <w:rsid w:val="00E57E95"/>
    <w:rsid w:val="00E617B0"/>
    <w:rsid w:val="00E627DD"/>
    <w:rsid w:val="00E62D28"/>
    <w:rsid w:val="00E63AB6"/>
    <w:rsid w:val="00E7139F"/>
    <w:rsid w:val="00E723CE"/>
    <w:rsid w:val="00E72A79"/>
    <w:rsid w:val="00E73A53"/>
    <w:rsid w:val="00E74D58"/>
    <w:rsid w:val="00E7538F"/>
    <w:rsid w:val="00E80318"/>
    <w:rsid w:val="00E83982"/>
    <w:rsid w:val="00E841F1"/>
    <w:rsid w:val="00E864B6"/>
    <w:rsid w:val="00E879F3"/>
    <w:rsid w:val="00E903B6"/>
    <w:rsid w:val="00E97B70"/>
    <w:rsid w:val="00E97BAC"/>
    <w:rsid w:val="00EA1070"/>
    <w:rsid w:val="00EA26F0"/>
    <w:rsid w:val="00EA5AB8"/>
    <w:rsid w:val="00EB23B1"/>
    <w:rsid w:val="00EB2A83"/>
    <w:rsid w:val="00EB2B7F"/>
    <w:rsid w:val="00EB30C2"/>
    <w:rsid w:val="00EB53A7"/>
    <w:rsid w:val="00EB7F42"/>
    <w:rsid w:val="00EC0594"/>
    <w:rsid w:val="00EC2DF6"/>
    <w:rsid w:val="00EC32D5"/>
    <w:rsid w:val="00EC3ED2"/>
    <w:rsid w:val="00EC5F37"/>
    <w:rsid w:val="00EC6553"/>
    <w:rsid w:val="00ED002B"/>
    <w:rsid w:val="00ED1B3D"/>
    <w:rsid w:val="00ED258D"/>
    <w:rsid w:val="00ED2611"/>
    <w:rsid w:val="00ED2F4D"/>
    <w:rsid w:val="00EE0694"/>
    <w:rsid w:val="00EE0996"/>
    <w:rsid w:val="00EE39B1"/>
    <w:rsid w:val="00EE445B"/>
    <w:rsid w:val="00EE50E1"/>
    <w:rsid w:val="00EE750D"/>
    <w:rsid w:val="00EF135D"/>
    <w:rsid w:val="00EF59BF"/>
    <w:rsid w:val="00F00B26"/>
    <w:rsid w:val="00F01CCC"/>
    <w:rsid w:val="00F03F33"/>
    <w:rsid w:val="00F03F9A"/>
    <w:rsid w:val="00F05A4A"/>
    <w:rsid w:val="00F05F95"/>
    <w:rsid w:val="00F10AA3"/>
    <w:rsid w:val="00F15210"/>
    <w:rsid w:val="00F1663F"/>
    <w:rsid w:val="00F17F0A"/>
    <w:rsid w:val="00F23877"/>
    <w:rsid w:val="00F26BBD"/>
    <w:rsid w:val="00F34A6D"/>
    <w:rsid w:val="00F365E5"/>
    <w:rsid w:val="00F42ADE"/>
    <w:rsid w:val="00F45A41"/>
    <w:rsid w:val="00F475AF"/>
    <w:rsid w:val="00F505C2"/>
    <w:rsid w:val="00F51012"/>
    <w:rsid w:val="00F51791"/>
    <w:rsid w:val="00F51A06"/>
    <w:rsid w:val="00F52C73"/>
    <w:rsid w:val="00F53362"/>
    <w:rsid w:val="00F53D80"/>
    <w:rsid w:val="00F61E0C"/>
    <w:rsid w:val="00F6291C"/>
    <w:rsid w:val="00F62946"/>
    <w:rsid w:val="00F62F4E"/>
    <w:rsid w:val="00F6387A"/>
    <w:rsid w:val="00F638C5"/>
    <w:rsid w:val="00F64241"/>
    <w:rsid w:val="00F66B67"/>
    <w:rsid w:val="00F67502"/>
    <w:rsid w:val="00F678D9"/>
    <w:rsid w:val="00F754A5"/>
    <w:rsid w:val="00F75A49"/>
    <w:rsid w:val="00F76552"/>
    <w:rsid w:val="00F816AC"/>
    <w:rsid w:val="00F8170A"/>
    <w:rsid w:val="00F822EC"/>
    <w:rsid w:val="00F90246"/>
    <w:rsid w:val="00F962AF"/>
    <w:rsid w:val="00FA00E0"/>
    <w:rsid w:val="00FA1792"/>
    <w:rsid w:val="00FA1D35"/>
    <w:rsid w:val="00FA3265"/>
    <w:rsid w:val="00FA46DB"/>
    <w:rsid w:val="00FA4743"/>
    <w:rsid w:val="00FA7DAA"/>
    <w:rsid w:val="00FB0D02"/>
    <w:rsid w:val="00FB1595"/>
    <w:rsid w:val="00FB1BB4"/>
    <w:rsid w:val="00FB1D90"/>
    <w:rsid w:val="00FB652D"/>
    <w:rsid w:val="00FC0B1C"/>
    <w:rsid w:val="00FC14D2"/>
    <w:rsid w:val="00FD0179"/>
    <w:rsid w:val="00FE016D"/>
    <w:rsid w:val="00FE10CF"/>
    <w:rsid w:val="00FE1A27"/>
    <w:rsid w:val="00FE27E7"/>
    <w:rsid w:val="00FE431C"/>
    <w:rsid w:val="00FE7C80"/>
    <w:rsid w:val="00FF52C5"/>
    <w:rsid w:val="05ED5211"/>
    <w:rsid w:val="0B882E7B"/>
    <w:rsid w:val="105D4C39"/>
    <w:rsid w:val="108C773A"/>
    <w:rsid w:val="11D97417"/>
    <w:rsid w:val="12AD66BD"/>
    <w:rsid w:val="16D55B21"/>
    <w:rsid w:val="23A86B73"/>
    <w:rsid w:val="2E0C5D6E"/>
    <w:rsid w:val="2F293C43"/>
    <w:rsid w:val="34CE05D4"/>
    <w:rsid w:val="35E601CB"/>
    <w:rsid w:val="372C02AF"/>
    <w:rsid w:val="3A3B3117"/>
    <w:rsid w:val="3B5B1DC0"/>
    <w:rsid w:val="3CF47BBC"/>
    <w:rsid w:val="45170B3A"/>
    <w:rsid w:val="4CBB5F06"/>
    <w:rsid w:val="4DB60F8B"/>
    <w:rsid w:val="540632E9"/>
    <w:rsid w:val="55E01F96"/>
    <w:rsid w:val="57C94D67"/>
    <w:rsid w:val="5CE46DB3"/>
    <w:rsid w:val="6511270F"/>
    <w:rsid w:val="65A2780B"/>
    <w:rsid w:val="6A6652AB"/>
    <w:rsid w:val="6AB623DF"/>
    <w:rsid w:val="6AD00976"/>
    <w:rsid w:val="6CC369E5"/>
    <w:rsid w:val="6D486EEA"/>
    <w:rsid w:val="6E3D27C7"/>
    <w:rsid w:val="71A04930"/>
    <w:rsid w:val="75087CF5"/>
    <w:rsid w:val="758C3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9"/>
    <w:pPr>
      <w:keepNext/>
      <w:keepLines/>
      <w:spacing w:before="50" w:beforeLines="50" w:beforeAutospacing="0" w:after="50" w:afterLines="50" w:afterAutospacing="0" w:line="240" w:lineRule="auto"/>
      <w:ind w:firstLine="0" w:firstLineChars="0"/>
      <w:outlineLvl w:val="1"/>
    </w:pPr>
    <w:rPr>
      <w:rFonts w:ascii="Arial" w:hAnsi="Arial" w:eastAsia="宋体"/>
      <w:b/>
      <w:sz w:val="28"/>
    </w:rPr>
  </w:style>
  <w:style w:type="paragraph" w:styleId="4">
    <w:name w:val="heading 3"/>
    <w:basedOn w:val="1"/>
    <w:next w:val="1"/>
    <w:unhideWhenUsed/>
    <w:qFormat/>
    <w:uiPriority w:val="9"/>
    <w:pPr>
      <w:keepNext/>
      <w:keepLines/>
      <w:spacing w:beforeLines="0" w:beforeAutospacing="0" w:afterLines="0" w:afterAutospacing="0" w:line="360" w:lineRule="auto"/>
      <w:ind w:firstLine="0" w:firstLineChars="0"/>
      <w:jc w:val="left"/>
      <w:outlineLvl w:val="2"/>
    </w:pPr>
    <w:rPr>
      <w:rFonts w:ascii="Times New Roman" w:hAnsi="Times New Roman"/>
      <w:b/>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Document Map"/>
    <w:basedOn w:val="1"/>
    <w:link w:val="34"/>
    <w:semiHidden/>
    <w:unhideWhenUsed/>
    <w:qFormat/>
    <w:uiPriority w:val="99"/>
    <w:rPr>
      <w:rFonts w:ascii="宋体"/>
      <w:sz w:val="18"/>
      <w:szCs w:val="18"/>
      <w:lang w:val="zh-CN"/>
    </w:rPr>
  </w:style>
  <w:style w:type="paragraph" w:styleId="8">
    <w:name w:val="annotation text"/>
    <w:basedOn w:val="1"/>
    <w:link w:val="25"/>
    <w:semiHidden/>
    <w:unhideWhenUsed/>
    <w:qFormat/>
    <w:uiPriority w:val="99"/>
    <w:pPr>
      <w:jc w:val="left"/>
    </w:pPr>
    <w:rPr>
      <w:lang w:val="zh-CN"/>
    </w:rPr>
  </w:style>
  <w:style w:type="paragraph" w:styleId="9">
    <w:name w:val="Balloon Text"/>
    <w:basedOn w:val="1"/>
    <w:link w:val="27"/>
    <w:semiHidden/>
    <w:unhideWhenUsed/>
    <w:qFormat/>
    <w:uiPriority w:val="99"/>
    <w:rPr>
      <w:sz w:val="18"/>
      <w:szCs w:val="18"/>
      <w:lang w:val="zh-CN"/>
    </w:rPr>
  </w:style>
  <w:style w:type="paragraph" w:styleId="10">
    <w:name w:val="footer"/>
    <w:basedOn w:val="1"/>
    <w:link w:val="24"/>
    <w:unhideWhenUsed/>
    <w:qFormat/>
    <w:uiPriority w:val="99"/>
    <w:pPr>
      <w:tabs>
        <w:tab w:val="center" w:pos="4153"/>
        <w:tab w:val="right" w:pos="8306"/>
      </w:tabs>
      <w:snapToGrid w:val="0"/>
      <w:jc w:val="left"/>
    </w:pPr>
    <w:rPr>
      <w:sz w:val="18"/>
      <w:szCs w:val="18"/>
      <w:lang w:val="zh-CN"/>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3">
    <w:name w:val="annotation subject"/>
    <w:basedOn w:val="8"/>
    <w:next w:val="8"/>
    <w:link w:val="26"/>
    <w:semiHidden/>
    <w:unhideWhenUsed/>
    <w:qFormat/>
    <w:uiPriority w:val="99"/>
    <w:rPr>
      <w:b/>
      <w:bCs/>
    </w:rPr>
  </w:style>
  <w:style w:type="table" w:styleId="15">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22"/>
    <w:rPr>
      <w:b/>
    </w:rPr>
  </w:style>
  <w:style w:type="character" w:styleId="18">
    <w:name w:val="Hyperlink"/>
    <w:unhideWhenUsed/>
    <w:qFormat/>
    <w:uiPriority w:val="99"/>
    <w:rPr>
      <w:color w:val="0000FF"/>
      <w:u w:val="single"/>
    </w:rPr>
  </w:style>
  <w:style w:type="character" w:styleId="19">
    <w:name w:val="HTML Code"/>
    <w:basedOn w:val="16"/>
    <w:semiHidden/>
    <w:unhideWhenUsed/>
    <w:qFormat/>
    <w:uiPriority w:val="99"/>
    <w:rPr>
      <w:rFonts w:ascii="Courier New" w:hAnsi="Courier New"/>
      <w:sz w:val="20"/>
    </w:rPr>
  </w:style>
  <w:style w:type="character" w:styleId="20">
    <w:name w:val="annotation reference"/>
    <w:semiHidden/>
    <w:unhideWhenUsed/>
    <w:qFormat/>
    <w:uiPriority w:val="99"/>
    <w:rPr>
      <w:sz w:val="21"/>
      <w:szCs w:val="21"/>
    </w:rPr>
  </w:style>
  <w:style w:type="character" w:customStyle="1" w:styleId="21">
    <w:name w:val="标题 1 字符"/>
    <w:link w:val="2"/>
    <w:qFormat/>
    <w:uiPriority w:val="9"/>
    <w:rPr>
      <w:b/>
      <w:bCs/>
      <w:kern w:val="44"/>
      <w:sz w:val="44"/>
      <w:szCs w:val="44"/>
    </w:rPr>
  </w:style>
  <w:style w:type="paragraph" w:customStyle="1" w:styleId="22">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3">
    <w:name w:val="页眉 字符"/>
    <w:link w:val="11"/>
    <w:qFormat/>
    <w:uiPriority w:val="99"/>
    <w:rPr>
      <w:kern w:val="2"/>
      <w:sz w:val="18"/>
      <w:szCs w:val="18"/>
    </w:rPr>
  </w:style>
  <w:style w:type="character" w:customStyle="1" w:styleId="24">
    <w:name w:val="页脚 字符"/>
    <w:link w:val="10"/>
    <w:qFormat/>
    <w:uiPriority w:val="99"/>
    <w:rPr>
      <w:kern w:val="2"/>
      <w:sz w:val="18"/>
      <w:szCs w:val="18"/>
    </w:rPr>
  </w:style>
  <w:style w:type="character" w:customStyle="1" w:styleId="25">
    <w:name w:val="批注文字 字符"/>
    <w:link w:val="8"/>
    <w:semiHidden/>
    <w:qFormat/>
    <w:uiPriority w:val="99"/>
    <w:rPr>
      <w:kern w:val="2"/>
      <w:sz w:val="21"/>
      <w:szCs w:val="22"/>
    </w:rPr>
  </w:style>
  <w:style w:type="character" w:customStyle="1" w:styleId="26">
    <w:name w:val="批注主题 字符"/>
    <w:link w:val="13"/>
    <w:semiHidden/>
    <w:qFormat/>
    <w:uiPriority w:val="99"/>
    <w:rPr>
      <w:b/>
      <w:bCs/>
      <w:kern w:val="2"/>
      <w:sz w:val="21"/>
      <w:szCs w:val="22"/>
    </w:rPr>
  </w:style>
  <w:style w:type="character" w:customStyle="1" w:styleId="27">
    <w:name w:val="批注框文本 字符"/>
    <w:link w:val="9"/>
    <w:semiHidden/>
    <w:qFormat/>
    <w:uiPriority w:val="99"/>
    <w:rPr>
      <w:kern w:val="2"/>
      <w:sz w:val="18"/>
      <w:szCs w:val="18"/>
    </w:rPr>
  </w:style>
  <w:style w:type="paragraph" w:customStyle="1" w:styleId="28">
    <w:name w:val="彩色底纹 - 强调文字颜色 11"/>
    <w:hidden/>
    <w:semiHidden/>
    <w:qFormat/>
    <w:uiPriority w:val="99"/>
    <w:rPr>
      <w:rFonts w:ascii="Calibri" w:hAnsi="Calibri" w:eastAsia="宋体" w:cs="Times New Roman"/>
      <w:kern w:val="2"/>
      <w:sz w:val="21"/>
      <w:szCs w:val="22"/>
      <w:lang w:val="en-US" w:eastAsia="zh-CN" w:bidi="ar-SA"/>
    </w:rPr>
  </w:style>
  <w:style w:type="paragraph" w:customStyle="1" w:styleId="29">
    <w:name w:val="TOC 标题1"/>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0">
    <w:name w:val="目录 11"/>
    <w:basedOn w:val="1"/>
    <w:next w:val="1"/>
    <w:unhideWhenUsed/>
    <w:qFormat/>
    <w:uiPriority w:val="39"/>
    <w:pPr>
      <w:tabs>
        <w:tab w:val="right" w:leader="dot" w:pos="9061"/>
      </w:tabs>
      <w:spacing w:line="360" w:lineRule="auto"/>
    </w:pPr>
    <w:rPr>
      <w:rFonts w:ascii="Times New Roman" w:hAnsi="黑体" w:eastAsia="黑体" w:cs="宋体"/>
      <w:sz w:val="30"/>
    </w:rPr>
  </w:style>
  <w:style w:type="paragraph" w:customStyle="1" w:styleId="31">
    <w:name w:val="目录 21"/>
    <w:basedOn w:val="1"/>
    <w:next w:val="1"/>
    <w:unhideWhenUsed/>
    <w:qFormat/>
    <w:uiPriority w:val="39"/>
    <w:pPr>
      <w:tabs>
        <w:tab w:val="right" w:leader="dot" w:pos="9061"/>
      </w:tabs>
      <w:spacing w:line="360" w:lineRule="auto"/>
      <w:ind w:left="420" w:leftChars="200"/>
    </w:pPr>
    <w:rPr>
      <w:rFonts w:ascii="黑体" w:hAnsi="黑体" w:eastAsia="黑体" w:cs="宋体"/>
      <w:sz w:val="28"/>
    </w:rPr>
  </w:style>
  <w:style w:type="paragraph" w:customStyle="1" w:styleId="32">
    <w:name w:val="目录 31"/>
    <w:basedOn w:val="1"/>
    <w:next w:val="1"/>
    <w:unhideWhenUsed/>
    <w:qFormat/>
    <w:uiPriority w:val="39"/>
    <w:pPr>
      <w:tabs>
        <w:tab w:val="right" w:leader="dot" w:pos="9061"/>
      </w:tabs>
      <w:spacing w:line="360" w:lineRule="auto"/>
      <w:ind w:left="840" w:leftChars="400"/>
    </w:pPr>
    <w:rPr>
      <w:rFonts w:ascii="Times New Roman" w:hAnsi="Times New Roman" w:cs="宋体"/>
      <w:b/>
      <w:sz w:val="24"/>
    </w:rPr>
  </w:style>
  <w:style w:type="paragraph" w:customStyle="1" w:styleId="33">
    <w:name w:val="彩色列表 - 强调文字颜色 111"/>
    <w:basedOn w:val="1"/>
    <w:qFormat/>
    <w:uiPriority w:val="0"/>
    <w:pPr>
      <w:ind w:firstLine="420" w:firstLineChars="200"/>
    </w:pPr>
  </w:style>
  <w:style w:type="character" w:customStyle="1" w:styleId="34">
    <w:name w:val="文档结构图 字符"/>
    <w:link w:val="7"/>
    <w:semiHidden/>
    <w:qFormat/>
    <w:uiPriority w:val="99"/>
    <w:rPr>
      <w:rFonts w:ascii="宋体"/>
      <w:kern w:val="2"/>
      <w:sz w:val="18"/>
      <w:szCs w:val="18"/>
    </w:rPr>
  </w:style>
  <w:style w:type="paragraph" w:customStyle="1" w:styleId="35">
    <w:name w:val="列出段落"/>
    <w:basedOn w:val="1"/>
    <w:qFormat/>
    <w:uiPriority w:val="34"/>
    <w:pPr>
      <w:ind w:firstLine="420" w:firstLineChars="200"/>
    </w:pPr>
  </w:style>
  <w:style w:type="paragraph" w:customStyle="1" w:styleId="36">
    <w:name w:val="彩色列表 - 强调文字颜色 11"/>
    <w:basedOn w:val="1"/>
    <w:qFormat/>
    <w:uiPriority w:val="0"/>
    <w:pPr>
      <w:ind w:firstLine="420" w:firstLineChars="200"/>
    </w:pPr>
  </w:style>
  <w:style w:type="character" w:customStyle="1" w:styleId="37">
    <w:name w:val="fontstyle01"/>
    <w:basedOn w:val="16"/>
    <w:qFormat/>
    <w:uiPriority w:val="0"/>
    <w:rPr>
      <w:rFonts w:hint="eastAsia" w:ascii="宋体" w:hAnsi="宋体" w:eastAsia="宋体"/>
      <w:color w:val="000000"/>
      <w:sz w:val="24"/>
      <w:szCs w:val="24"/>
    </w:rPr>
  </w:style>
  <w:style w:type="character" w:customStyle="1" w:styleId="38">
    <w:name w:val="fontstyle21"/>
    <w:basedOn w:val="16"/>
    <w:qFormat/>
    <w:uiPriority w:val="0"/>
    <w:rPr>
      <w:rFonts w:hint="default" w:ascii="TimesNewRomanPSMT" w:hAnsi="TimesNewRomanPSMT"/>
      <w:color w:val="000000"/>
      <w:sz w:val="24"/>
      <w:szCs w:val="24"/>
    </w:rPr>
  </w:style>
  <w:style w:type="character" w:styleId="39">
    <w:name w:val="Placeholder Text"/>
    <w:basedOn w:val="16"/>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46008-D6F7-4032-A369-E624FBFA332D}">
  <ds:schemaRefs/>
</ds:datastoreItem>
</file>

<file path=docProps/app.xml><?xml version="1.0" encoding="utf-8"?>
<Properties xmlns="http://schemas.openxmlformats.org/officeDocument/2006/extended-properties" xmlns:vt="http://schemas.openxmlformats.org/officeDocument/2006/docPropsVTypes">
  <Template>Normal.dotm</Template>
  <Pages>9</Pages>
  <Words>3758</Words>
  <Characters>4335</Characters>
  <Lines>52</Lines>
  <Paragraphs>14</Paragraphs>
  <TotalTime>0</TotalTime>
  <ScaleCrop>false</ScaleCrop>
  <LinksUpToDate>false</LinksUpToDate>
  <CharactersWithSpaces>4515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2024-05-24T01:22:00Z</dcterms:created>
  <dc:creator>Guoyanling</dc:creator>
  <cp:lastModifiedBy>韩昌昊</cp:lastModifiedBy>
  <cp:lastPrinted>2025-04-20T14:40:00Z</cp:lastPrinted>
  <dcterms:modified xsi:type="dcterms:W3CDTF">2026-05-31T10:35:36Z</dcterms:modified>
  <cp:revision>574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ICV">
    <vt:lpwstr>325A28796CB249E9ACEF755BF7BCE976_13</vt:lpwstr>
  </property>
  <property fmtid="{D5CDD505-2E9C-101B-9397-08002B2CF9AE}" pid="5" name="KSOTemplateDocerSaveRecord">
    <vt:lpwstr>eyJoZGlkIjoiZGIwNTAwMTNlNDZjZTQ3OTNkZGM5YzM0M2IyOGQ4MDIiLCJ1c2VySWQiOiIxNTcyMTYyNTI0In0=</vt:lpwstr>
  </property>
</Properties>
</file>