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AA094">
      <w:pPr>
        <w:spacing w:before="156" w:beforeLines="50"/>
        <w:ind w:firstLine="6720" w:firstLineChars="2400"/>
        <w:rPr>
          <w:rFonts w:hint="default" w:ascii="Times New Roman" w:hAnsi="Times New Roman" w:eastAsia="黑体" w:cs="Times New Roman"/>
          <w:sz w:val="28"/>
          <w:szCs w:val="28"/>
          <w:u w:val="single"/>
        </w:rPr>
      </w:pPr>
      <w:r>
        <w:rPr>
          <w:rFonts w:hint="default" w:ascii="Times New Roman" w:hAnsi="Times New Roman" w:eastAsia="黑体" w:cs="Times New Roman"/>
          <w:sz w:val="28"/>
          <w:szCs w:val="28"/>
        </w:rPr>
        <w:t xml:space="preserve">成  绩  </w:t>
      </w:r>
      <w:r>
        <w:rPr>
          <w:rFonts w:hint="default" w:ascii="Times New Roman" w:hAnsi="Times New Roman" w:eastAsia="黑体" w:cs="Times New Roman"/>
          <w:sz w:val="28"/>
          <w:szCs w:val="28"/>
          <w:u w:val="single"/>
        </w:rPr>
        <w:t xml:space="preserve">        </w:t>
      </w:r>
    </w:p>
    <w:p w14:paraId="126F0F8E">
      <w:pPr>
        <w:ind w:firstLine="5783" w:firstLineChars="2400"/>
        <w:rPr>
          <w:rFonts w:hint="default" w:ascii="Times New Roman" w:hAnsi="Times New Roman" w:eastAsia="黑体" w:cs="Times New Roman"/>
          <w:b/>
          <w:bCs/>
          <w:szCs w:val="21"/>
          <w:u w:val="single"/>
        </w:rPr>
      </w:pPr>
    </w:p>
    <w:p w14:paraId="49B4807E">
      <w:pPr>
        <w:rPr>
          <w:rFonts w:hint="default" w:ascii="Times New Roman" w:hAnsi="Times New Roman" w:eastAsia="黑体" w:cs="Times New Roman"/>
          <w:b/>
          <w:bCs/>
        </w:rPr>
      </w:pPr>
    </w:p>
    <w:p w14:paraId="2CB24DAC">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0" distR="0">
            <wp:extent cx="4599305" cy="810895"/>
            <wp:effectExtent l="0" t="0" r="0" b="8255"/>
            <wp:docPr id="8772983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8320" name="图片 2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599305" cy="810895"/>
                    </a:xfrm>
                    <a:prstGeom prst="rect">
                      <a:avLst/>
                    </a:prstGeom>
                    <a:noFill/>
                    <a:ln>
                      <a:noFill/>
                    </a:ln>
                    <a:effectLst/>
                  </pic:spPr>
                </pic:pic>
              </a:graphicData>
            </a:graphic>
          </wp:inline>
        </w:drawing>
      </w:r>
    </w:p>
    <w:p w14:paraId="4F5A888A">
      <w:pPr>
        <w:rPr>
          <w:rFonts w:hint="default" w:ascii="Times New Roman" w:hAnsi="Times New Roman" w:eastAsia="黑体" w:cs="Times New Roman"/>
          <w:b/>
          <w:bCs/>
        </w:rPr>
      </w:pPr>
    </w:p>
    <w:p w14:paraId="5F34F3CB">
      <w:pPr>
        <w:spacing w:before="312" w:beforeLines="100"/>
        <w:jc w:val="center"/>
        <w:rPr>
          <w:rFonts w:hint="default" w:ascii="Times New Roman" w:hAnsi="Times New Roman" w:eastAsia="黑体" w:cs="Times New Roman"/>
          <w:spacing w:val="20"/>
          <w:sz w:val="52"/>
          <w:szCs w:val="52"/>
        </w:rPr>
      </w:pPr>
      <w:bookmarkStart w:id="0" w:name="_Toc17747_WPSOffice_Level2"/>
      <w:bookmarkStart w:id="1" w:name="_Toc7837_WPSOffice_Level2"/>
      <w:bookmarkStart w:id="2" w:name="_Toc16909_WPSOffice_Level2"/>
      <w:bookmarkStart w:id="3" w:name="_Toc17433_WPSOffice_Level2"/>
      <w:bookmarkStart w:id="4" w:name="_Toc17304_WPSOffice_Level2"/>
      <w:bookmarkStart w:id="5" w:name="_Toc27145_WPSOffice_Level2"/>
      <w:r>
        <w:rPr>
          <w:rFonts w:hint="default" w:ascii="Times New Roman" w:hAnsi="Times New Roman" w:cs="Times New Roman"/>
          <w:b/>
          <w:sz w:val="52"/>
          <w:szCs w:val="52"/>
        </w:rPr>
        <w:t>《</w:t>
      </w:r>
      <w:r>
        <w:rPr>
          <w:rFonts w:hint="eastAsia" w:cs="Times New Roman"/>
          <w:b/>
          <w:sz w:val="52"/>
          <w:szCs w:val="52"/>
          <w:lang w:eastAsia="zh-CN"/>
        </w:rPr>
        <w:t>图像</w:t>
      </w:r>
      <w:r>
        <w:rPr>
          <w:rFonts w:hint="default" w:ascii="Times New Roman" w:hAnsi="Times New Roman" w:cs="Times New Roman"/>
          <w:b/>
          <w:sz w:val="52"/>
          <w:szCs w:val="52"/>
        </w:rPr>
        <w:t>处理》实验报告</w:t>
      </w:r>
      <w:bookmarkEnd w:id="0"/>
      <w:bookmarkEnd w:id="1"/>
      <w:bookmarkEnd w:id="2"/>
    </w:p>
    <w:p w14:paraId="0D798E89">
      <w:pPr>
        <w:spacing w:before="312" w:beforeLines="100"/>
        <w:jc w:val="center"/>
        <w:outlineLvl w:val="0"/>
        <w:rPr>
          <w:rFonts w:hint="default" w:ascii="Times New Roman" w:hAnsi="Times New Roman" w:eastAsia="黑体" w:cs="Times New Roman"/>
          <w:spacing w:val="20"/>
          <w:sz w:val="36"/>
          <w:szCs w:val="36"/>
          <w:lang w:val="en-US" w:eastAsia="zh-CN"/>
        </w:rPr>
      </w:pPr>
      <w:r>
        <w:rPr>
          <w:rFonts w:hint="default" w:ascii="Times New Roman" w:hAnsi="Times New Roman" w:eastAsia="黑体" w:cs="Times New Roman"/>
          <w:spacing w:val="20"/>
          <w:sz w:val="36"/>
          <w:szCs w:val="36"/>
        </w:rPr>
        <w:t>实验</w:t>
      </w:r>
      <w:bookmarkEnd w:id="3"/>
      <w:bookmarkEnd w:id="4"/>
      <w:bookmarkEnd w:id="5"/>
      <w:r>
        <w:rPr>
          <w:rFonts w:hint="eastAsia" w:eastAsia="黑体" w:cs="Times New Roman"/>
          <w:spacing w:val="20"/>
          <w:sz w:val="36"/>
          <w:szCs w:val="36"/>
          <w:lang w:val="en-US" w:eastAsia="zh-CN"/>
        </w:rPr>
        <w:t>四</w:t>
      </w:r>
      <w:r>
        <w:rPr>
          <w:rFonts w:hint="default" w:ascii="Times New Roman" w:hAnsi="Times New Roman" w:eastAsia="黑体" w:cs="Times New Roman"/>
          <w:spacing w:val="20"/>
          <w:sz w:val="36"/>
          <w:szCs w:val="36"/>
        </w:rPr>
        <w:t xml:space="preserve"> </w:t>
      </w:r>
      <w:r>
        <w:rPr>
          <w:rFonts w:hint="eastAsia" w:eastAsia="黑体" w:cs="Times New Roman"/>
          <w:spacing w:val="20"/>
          <w:sz w:val="36"/>
          <w:szCs w:val="36"/>
          <w:lang w:eastAsia="zh-CN"/>
        </w:rPr>
        <w:t>引入注意力机制的</w:t>
      </w:r>
      <w:r>
        <w:rPr>
          <w:rFonts w:hint="default" w:ascii="Times New Roman" w:hAnsi="Times New Roman" w:eastAsia="黑体" w:cs="Times New Roman"/>
          <w:spacing w:val="20"/>
          <w:sz w:val="36"/>
          <w:szCs w:val="36"/>
          <w:lang w:val="en-US" w:eastAsia="zh-CN"/>
        </w:rPr>
        <w:t>深度学习眼底血管分割</w:t>
      </w:r>
      <w:bookmarkStart w:id="6" w:name="_GoBack"/>
      <w:bookmarkEnd w:id="6"/>
    </w:p>
    <w:p w14:paraId="0B5DE4CE">
      <w:pPr>
        <w:rPr>
          <w:rFonts w:hint="default" w:ascii="Times New Roman" w:hAnsi="Times New Roman" w:cs="Times New Roman"/>
          <w:b/>
          <w:bCs/>
        </w:rPr>
      </w:pPr>
    </w:p>
    <w:p w14:paraId="2C1F6DCE">
      <w:pPr>
        <w:rPr>
          <w:rFonts w:hint="default" w:ascii="Times New Roman" w:hAnsi="Times New Roman" w:cs="Times New Roman"/>
          <w:b/>
          <w:bCs/>
        </w:rPr>
      </w:pPr>
    </w:p>
    <w:p w14:paraId="4CC44FCD">
      <w:pPr>
        <w:rPr>
          <w:rFonts w:hint="default" w:ascii="Times New Roman" w:hAnsi="Times New Roman" w:cs="Times New Roman"/>
          <w:b/>
          <w:bCs/>
        </w:rPr>
      </w:pPr>
    </w:p>
    <w:p w14:paraId="22364EC1">
      <w:pPr>
        <w:rPr>
          <w:rFonts w:hint="default" w:ascii="Times New Roman" w:hAnsi="Times New Roman" w:cs="Times New Roman"/>
          <w:b/>
          <w:bCs/>
        </w:rPr>
      </w:pPr>
    </w:p>
    <w:tbl>
      <w:tblPr>
        <w:tblStyle w:val="14"/>
        <w:tblW w:w="0" w:type="auto"/>
        <w:tblInd w:w="1242" w:type="dxa"/>
        <w:tblLayout w:type="autofit"/>
        <w:tblCellMar>
          <w:top w:w="0" w:type="dxa"/>
          <w:left w:w="108" w:type="dxa"/>
          <w:bottom w:w="0" w:type="dxa"/>
          <w:right w:w="108" w:type="dxa"/>
        </w:tblCellMar>
      </w:tblPr>
      <w:tblGrid>
        <w:gridCol w:w="1985"/>
        <w:gridCol w:w="4678"/>
      </w:tblGrid>
      <w:tr w14:paraId="67E28FB6">
        <w:tblPrEx>
          <w:tblCellMar>
            <w:top w:w="0" w:type="dxa"/>
            <w:left w:w="108" w:type="dxa"/>
            <w:bottom w:w="0" w:type="dxa"/>
            <w:right w:w="108" w:type="dxa"/>
          </w:tblCellMar>
        </w:tblPrEx>
        <w:tc>
          <w:tcPr>
            <w:tcW w:w="1985" w:type="dxa"/>
            <w:vAlign w:val="center"/>
          </w:tcPr>
          <w:p w14:paraId="18780F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院/系名称：</w:t>
            </w:r>
          </w:p>
        </w:tc>
        <w:tc>
          <w:tcPr>
            <w:tcW w:w="4678" w:type="dxa"/>
            <w:vAlign w:val="center"/>
          </w:tcPr>
          <w:p w14:paraId="50F526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自动化科学与电气工程学院</w:t>
            </w:r>
          </w:p>
        </w:tc>
      </w:tr>
      <w:tr w14:paraId="72376084">
        <w:tblPrEx>
          <w:tblCellMar>
            <w:top w:w="0" w:type="dxa"/>
            <w:left w:w="108" w:type="dxa"/>
            <w:bottom w:w="0" w:type="dxa"/>
            <w:right w:w="108" w:type="dxa"/>
          </w:tblCellMar>
        </w:tblPrEx>
        <w:tc>
          <w:tcPr>
            <w:tcW w:w="1985" w:type="dxa"/>
          </w:tcPr>
          <w:p w14:paraId="79B015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专业名称：</w:t>
            </w:r>
          </w:p>
        </w:tc>
        <w:tc>
          <w:tcPr>
            <w:tcW w:w="4678" w:type="dxa"/>
            <w:vAlign w:val="center"/>
          </w:tcPr>
          <w:p w14:paraId="7335CE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eastAsia="黑体" w:cs="Times New Roman"/>
                <w:spacing w:val="30"/>
                <w:kern w:val="10"/>
                <w:sz w:val="30"/>
                <w:lang w:val="en-US" w:eastAsia="zh-CN"/>
              </w:rPr>
              <w:t>自动化</w:t>
            </w:r>
          </w:p>
        </w:tc>
      </w:tr>
      <w:tr w14:paraId="76AD9A66">
        <w:tblPrEx>
          <w:tblCellMar>
            <w:top w:w="0" w:type="dxa"/>
            <w:left w:w="108" w:type="dxa"/>
            <w:bottom w:w="0" w:type="dxa"/>
            <w:right w:w="108" w:type="dxa"/>
          </w:tblCellMar>
        </w:tblPrEx>
        <w:tc>
          <w:tcPr>
            <w:tcW w:w="1985" w:type="dxa"/>
          </w:tcPr>
          <w:p w14:paraId="517EA9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学生学号：</w:t>
            </w:r>
          </w:p>
        </w:tc>
        <w:tc>
          <w:tcPr>
            <w:tcW w:w="4678" w:type="dxa"/>
            <w:vAlign w:val="center"/>
          </w:tcPr>
          <w:p w14:paraId="0333D6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cs="Times New Roman"/>
                <w:b/>
                <w:bCs/>
                <w:sz w:val="28"/>
                <w:lang w:val="en-US" w:eastAsia="zh-CN"/>
              </w:rPr>
              <w:t>23375152</w:t>
            </w:r>
          </w:p>
        </w:tc>
      </w:tr>
      <w:tr w14:paraId="56C28047">
        <w:tblPrEx>
          <w:tblCellMar>
            <w:top w:w="0" w:type="dxa"/>
            <w:left w:w="108" w:type="dxa"/>
            <w:bottom w:w="0" w:type="dxa"/>
            <w:right w:w="108" w:type="dxa"/>
          </w:tblCellMar>
        </w:tblPrEx>
        <w:tc>
          <w:tcPr>
            <w:tcW w:w="1985" w:type="dxa"/>
          </w:tcPr>
          <w:p w14:paraId="7D0931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学生姓名：</w:t>
            </w:r>
          </w:p>
        </w:tc>
        <w:tc>
          <w:tcPr>
            <w:tcW w:w="4678" w:type="dxa"/>
            <w:vAlign w:val="center"/>
          </w:tcPr>
          <w:p w14:paraId="64BD8C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eastAsia="zh-CN"/>
              </w:rPr>
            </w:pPr>
            <w:r>
              <w:rPr>
                <w:rFonts w:hint="default" w:ascii="Times New Roman" w:hAnsi="Times New Roman" w:cs="Times New Roman"/>
                <w:b/>
                <w:bCs/>
                <w:sz w:val="28"/>
                <w:lang w:val="en-US" w:eastAsia="zh-CN"/>
              </w:rPr>
              <w:t>韩昌昊</w:t>
            </w:r>
          </w:p>
        </w:tc>
      </w:tr>
      <w:tr w14:paraId="15CB76F8">
        <w:tblPrEx>
          <w:tblCellMar>
            <w:top w:w="0" w:type="dxa"/>
            <w:left w:w="108" w:type="dxa"/>
            <w:bottom w:w="0" w:type="dxa"/>
            <w:right w:w="108" w:type="dxa"/>
          </w:tblCellMar>
        </w:tblPrEx>
        <w:trPr>
          <w:trHeight w:val="630" w:hRule="atLeast"/>
        </w:trPr>
        <w:tc>
          <w:tcPr>
            <w:tcW w:w="1985" w:type="dxa"/>
          </w:tcPr>
          <w:p w14:paraId="1BE5D1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pacing w:val="30"/>
                <w:kern w:val="10"/>
                <w:sz w:val="30"/>
              </w:rPr>
            </w:pPr>
            <w:r>
              <w:rPr>
                <w:rFonts w:hint="default" w:ascii="Times New Roman" w:hAnsi="Times New Roman" w:eastAsia="黑体" w:cs="Times New Roman"/>
                <w:spacing w:val="30"/>
                <w:kern w:val="10"/>
                <w:sz w:val="30"/>
              </w:rPr>
              <w:t>实验日期：</w:t>
            </w:r>
          </w:p>
        </w:tc>
        <w:tc>
          <w:tcPr>
            <w:tcW w:w="4678" w:type="dxa"/>
            <w:vAlign w:val="center"/>
          </w:tcPr>
          <w:p w14:paraId="5A94B4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cs="Times New Roman"/>
                <w:b/>
                <w:bCs/>
                <w:sz w:val="28"/>
              </w:rPr>
              <w:t>202</w:t>
            </w:r>
            <w:r>
              <w:rPr>
                <w:rFonts w:hint="default" w:ascii="Times New Roman" w:hAnsi="Times New Roman" w:cs="Times New Roman"/>
                <w:b/>
                <w:bCs/>
                <w:sz w:val="28"/>
                <w:lang w:val="en-US" w:eastAsia="zh-CN"/>
              </w:rPr>
              <w:t>6</w:t>
            </w:r>
            <w:r>
              <w:rPr>
                <w:rFonts w:hint="default" w:ascii="Times New Roman" w:hAnsi="Times New Roman" w:cs="Times New Roman"/>
                <w:b/>
                <w:bCs/>
                <w:sz w:val="28"/>
              </w:rPr>
              <w:t xml:space="preserve">年 </w:t>
            </w:r>
            <w:r>
              <w:rPr>
                <w:rFonts w:hint="default" w:ascii="Times New Roman" w:hAnsi="Times New Roman" w:cs="Times New Roman"/>
                <w:b/>
                <w:bCs/>
                <w:sz w:val="28"/>
                <w:lang w:val="en-US" w:eastAsia="zh-CN"/>
              </w:rPr>
              <w:t>5</w:t>
            </w:r>
            <w:r>
              <w:rPr>
                <w:rFonts w:hint="default" w:ascii="Times New Roman" w:hAnsi="Times New Roman" w:cs="Times New Roman"/>
                <w:b/>
                <w:bCs/>
                <w:sz w:val="28"/>
              </w:rPr>
              <w:t>月</w:t>
            </w:r>
          </w:p>
        </w:tc>
      </w:tr>
    </w:tbl>
    <w:p w14:paraId="1B74C467">
      <w:pPr>
        <w:jc w:val="both"/>
        <w:rPr>
          <w:rFonts w:hint="default" w:ascii="Times New Roman" w:hAnsi="Times New Roman" w:eastAsia="黑体" w:cs="Times New Roman"/>
          <w:spacing w:val="22"/>
          <w:kern w:val="10"/>
          <w:sz w:val="30"/>
        </w:rPr>
      </w:pPr>
    </w:p>
    <w:p w14:paraId="2666A829">
      <w:pPr>
        <w:jc w:val="center"/>
        <w:rPr>
          <w:rFonts w:hint="default" w:ascii="Times New Roman" w:hAnsi="Times New Roman" w:eastAsia="黑体" w:cs="Times New Roman"/>
          <w:sz w:val="28"/>
        </w:rPr>
        <w:sectPr>
          <w:headerReference r:id="rId5" w:type="default"/>
          <w:footerReference r:id="rId6" w:type="default"/>
          <w:pgSz w:w="11906" w:h="16838"/>
          <w:pgMar w:top="1701" w:right="1134" w:bottom="1418" w:left="1701" w:header="1134" w:footer="851" w:gutter="0"/>
          <w:cols w:space="425" w:num="1"/>
          <w:docGrid w:type="lines" w:linePitch="312" w:charSpace="0"/>
        </w:sectPr>
      </w:pPr>
      <w:r>
        <w:rPr>
          <w:rFonts w:hint="default" w:ascii="Times New Roman" w:hAnsi="Times New Roman" w:eastAsia="黑体" w:cs="Times New Roman"/>
          <w:spacing w:val="22"/>
          <w:kern w:val="10"/>
          <w:sz w:val="30"/>
        </w:rPr>
        <w:t>202</w:t>
      </w:r>
      <w:r>
        <w:rPr>
          <w:rFonts w:hint="default" w:ascii="Times New Roman" w:hAnsi="Times New Roman" w:eastAsia="黑体" w:cs="Times New Roman"/>
          <w:spacing w:val="22"/>
          <w:kern w:val="10"/>
          <w:sz w:val="30"/>
          <w:lang w:val="en-US" w:eastAsia="zh-CN"/>
        </w:rPr>
        <w:t>6</w:t>
      </w:r>
      <w:r>
        <w:rPr>
          <w:rFonts w:hint="default" w:ascii="Times New Roman" w:hAnsi="Times New Roman" w:eastAsia="黑体" w:cs="Times New Roman"/>
          <w:spacing w:val="22"/>
          <w:kern w:val="10"/>
          <w:sz w:val="30"/>
        </w:rPr>
        <w:t>年</w:t>
      </w:r>
      <w:r>
        <w:rPr>
          <w:rFonts w:hint="default" w:ascii="Times New Roman" w:hAnsi="Times New Roman" w:eastAsia="黑体" w:cs="Times New Roman"/>
          <w:spacing w:val="22"/>
          <w:kern w:val="10"/>
          <w:sz w:val="30"/>
          <w:lang w:val="en-US" w:eastAsia="zh-CN"/>
        </w:rPr>
        <w:t>5</w:t>
      </w:r>
      <w:r>
        <w:rPr>
          <w:rFonts w:hint="default" w:ascii="Times New Roman" w:hAnsi="Times New Roman" w:eastAsia="黑体" w:cs="Times New Roman"/>
          <w:spacing w:val="22"/>
          <w:kern w:val="10"/>
          <w:sz w:val="30"/>
        </w:rPr>
        <w:t>月</w:t>
      </w:r>
    </w:p>
    <w:p w14:paraId="0A3B3ABC">
      <w:pPr>
        <w:spacing w:line="360" w:lineRule="auto"/>
        <w:jc w:val="center"/>
        <w:outlineLvl w:val="0"/>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实验</w:t>
      </w:r>
      <w:r>
        <w:rPr>
          <w:rFonts w:hint="eastAsia" w:eastAsia="黑体" w:cs="Times New Roman"/>
          <w:sz w:val="32"/>
          <w:szCs w:val="32"/>
          <w:lang w:val="en-US" w:eastAsia="zh-CN"/>
        </w:rPr>
        <w:t>四</w:t>
      </w:r>
      <w:r>
        <w:rPr>
          <w:rFonts w:hint="default" w:ascii="Times New Roman" w:hAnsi="Times New Roman" w:eastAsia="黑体" w:cs="Times New Roman"/>
          <w:sz w:val="32"/>
          <w:szCs w:val="32"/>
        </w:rPr>
        <w:t xml:space="preserve">   引入注意力机制的</w:t>
      </w:r>
      <w:r>
        <w:rPr>
          <w:rFonts w:hint="default" w:ascii="Times New Roman" w:hAnsi="Times New Roman" w:eastAsia="黑体" w:cs="Times New Roman"/>
          <w:sz w:val="32"/>
          <w:szCs w:val="32"/>
          <w:lang w:val="en-US" w:eastAsia="zh-CN"/>
        </w:rPr>
        <w:t>深度学习眼底血管分割</w:t>
      </w:r>
    </w:p>
    <w:p w14:paraId="1D61CD41">
      <w:pPr>
        <w:pStyle w:val="3"/>
        <w:numPr>
          <w:ilvl w:val="0"/>
          <w:numId w:val="1"/>
        </w:numPr>
        <w:bidi w:val="0"/>
        <w:rPr>
          <w:rFonts w:hint="default" w:ascii="Times New Roman" w:hAnsi="Times New Roman" w:cs="Times New Roman"/>
        </w:rPr>
        <w:sectPr>
          <w:footerReference r:id="rId7" w:type="default"/>
          <w:pgSz w:w="11906" w:h="16838"/>
          <w:pgMar w:top="1701" w:right="1134" w:bottom="1418" w:left="1701" w:header="1134" w:footer="851" w:gutter="0"/>
          <w:cols w:space="425" w:num="1"/>
          <w:docGrid w:type="lines" w:linePitch="312" w:charSpace="0"/>
        </w:sectPr>
      </w:pPr>
    </w:p>
    <w:p w14:paraId="5922C32A">
      <w:pPr>
        <w:pStyle w:val="3"/>
        <w:numPr>
          <w:ilvl w:val="0"/>
          <w:numId w:val="1"/>
        </w:numPr>
        <w:bidi w:val="0"/>
        <w:rPr>
          <w:rFonts w:hint="default" w:ascii="Times New Roman" w:hAnsi="Times New Roman" w:cs="Times New Roman"/>
          <w:lang w:val="en-US" w:eastAsia="zh-CN"/>
        </w:rPr>
      </w:pPr>
      <w:r>
        <w:rPr>
          <w:rFonts w:hint="default" w:ascii="Times New Roman" w:hAnsi="Times New Roman" w:cs="Times New Roman"/>
        </w:rPr>
        <w:t>实验目的</w:t>
      </w:r>
    </w:p>
    <w:p w14:paraId="6321E3DA">
      <w:pPr>
        <w:rPr>
          <w:rFonts w:hint="default"/>
          <w:lang w:val="en-US" w:eastAsia="zh-CN"/>
        </w:rPr>
      </w:pPr>
      <w:r>
        <w:rPr>
          <w:rFonts w:hint="default"/>
          <w:lang w:val="en-US" w:eastAsia="zh-CN"/>
        </w:rPr>
        <w:t>本扩展实验旨在通过引入空间注意力网格（Attention Gate）机制，对基础 U-Net 网络进行架构升级，构建 Attention U-Net 分割模型。实验重点探究在跳跃连接中引入门控信号后，网络对非血管背景噪声的主动抑制能力以及对低对比度下微细毛细血管末端的捕捉效率。通过在 DRIVE 数据集测试集上定量对比基础 U-Net 与 Attention U-Net 的各项指标，从而掌握高级深度注意力机制在医疗图像精准分割中的应用。</w:t>
      </w:r>
    </w:p>
    <w:p w14:paraId="2E5756A0">
      <w:pPr>
        <w:pStyle w:val="3"/>
        <w:numPr>
          <w:ilvl w:val="0"/>
          <w:numId w:val="1"/>
        </w:numPr>
        <w:bidi w:val="0"/>
        <w:rPr>
          <w:rFonts w:hint="default" w:ascii="Times New Roman" w:hAnsi="Times New Roman" w:cs="Times New Roman"/>
          <w:lang w:val="en-US" w:eastAsia="zh-CN"/>
        </w:rPr>
      </w:pPr>
      <w:r>
        <w:rPr>
          <w:rFonts w:hint="default" w:ascii="Times New Roman" w:hAnsi="Times New Roman" w:cs="Times New Roman"/>
          <w:lang w:eastAsia="zh-CN"/>
        </w:rPr>
        <w:t>实验内容</w:t>
      </w:r>
    </w:p>
    <w:p w14:paraId="042E3C62">
      <w:pPr>
        <w:bidi w:val="0"/>
        <w:rPr>
          <w:rFonts w:hint="default" w:ascii="Times New Roman" w:hAnsi="Times New Roman" w:cs="Times New Roman"/>
          <w:lang w:eastAsia="zh-CN"/>
        </w:rPr>
      </w:pPr>
      <w:r>
        <w:rPr>
          <w:rFonts w:hint="default" w:ascii="Times New Roman" w:hAnsi="Times New Roman" w:cs="Times New Roman"/>
          <w:lang w:val="en-US" w:eastAsia="zh-CN"/>
        </w:rPr>
        <w:t>1.</w:t>
      </w:r>
      <w:r>
        <w:rPr>
          <w:rFonts w:hint="default" w:ascii="Times New Roman" w:hAnsi="Times New Roman" w:cs="Times New Roman"/>
        </w:rPr>
        <w:t>获取DRIVE数据集</w:t>
      </w:r>
      <w:r>
        <w:rPr>
          <w:rFonts w:hint="default" w:ascii="Times New Roman" w:hAnsi="Times New Roman" w:cs="Times New Roman"/>
          <w:lang w:eastAsia="zh-CN"/>
        </w:rPr>
        <w:t>。</w:t>
      </w:r>
    </w:p>
    <w:p w14:paraId="6584E8E8">
      <w:pPr>
        <w:bidi w:val="0"/>
        <w:rPr>
          <w:rFonts w:hint="default" w:ascii="Times New Roman" w:hAnsi="Times New Roman" w:cs="Times New Roman"/>
          <w:lang w:eastAsia="zh-CN"/>
        </w:rPr>
      </w:pPr>
      <w:r>
        <w:rPr>
          <w:rFonts w:hint="default" w:ascii="Times New Roman" w:hAnsi="Times New Roman" w:cs="Times New Roman"/>
          <w:lang w:val="en-US" w:eastAsia="zh-CN"/>
        </w:rPr>
        <w:t>2.</w:t>
      </w:r>
      <w:r>
        <w:rPr>
          <w:rFonts w:hint="default" w:ascii="Times New Roman" w:hAnsi="Times New Roman" w:cs="Times New Roman"/>
        </w:rPr>
        <w:t>构建深度学习模型</w:t>
      </w:r>
      <w:r>
        <w:rPr>
          <w:rFonts w:hint="default" w:ascii="Times New Roman" w:hAnsi="Times New Roman" w:cs="Times New Roman"/>
          <w:lang w:eastAsia="zh-CN"/>
        </w:rPr>
        <w:t>。</w:t>
      </w:r>
    </w:p>
    <w:p w14:paraId="4DCA982B">
      <w:pPr>
        <w:bidi w:val="0"/>
        <w:rPr>
          <w:rFonts w:hint="default" w:ascii="Times New Roman" w:hAnsi="Times New Roman" w:cs="Times New Roman"/>
          <w:lang w:eastAsia="zh-CN"/>
        </w:rPr>
      </w:pPr>
      <w:r>
        <w:rPr>
          <w:rFonts w:hint="default" w:ascii="Times New Roman" w:hAnsi="Times New Roman" w:cs="Times New Roman"/>
          <w:lang w:val="en-US" w:eastAsia="zh-CN"/>
        </w:rPr>
        <w:t>3.</w:t>
      </w:r>
      <w:r>
        <w:rPr>
          <w:rFonts w:hint="default" w:ascii="Times New Roman" w:hAnsi="Times New Roman" w:cs="Times New Roman"/>
        </w:rPr>
        <w:t>训练所构建好的深度学习模型（如U-net/CNN），选择适当的损失函数，绘制损失函数随迭代次数变化的曲线</w:t>
      </w:r>
      <w:r>
        <w:rPr>
          <w:rFonts w:hint="default" w:ascii="Times New Roman" w:hAnsi="Times New Roman" w:cs="Times New Roman"/>
          <w:lang w:eastAsia="zh-CN"/>
        </w:rPr>
        <w:t>。</w:t>
      </w:r>
    </w:p>
    <w:p w14:paraId="38C2182B">
      <w:pPr>
        <w:bidi w:val="0"/>
        <w:rPr>
          <w:rFonts w:hint="default" w:ascii="Times New Roman" w:hAnsi="Times New Roman" w:cs="Times New Roman"/>
          <w:lang w:eastAsia="zh-CN"/>
        </w:rPr>
      </w:pPr>
      <w:r>
        <w:rPr>
          <w:rFonts w:hint="default" w:ascii="Times New Roman" w:hAnsi="Times New Roman" w:cs="Times New Roman"/>
          <w:lang w:val="en-US" w:eastAsia="zh-CN"/>
        </w:rPr>
        <w:t>4.</w:t>
      </w:r>
      <w:r>
        <w:rPr>
          <w:rFonts w:hint="default" w:ascii="Times New Roman" w:hAnsi="Times New Roman" w:cs="Times New Roman"/>
        </w:rPr>
        <w:t>测试模型，计算测试集上的分割准确率、敏感度、特异性</w:t>
      </w:r>
      <w:r>
        <w:rPr>
          <w:rFonts w:hint="default" w:ascii="Times New Roman" w:hAnsi="Times New Roman" w:cs="Times New Roman"/>
          <w:lang w:eastAsia="zh-CN"/>
        </w:rPr>
        <w:t>，</w:t>
      </w:r>
      <w:r>
        <w:rPr>
          <w:rFonts w:hint="default" w:ascii="Times New Roman" w:hAnsi="Times New Roman" w:cs="Times New Roman"/>
        </w:rPr>
        <w:t>作出ROC曲线，并展示部分彩照的分割结果</w:t>
      </w:r>
      <w:r>
        <w:rPr>
          <w:rFonts w:hint="default" w:ascii="Times New Roman" w:hAnsi="Times New Roman" w:cs="Times New Roman"/>
          <w:lang w:eastAsia="zh-CN"/>
        </w:rPr>
        <w:t>。</w:t>
      </w:r>
    </w:p>
    <w:p w14:paraId="35C42EB7">
      <w:pPr>
        <w:bidi w:val="0"/>
        <w:rPr>
          <w:rFonts w:hint="default" w:ascii="Times New Roman" w:hAnsi="Times New Roman" w:cs="Times New Roman"/>
          <w:lang w:eastAsia="zh-CN"/>
        </w:rPr>
      </w:pPr>
      <w:r>
        <w:rPr>
          <w:rFonts w:hint="default" w:ascii="Times New Roman" w:hAnsi="Times New Roman" w:cs="Times New Roman"/>
          <w:lang w:val="en-US" w:eastAsia="zh-CN"/>
        </w:rPr>
        <w:t>5.</w:t>
      </w:r>
      <w:r>
        <w:rPr>
          <w:rFonts w:hint="default" w:ascii="Times New Roman" w:hAnsi="Times New Roman" w:cs="Times New Roman"/>
        </w:rPr>
        <w:t>撰写实验报告，提交训练好的模型、测试样例，结合实验二对比分析无监督图像处理方法和深度学习方法的图像分割效果</w:t>
      </w:r>
      <w:r>
        <w:rPr>
          <w:rFonts w:hint="default" w:ascii="Times New Roman" w:hAnsi="Times New Roman" w:cs="Times New Roman"/>
          <w:lang w:eastAsia="zh-CN"/>
        </w:rPr>
        <w:t>。</w:t>
      </w:r>
    </w:p>
    <w:p w14:paraId="4240EFF5">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深度学习模型架构</w:t>
      </w:r>
    </w:p>
    <w:p w14:paraId="35CB0237">
      <w:pPr>
        <w:bidi w:val="0"/>
        <w:rPr>
          <w:rFonts w:hint="default"/>
          <w:lang w:val="en-US"/>
        </w:rPr>
      </w:pPr>
      <w:r>
        <w:rPr>
          <w:rFonts w:hint="eastAsia"/>
          <w:lang w:eastAsia="zh-CN"/>
        </w:rPr>
        <w:t>本节主要介绍</w:t>
      </w:r>
      <w:r>
        <w:rPr>
          <w:rFonts w:hint="eastAsia"/>
          <w:lang w:val="en-US" w:eastAsia="zh-CN"/>
        </w:rPr>
        <w:t>Attention U-Net的改进点，其他设置与实验三均保持一致，不在此赘述。</w:t>
      </w:r>
    </w:p>
    <w:p w14:paraId="78322D69">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1.Attention Gate</w:t>
      </w:r>
      <w:r>
        <w:rPr>
          <w:rFonts w:hint="eastAsia" w:cs="Times New Roman"/>
          <w:lang w:val="en-US" w:eastAsia="zh-CN"/>
        </w:rPr>
        <w:t>注意力</w:t>
      </w:r>
      <w:r>
        <w:rPr>
          <w:rFonts w:hint="default" w:ascii="Times New Roman" w:hAnsi="Times New Roman" w:cs="Times New Roman"/>
          <w:lang w:val="en-US" w:eastAsia="zh-CN"/>
        </w:rPr>
        <w:t>机制</w:t>
      </w:r>
    </w:p>
    <w:p w14:paraId="02898D57">
      <w:pPr>
        <w:rPr>
          <w:rFonts w:hint="default"/>
          <w:lang w:val="en-US" w:eastAsia="zh-CN"/>
        </w:rPr>
      </w:pPr>
      <w:r>
        <w:rPr>
          <w:rFonts w:hint="default"/>
          <w:lang w:val="en-US" w:eastAsia="zh-CN"/>
        </w:rPr>
        <w:t>在标准 U-Net 架构中，编码器提取的浅层特征不加筛选地直接与解码器上采样的深层特征进行通道拼接。这会导致浅层特征中大量的非血管背景噪声（如光照不均导致的灰度突变、视盘高亮边缘、个体视网膜边界）被引入扩张路径，增加了网络在深层的误判风险。</w:t>
      </w:r>
    </w:p>
    <w:p w14:paraId="430C1D30">
      <w:pPr>
        <w:rPr>
          <w:rFonts w:hint="eastAsia"/>
          <w:lang w:val="en-US" w:eastAsia="zh-CN"/>
        </w:rPr>
      </w:pPr>
      <w:r>
        <w:rPr>
          <w:rFonts w:hint="default"/>
          <w:lang w:val="en-US" w:eastAsia="zh-CN"/>
        </w:rPr>
        <w:t xml:space="preserve">本扩展实验在跳跃连接的融合节点前，创新性地嵌入了注意力网格模块。其核心思想是利用来自网络深层的门控信号 </w:t>
      </w:r>
      <w:r>
        <w:rPr>
          <w:rFonts w:hint="eastAsia"/>
          <w:lang w:val="en-US" w:eastAsia="zh-CN"/>
        </w:rPr>
        <w:t>g</w:t>
      </w:r>
      <w:r>
        <w:rPr>
          <w:rFonts w:hint="default"/>
          <w:lang w:val="en-US" w:eastAsia="zh-CN"/>
        </w:rPr>
        <w:t xml:space="preserve">（包含全局丰富的低频上下文语义信息），来裁剪和过滤来自同层编码器的浅层特征 </w:t>
      </w:r>
      <w:r>
        <w:rPr>
          <w:rFonts w:hint="eastAsia"/>
          <w:lang w:val="en-US" w:eastAsia="zh-CN"/>
        </w:rPr>
        <w:t>x</w:t>
      </w:r>
      <w:r>
        <w:rPr>
          <w:rFonts w:hint="default"/>
          <w:lang w:val="en-US" w:eastAsia="zh-CN"/>
        </w:rPr>
        <w:t>（包含高频的局部形态边缘信息）。Attention Gate 内部的空间权值系数计算与过滤流程如下</w:t>
      </w:r>
      <w:r>
        <w:rPr>
          <w:rFonts w:hint="eastAsia"/>
          <w:lang w:val="en-US" w:eastAsia="zh-CN"/>
        </w:rPr>
        <w:t>。</w:t>
      </w:r>
    </w:p>
    <w:p w14:paraId="258D285A">
      <w:pPr>
        <w:rPr>
          <w:rFonts w:hint="default"/>
          <w:lang w:val="en-US" w:eastAsia="zh-CN"/>
        </w:rPr>
      </w:pPr>
      <w:r>
        <w:rPr>
          <w:rFonts w:hint="eastAsia"/>
          <w:lang w:val="en-US" w:eastAsia="zh-CN"/>
        </w:rPr>
        <w:t>1.</w:t>
      </w:r>
      <w:r>
        <w:rPr>
          <w:rFonts w:hint="default"/>
          <w:lang w:val="en-US" w:eastAsia="zh-CN"/>
        </w:rPr>
        <w:t xml:space="preserve">线性映射与对齐：输入特征 </w:t>
      </w:r>
      <w:r>
        <w:rPr>
          <w:rFonts w:hint="eastAsia"/>
          <w:lang w:val="en-US" w:eastAsia="zh-CN"/>
        </w:rPr>
        <w:t>x</w:t>
      </w:r>
      <w:r>
        <w:rPr>
          <w:rFonts w:hint="default"/>
          <w:lang w:val="en-US" w:eastAsia="zh-CN"/>
        </w:rPr>
        <w:t xml:space="preserve">（通道数为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oMath>
      <w:r>
        <w:rPr>
          <w:rFonts w:hint="default"/>
          <w:lang w:val="en-US" w:eastAsia="zh-CN"/>
        </w:rPr>
        <w:t xml:space="preserve">）与门控信号 </w:t>
      </w:r>
      <w:r>
        <w:rPr>
          <w:rFonts w:hint="eastAsia"/>
          <w:lang w:val="en-US" w:eastAsia="zh-CN"/>
        </w:rPr>
        <w:t>g</w:t>
      </w:r>
      <w:r>
        <w:rPr>
          <w:rFonts w:hint="default"/>
          <w:lang w:val="en-US" w:eastAsia="zh-CN"/>
        </w:rPr>
        <w:t xml:space="preserve">（通道数为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oMath>
      <w:r>
        <w:rPr>
          <w:rFonts w:hint="default"/>
          <w:lang w:val="en-US" w:eastAsia="zh-CN"/>
        </w:rPr>
        <w:t xml:space="preserve">）分别通过两个独立的 </w:t>
      </w:r>
      <m:oMath>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oMath>
      <w:r>
        <w:rPr>
          <w:rFonts w:hint="default"/>
          <w:lang w:val="en-US" w:eastAsia="zh-CN"/>
        </w:rPr>
        <w:t xml:space="preserve"> 卷积层，将其通道维度统一映射到内部的瓶颈空间，从而在统一的语义维度下进行多尺度空间对齐。空间信息融合：</w:t>
      </w:r>
    </w:p>
    <w:p w14:paraId="13D54914">
      <w:pPr>
        <w:rPr>
          <w:rFonts w:hint="default"/>
          <w:lang w:val="en-US" w:eastAsia="zh-CN"/>
        </w:rPr>
      </w:pPr>
      <w:r>
        <w:rPr>
          <w:rFonts w:hint="eastAsia"/>
          <w:lang w:val="en-US" w:eastAsia="zh-CN"/>
        </w:rPr>
        <w:t>2.</w:t>
      </w:r>
      <w:r>
        <w:rPr>
          <w:rFonts w:hint="default"/>
          <w:lang w:val="en-US" w:eastAsia="zh-CN"/>
        </w:rPr>
        <w:t>将对齐后的两路特征图进行像素级的矩阵加法融合，并在融合后接一个 ReLU 非线性激活函数。这一步能够有效提取出两层空间分辨率下重合度最高的显著性区域。</w:t>
      </w:r>
    </w:p>
    <w:p w14:paraId="43938557">
      <w:pPr>
        <w:rPr>
          <w:rFonts w:hint="default"/>
          <w:lang w:val="en-US" w:eastAsia="zh-CN"/>
        </w:rPr>
      </w:pPr>
      <w:r>
        <w:rPr>
          <w:rFonts w:hint="eastAsia"/>
          <w:lang w:val="en-US" w:eastAsia="zh-CN"/>
        </w:rPr>
        <w:t>3.</w:t>
      </w:r>
      <w:r>
        <w:rPr>
          <w:rFonts w:hint="default"/>
          <w:lang w:val="en-US" w:eastAsia="zh-CN"/>
        </w:rPr>
        <w:t xml:space="preserve">权值系数生成：融合特征再次通过一个卷积核将通道数降为 1，随后通过 Sigmoid 激活函数将输出限制在 </w:t>
      </w:r>
      <m:oMath>
        <m:r>
          <m:rPr/>
          <w:rPr>
            <w:rFonts w:hint="default" w:ascii="Cambria Math" w:hAnsi="Cambria Math"/>
            <w:sz w:val="24"/>
          </w:rPr>
          <m:t>[0,1]</m:t>
        </m:r>
      </m:oMath>
      <w:r>
        <w:rPr>
          <w:rFonts w:hint="default"/>
          <w:lang w:val="en-US" w:eastAsia="zh-CN"/>
        </w:rPr>
        <w:t xml:space="preserve"> 区间。此时得到的单通道二维矩阵即为注意力权值系数（Attention Coefficients, </w:t>
      </w:r>
      <m:oMath>
        <m:r>
          <m:rPr/>
          <w:rPr>
            <w:rFonts w:hint="default" w:ascii="Cambria Math" w:hAnsi="Cambria Math"/>
            <w:sz w:val="24"/>
          </w:rPr>
          <m:t>α</m:t>
        </m:r>
      </m:oMath>
      <w:r>
        <w:rPr>
          <w:rFonts w:hint="default"/>
          <w:lang w:val="en-US" w:eastAsia="zh-CN"/>
        </w:rPr>
        <w:t>）。</w:t>
      </w:r>
    </w:p>
    <w:p w14:paraId="490124D1">
      <w:pPr>
        <w:rPr>
          <w:rFonts w:hint="default"/>
          <w:lang w:val="en-US" w:eastAsia="zh-CN"/>
        </w:rPr>
      </w:pPr>
      <w:r>
        <w:rPr>
          <w:rFonts w:hint="eastAsia"/>
          <w:lang w:val="en-US" w:eastAsia="zh-CN"/>
        </w:rPr>
        <w:t>4.</w:t>
      </w:r>
      <w:r>
        <w:rPr>
          <w:rFonts w:hint="default"/>
          <w:lang w:val="en-US" w:eastAsia="zh-CN"/>
        </w:rPr>
        <w:t>特征门控乘积：</w:t>
      </w:r>
      <w:r>
        <w:rPr>
          <w:rFonts w:hint="eastAsia"/>
          <w:lang w:val="en-US" w:eastAsia="zh-CN"/>
        </w:rPr>
        <w:t>上述过程</w:t>
      </w:r>
      <w:r>
        <w:rPr>
          <w:rFonts w:hint="default"/>
          <w:lang w:val="en-US" w:eastAsia="zh-CN"/>
        </w:rPr>
        <w:t>完整的数学表达式为</w:t>
      </w:r>
    </w:p>
    <w:p w14:paraId="443C145F">
      <w:pPr>
        <w:rPr>
          <w:rFonts w:hint="default" w:hAnsi="Cambria Math"/>
          <w:i/>
          <w:sz w:val="24"/>
        </w:rPr>
      </w:pPr>
      <m:oMathPara>
        <m:oMath>
          <m:sSubSup>
            <m:sSubSupPr>
              <m:ctrlPr>
                <w:rPr>
                  <w:rFonts w:hint="default" w:ascii="Cambria Math" w:hAnsi="Cambria Math"/>
                  <w:sz w:val="24"/>
                </w:rPr>
              </m:ctrlPr>
            </m:sSubSup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att</m:t>
              </m:r>
              <m:ctrlPr>
                <w:rPr>
                  <w:rFonts w:hint="default" w:ascii="Cambria Math" w:hAnsi="Cambria Math"/>
                  <w:sz w:val="24"/>
                </w:rPr>
              </m:ctrlPr>
            </m:sub>
            <m:sup>
              <m:r>
                <m:rPr/>
                <w:rPr>
                  <w:rFonts w:hint="default" w:ascii="Cambria Math" w:hAnsi="Cambria Math"/>
                  <w:sz w:val="24"/>
                </w:rPr>
                <m:t>l</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ψ</m:t>
              </m:r>
              <m:ctrlPr>
                <w:rPr>
                  <w:rFonts w:hint="default" w:ascii="Cambria Math" w:hAnsi="Cambria Math"/>
                  <w:sz w:val="24"/>
                </w:rPr>
              </m:ctrlPr>
            </m:e>
            <m:sup>
              <m:r>
                <m:rPr/>
                <w:rPr>
                  <w:rFonts w:hint="default" w:ascii="Cambria Math" w:hAnsi="Cambria Math"/>
                  <w:sz w:val="24"/>
                </w:rPr>
                <m:t>T</m:t>
              </m:r>
              <m:ctrlPr>
                <w:rPr>
                  <w:rFonts w:hint="default" w:ascii="Cambria Math" w:hAnsi="Cambria Math"/>
                  <w:sz w:val="24"/>
                </w:rPr>
              </m:ctrlPr>
            </m:sup>
          </m:sSup>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d>
                <m:dPr>
                  <m:ctrlPr>
                    <w:rPr>
                      <w:rFonts w:hint="default" w:ascii="Cambria Math" w:hAnsi="Cambria Math"/>
                      <w:i/>
                      <w:sz w:val="24"/>
                    </w:rPr>
                  </m:ctrlPr>
                </m:dPr>
                <m:e>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g+</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ctrlPr>
                    <w:rPr>
                      <w:rFonts w:hint="default" w:ascii="Cambria Math" w:hAnsi="Cambria Math"/>
                      <w:sz w:val="24"/>
                    </w:rPr>
                  </m:ctrlPr>
                </m:e>
              </m:d>
              <m:ctrlPr>
                <w:rPr>
                  <w:rFonts w:hint="default" w:ascii="Cambria Math" w:hAnsi="Cambria Math"/>
                  <w:i/>
                  <w:sz w:val="24"/>
                </w:rPr>
              </m:ctrlPr>
            </m:e>
          </m:d>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ψ</m:t>
              </m:r>
              <m:ctrlPr>
                <w:rPr>
                  <w:rFonts w:hint="default" w:ascii="Cambria Math" w:hAnsi="Cambria Math"/>
                  <w:i/>
                  <w:sz w:val="24"/>
                </w:rPr>
              </m:ctrlPr>
            </m:sub>
          </m:sSub>
        </m:oMath>
      </m:oMathPara>
    </w:p>
    <w:p w14:paraId="567993CA">
      <w:pPr>
        <w:rPr>
          <w:rFonts w:hint="default" w:hAnsi="Cambria Math"/>
          <w:sz w:val="24"/>
        </w:rPr>
      </w:pPr>
      <m:oMathPara>
        <m:oMath>
          <m:sSup>
            <m:sSupPr>
              <m:ctrlPr>
                <w:rPr>
                  <w:rFonts w:hint="default" w:ascii="Cambria Math" w:hAnsi="Cambria Math"/>
                  <w:sz w:val="24"/>
                </w:rPr>
              </m:ctrlPr>
            </m:sSupPr>
            <m:e>
              <m:r>
                <m:rPr/>
                <w:rPr>
                  <w:rFonts w:hint="default" w:ascii="Cambria Math" w:hAnsi="Cambria Math"/>
                  <w:sz w:val="24"/>
                </w:rPr>
                <m:t>α</m:t>
              </m:r>
              <m:ctrlPr>
                <w:rPr>
                  <w:rFonts w:hint="default" w:ascii="Cambria Math" w:hAnsi="Cambria Math"/>
                  <w:i/>
                  <w:sz w:val="24"/>
                </w:rPr>
              </m:ctrlPr>
            </m:e>
            <m:sup>
              <m:r>
                <m:rPr/>
                <w:rPr>
                  <w:rFonts w:hint="default" w:ascii="Cambria Math" w:hAnsi="Cambria Math"/>
                  <w:sz w:val="24"/>
                </w:rPr>
                <m:t>l</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i/>
                  <w:sz w:val="24"/>
                </w:rPr>
              </m:ctrlPr>
            </m:e>
            <m:sub>
              <m:r>
                <m:rPr/>
                <w:rPr>
                  <w:rFonts w:hint="default" w:ascii="Cambria Math" w:hAnsi="Cambria Math"/>
                  <w:sz w:val="24"/>
                </w:rPr>
                <m:t>2</m:t>
              </m:r>
              <m:ctrlPr>
                <w:rPr>
                  <w:rFonts w:hint="default" w:ascii="Cambria Math" w:hAnsi="Cambria Math"/>
                  <w:i/>
                  <w:sz w:val="24"/>
                </w:rPr>
              </m:ctrlPr>
            </m:sub>
          </m:sSub>
          <m:d>
            <m:dPr>
              <m:ctrlPr>
                <w:rPr>
                  <w:rFonts w:hint="default" w:ascii="Cambria Math" w:hAnsi="Cambria Math"/>
                  <w:i/>
                  <w:sz w:val="24"/>
                </w:rPr>
              </m:ctrlPr>
            </m:dPr>
            <m:e>
              <m:sSubSup>
                <m:sSubSupPr>
                  <m:ctrlPr>
                    <w:rPr>
                      <w:rFonts w:hint="default" w:ascii="Cambria Math" w:hAnsi="Cambria Math"/>
                      <w:sz w:val="24"/>
                    </w:rPr>
                  </m:ctrlPr>
                </m:sSubSup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att</m:t>
                  </m:r>
                  <m:ctrlPr>
                    <w:rPr>
                      <w:rFonts w:hint="default" w:ascii="Cambria Math" w:hAnsi="Cambria Math"/>
                      <w:sz w:val="24"/>
                    </w:rPr>
                  </m:ctrlPr>
                </m:sub>
                <m:sup>
                  <m:r>
                    <m:rPr/>
                    <w:rPr>
                      <w:rFonts w:hint="default" w:ascii="Cambria Math" w:hAnsi="Cambria Math"/>
                      <w:sz w:val="24"/>
                    </w:rPr>
                    <m:t>l</m:t>
                  </m:r>
                  <m:ctrlPr>
                    <w:rPr>
                      <w:rFonts w:hint="default" w:ascii="Cambria Math" w:hAnsi="Cambria Math"/>
                      <w:sz w:val="24"/>
                    </w:rPr>
                  </m:ctrlPr>
                </m:sup>
              </m:sSubSup>
              <m:ctrlPr>
                <w:rPr>
                  <w:rFonts w:hint="default" w:ascii="Cambria Math" w:hAnsi="Cambria Math"/>
                  <w:sz w:val="24"/>
                </w:rPr>
              </m:ctrlPr>
            </m:e>
          </m:d>
        </m:oMath>
      </m:oMathPara>
    </w:p>
    <w:p w14:paraId="540C228B">
      <w:pPr>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att</m:t>
              </m:r>
              <m:ctrlPr>
                <w:rPr>
                  <w:rFonts w:hint="default" w:ascii="Cambria Math" w:hAnsi="Cambria Math"/>
                  <w:sz w:val="24"/>
                </w:rPr>
              </m:ctrlPr>
            </m:sub>
            <m:sup>
              <m:r>
                <m:rPr/>
                <w:rPr>
                  <w:rFonts w:hint="default" w:ascii="Cambria Math" w:hAnsi="Cambria Math"/>
                  <w:sz w:val="24"/>
                </w:rPr>
                <m:t>l</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hint="default" w:ascii="Cambria Math" w:hAnsi="Cambria Math"/>
                  <w:sz w:val="24"/>
                </w:rPr>
              </m:ctrlPr>
            </m:e>
            <m:sup>
              <m:r>
                <m:rPr/>
                <w:rPr>
                  <w:rFonts w:hint="default" w:ascii="Cambria Math" w:hAnsi="Cambria Math"/>
                  <w:sz w:val="24"/>
                </w:rPr>
                <m:t>l</m:t>
              </m:r>
              <m:ctrlPr>
                <w:rPr>
                  <w:rFonts w:hint="default"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α</m:t>
              </m:r>
              <m:ctrlPr>
                <w:rPr>
                  <w:rFonts w:hint="default" w:ascii="Cambria Math" w:hAnsi="Cambria Math"/>
                  <w:sz w:val="24"/>
                </w:rPr>
              </m:ctrlPr>
            </m:e>
            <m:sup>
              <m:r>
                <m:rPr/>
                <w:rPr>
                  <w:rFonts w:hint="default" w:ascii="Cambria Math" w:hAnsi="Cambria Math"/>
                  <w:sz w:val="24"/>
                </w:rPr>
                <m:t>l</m:t>
              </m:r>
              <m:ctrlPr>
                <w:rPr>
                  <w:rFonts w:hint="default" w:ascii="Cambria Math" w:hAnsi="Cambria Math"/>
                  <w:sz w:val="24"/>
                </w:rPr>
              </m:ctrlPr>
            </m:sup>
          </m:sSup>
        </m:oMath>
      </m:oMathPara>
    </w:p>
    <w:p w14:paraId="0A6814DB">
      <w:pPr>
        <w:rPr>
          <w:rFonts w:hint="default" w:ascii="Times New Roman" w:hAnsi="Times New Roman" w:cs="Times New Roman"/>
          <w:lang w:val="en-US" w:eastAsia="zh-CN"/>
        </w:rPr>
      </w:pPr>
      <w:r>
        <w:rPr>
          <w:rFonts w:hint="default"/>
          <w:lang w:val="en-US" w:eastAsia="zh-CN"/>
        </w:rPr>
        <w:t>其中，</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,ψ</m:t>
        </m:r>
      </m:oMath>
      <w:r>
        <w:rPr>
          <w:rFonts w:hint="default"/>
          <w:lang w:val="en-US" w:eastAsia="zh-CN"/>
        </w:rPr>
        <w:t xml:space="preserve"> 分别为卷积的权重参数，</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ψ</m:t>
            </m:r>
            <m:ctrlPr>
              <w:rPr>
                <w:rFonts w:ascii="Cambria Math" w:hAnsi="Cambria Math"/>
                <w:sz w:val="24"/>
              </w:rPr>
            </m:ctrlPr>
          </m:sub>
        </m:sSub>
      </m:oMath>
      <w:r>
        <w:rPr>
          <w:rFonts w:hint="default"/>
          <w:lang w:val="en-US" w:eastAsia="zh-CN"/>
        </w:rPr>
        <w:t xml:space="preserve"> 为偏置项，</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 为 ReLU 激活函数，</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default"/>
          <w:lang w:val="en-US" w:eastAsia="zh-CN"/>
        </w:rPr>
        <w:t xml:space="preserve"> 为 Sigmoid 激活函数，</w:t>
      </w:r>
      <m:oMath>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oMath>
      <w:r>
        <w:rPr>
          <w:rFonts w:hint="default"/>
          <w:lang w:val="en-US" w:eastAsia="zh-CN"/>
        </w:rPr>
        <w:t xml:space="preserve"> 代表第</w:t>
      </w:r>
      <w:r>
        <w:rPr>
          <w:rFonts w:hint="eastAsia"/>
          <w:lang w:val="en-US" w:eastAsia="zh-CN"/>
        </w:rPr>
        <w:t>l</w:t>
      </w:r>
      <w:r>
        <w:rPr>
          <w:rFonts w:hint="default"/>
          <w:lang w:val="en-US" w:eastAsia="zh-CN"/>
        </w:rPr>
        <w:t xml:space="preserve">层的注意力系数矩阵。通过这种级联操作，网络能够主动令血管区域的 </w:t>
      </w:r>
      <m:oMath>
        <m:r>
          <m:rPr/>
          <w:rPr>
            <w:rFonts w:hint="default" w:ascii="Cambria Math" w:hAnsi="Cambria Math"/>
            <w:sz w:val="24"/>
          </w:rPr>
          <m:t>α</m:t>
        </m:r>
      </m:oMath>
      <w:r>
        <w:rPr>
          <w:rFonts w:hint="default"/>
          <w:lang w:val="en-US" w:eastAsia="zh-CN"/>
        </w:rPr>
        <w:t xml:space="preserve"> 逼近 1，而非血管区域的 </w:t>
      </w:r>
      <m:oMath>
        <m:r>
          <m:rPr/>
          <w:rPr>
            <w:rFonts w:hint="default" w:ascii="Cambria Math" w:hAnsi="Cambria Math"/>
            <w:sz w:val="24"/>
          </w:rPr>
          <m:t>α</m:t>
        </m:r>
      </m:oMath>
      <w:r>
        <w:rPr>
          <w:rFonts w:hint="default"/>
          <w:lang w:val="en-US" w:eastAsia="zh-CN"/>
        </w:rPr>
        <w:t xml:space="preserve"> 强行静默趋近于 0。</w:t>
      </w:r>
    </w:p>
    <w:p w14:paraId="499B3216">
      <w:pPr>
        <w:pStyle w:val="4"/>
        <w:bidi w:val="0"/>
        <w:rPr>
          <w:rFonts w:hint="eastAsia" w:cs="Times New Roman"/>
          <w:lang w:eastAsia="zh-CN"/>
        </w:rPr>
      </w:pP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eastAsia" w:cs="Times New Roman"/>
          <w:lang w:eastAsia="zh-CN"/>
        </w:rPr>
        <w:t>模型架构</w:t>
      </w:r>
    </w:p>
    <w:p w14:paraId="35EAFBD2">
      <w:pPr>
        <w:rPr>
          <w:rFonts w:hint="default"/>
          <w:lang w:val="en-US" w:eastAsia="zh-CN"/>
        </w:rPr>
      </w:pPr>
      <w:r>
        <w:rPr>
          <w:rFonts w:hint="eastAsia"/>
          <w:lang w:val="en-US" w:eastAsia="zh-CN"/>
        </w:rPr>
        <w:t>本实验模型架构如下图1所示。</w:t>
      </w:r>
    </w:p>
    <w:p w14:paraId="01FC2FB3">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49925" cy="3832860"/>
            <wp:effectExtent l="0" t="0" r="3175" b="2540"/>
            <wp:docPr id="2" name="图片 2" descr="ChatGPT Image 2026年5月31日 13_04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5月31日 13_04_15"/>
                    <pic:cNvPicPr>
                      <a:picLocks noChangeAspect="1"/>
                    </pic:cNvPicPr>
                  </pic:nvPicPr>
                  <pic:blipFill>
                    <a:blip r:embed="rId10"/>
                    <a:stretch>
                      <a:fillRect/>
                    </a:stretch>
                  </pic:blipFill>
                  <pic:spPr>
                    <a:xfrm>
                      <a:off x="0" y="0"/>
                      <a:ext cx="5749925" cy="3832860"/>
                    </a:xfrm>
                    <a:prstGeom prst="rect">
                      <a:avLst/>
                    </a:prstGeom>
                  </pic:spPr>
                </pic:pic>
              </a:graphicData>
            </a:graphic>
          </wp:inline>
        </w:drawing>
      </w:r>
    </w:p>
    <w:p w14:paraId="402A477E">
      <w:pPr>
        <w:ind w:left="0" w:leftChars="0" w:firstLine="0" w:firstLineChars="0"/>
        <w:jc w:val="center"/>
        <w:rPr>
          <w:rFonts w:hint="eastAsia"/>
          <w:lang w:eastAsia="zh-CN"/>
        </w:rPr>
      </w:pPr>
      <w:r>
        <w:rPr>
          <w:rFonts w:hint="eastAsia" w:cs="Times New Roman"/>
          <w:lang w:val="en-US" w:eastAsia="zh-CN"/>
        </w:rPr>
        <w:t>图1 Attention U-Net模型架构</w:t>
      </w:r>
    </w:p>
    <w:p w14:paraId="2F76412A">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模型训练</w:t>
      </w:r>
    </w:p>
    <w:p w14:paraId="0748AE2D">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1. 训练环境与超参数设置</w:t>
      </w:r>
    </w:p>
    <w:p w14:paraId="2F8D4218">
      <w:pPr>
        <w:rPr>
          <w:rFonts w:hint="default"/>
        </w:rPr>
      </w:pPr>
      <w:r>
        <w:rPr>
          <w:rFonts w:hint="default"/>
        </w:rPr>
        <w:t>模型训练基于 PyTorch 深度学习框架，在</w:t>
      </w:r>
      <w:r>
        <w:rPr>
          <w:rFonts w:hint="eastAsia"/>
          <w:lang w:eastAsia="zh-CN"/>
        </w:rPr>
        <w:t>本地笔记本的</w:t>
      </w:r>
      <w:r>
        <w:rPr>
          <w:rFonts w:hint="eastAsia"/>
          <w:lang w:val="en-US" w:eastAsia="zh-CN"/>
        </w:rPr>
        <w:t>RTX4060上</w:t>
      </w:r>
      <w:r>
        <w:rPr>
          <w:rFonts w:hint="default"/>
        </w:rPr>
        <w:t xml:space="preserve">完成。为了使网络平稳且高效地收敛，实验经过参数调优，最终确定的训练超参数配置如下：优化器选用自适应矩估计优化器（Adam），其能为每个参数动态调整学习率，初始学习率设定为 </w:t>
      </w:r>
      <m:oMath>
        <m:r>
          <m:rPr/>
          <w:rPr>
            <w:rFonts w:hint="default" w:ascii="Cambria Math" w:hAnsi="Cambria Math"/>
            <w:sz w:val="24"/>
          </w:rPr>
          <m:t>1.0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rPr>
        <w:t>，并配合 ReduceLROnPlateau 动态调度器在损失平台期进行学习率折半惩罚；单次前向传播的批大小（Batch Size）设为 32；网络总计训练 1</w:t>
      </w:r>
      <w:r>
        <w:rPr>
          <w:rFonts w:hint="eastAsia"/>
          <w:lang w:val="en-US" w:eastAsia="zh-CN"/>
        </w:rPr>
        <w:t>0</w:t>
      </w:r>
      <w:r>
        <w:rPr>
          <w:rFonts w:hint="default"/>
        </w:rPr>
        <w:t>0 个 Epoch，每个 Epoch 包含 125 次迭代（基于 4000 个虚拟 Patch 样本数与 32 的批大小计算得出）。训练过程中开启了验证监控，当单轮总损失低于历史最低损失时，实时触发权重保存机制，以确保捕获表现最优秀的 best_model.pth 模型权重。</w:t>
      </w:r>
    </w:p>
    <w:p w14:paraId="3C8F84FD">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2. 损失函数收敛过程</w:t>
      </w:r>
    </w:p>
    <w:p w14:paraId="583348AF">
      <w:pPr>
        <w:rPr>
          <w:rFonts w:hint="default"/>
          <w:lang w:val="en-US" w:eastAsia="zh-CN"/>
        </w:rPr>
      </w:pPr>
      <w:r>
        <w:rPr>
          <w:rFonts w:hint="eastAsia" w:cs="Times New Roman"/>
          <w:lang w:val="en-US" w:eastAsia="zh-CN"/>
        </w:rPr>
        <w:t>训练过程损失函数曲线如下图2所示。</w:t>
      </w:r>
    </w:p>
    <w:p w14:paraId="408357D7">
      <w:pPr>
        <w:ind w:left="0" w:leftChars="0" w:firstLine="0" w:firstLineChars="0"/>
        <w:rPr>
          <w:rFonts w:hint="default"/>
          <w:lang w:val="en-US" w:eastAsia="zh-CN"/>
        </w:rPr>
      </w:pPr>
      <w:r>
        <w:rPr>
          <w:rFonts w:hint="default"/>
          <w:lang w:val="en-US" w:eastAsia="zh-CN"/>
        </w:rPr>
        <w:drawing>
          <wp:inline distT="0" distB="0" distL="114300" distR="114300">
            <wp:extent cx="5756910" cy="3597910"/>
            <wp:effectExtent l="0" t="0" r="8890" b="8890"/>
            <wp:docPr id="3" name="图片 3"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ss_curve"/>
                    <pic:cNvPicPr>
                      <a:picLocks noChangeAspect="1"/>
                    </pic:cNvPicPr>
                  </pic:nvPicPr>
                  <pic:blipFill>
                    <a:blip r:embed="rId11"/>
                    <a:stretch>
                      <a:fillRect/>
                    </a:stretch>
                  </pic:blipFill>
                  <pic:spPr>
                    <a:xfrm>
                      <a:off x="0" y="0"/>
                      <a:ext cx="5756910" cy="3597910"/>
                    </a:xfrm>
                    <a:prstGeom prst="rect">
                      <a:avLst/>
                    </a:prstGeom>
                  </pic:spPr>
                </pic:pic>
              </a:graphicData>
            </a:graphic>
          </wp:inline>
        </w:drawing>
      </w:r>
    </w:p>
    <w:p w14:paraId="59901BCB">
      <w:pPr>
        <w:ind w:left="0" w:leftChars="0" w:firstLine="0" w:firstLineChars="0"/>
        <w:jc w:val="center"/>
        <w:rPr>
          <w:rFonts w:hint="default"/>
          <w:lang w:val="en-US" w:eastAsia="zh-CN"/>
        </w:rPr>
      </w:pPr>
      <w:r>
        <w:rPr>
          <w:rFonts w:hint="eastAsia"/>
          <w:lang w:val="en-US" w:eastAsia="zh-CN"/>
        </w:rPr>
        <w:t xml:space="preserve">图2 </w:t>
      </w:r>
      <w:r>
        <w:rPr>
          <w:rFonts w:ascii="宋体" w:hAnsi="宋体" w:eastAsia="宋体" w:cs="宋体"/>
          <w:sz w:val="24"/>
          <w:szCs w:val="24"/>
        </w:rPr>
        <w:t>训练损失函数下降曲线图</w:t>
      </w:r>
    </w:p>
    <w:p w14:paraId="40AD7E56">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实验结论与对比分析</w:t>
      </w:r>
    </w:p>
    <w:p w14:paraId="4C98B864">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1. 定量指标评估与分析</w:t>
      </w:r>
    </w:p>
    <w:p w14:paraId="76D6F8FB">
      <w:pPr>
        <w:bidi w:val="0"/>
        <w:rPr>
          <w:rFonts w:hint="eastAsia"/>
          <w:lang w:eastAsia="zh-CN"/>
        </w:rPr>
      </w:pPr>
      <w:r>
        <w:t>为了全面评估训练完成的</w:t>
      </w:r>
      <w:r>
        <w:rPr>
          <w:rFonts w:hint="eastAsia"/>
          <w:lang w:val="en-US" w:eastAsia="zh-CN"/>
        </w:rPr>
        <w:t xml:space="preserve"> Attention</w:t>
      </w:r>
      <w:r>
        <w:t xml:space="preserve"> U-Net 模型在测试集上的分割泛化性能，实验对 DRIVE 数据集测试集的 20 张图像进行了像素级推断。依据医疗图像分割的严谨性标准，汇总全集像素得到的最终定量测试评估结果如表</w:t>
      </w:r>
      <w:r>
        <w:rPr>
          <w:rFonts w:hint="eastAsia"/>
          <w:lang w:val="en-US" w:eastAsia="zh-CN"/>
        </w:rPr>
        <w:t>1</w:t>
      </w:r>
      <w:r>
        <w:t>所示</w:t>
      </w:r>
      <w:r>
        <w:rPr>
          <w:rFonts w:hint="eastAsia"/>
          <w:lang w:eastAsia="zh-CN"/>
        </w:rPr>
        <w:t>。</w:t>
      </w:r>
    </w:p>
    <w:p w14:paraId="58A4DF40">
      <w:pPr>
        <w:bidi w:val="0"/>
        <w:ind w:left="0" w:leftChars="0" w:firstLine="0" w:firstLineChars="0"/>
        <w:jc w:val="center"/>
        <w:rPr>
          <w:rFonts w:hint="eastAsia"/>
          <w:lang w:val="en-US" w:eastAsia="zh-CN"/>
        </w:rPr>
      </w:pPr>
      <w:r>
        <w:rPr>
          <w:rFonts w:hint="eastAsia"/>
          <w:lang w:eastAsia="zh-CN"/>
        </w:rPr>
        <w:t>表</w:t>
      </w:r>
      <w:r>
        <w:rPr>
          <w:rFonts w:hint="eastAsia"/>
          <w:lang w:val="en-US" w:eastAsia="zh-CN"/>
        </w:rPr>
        <w:t>1 实验结果</w:t>
      </w:r>
    </w:p>
    <w:tbl>
      <w:tblPr>
        <w:tblStyle w:val="14"/>
        <w:tblW w:w="9287"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82"/>
        <w:gridCol w:w="1540"/>
        <w:gridCol w:w="5665"/>
      </w:tblGrid>
      <w:tr w14:paraId="0053B6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2037" w:type="dxa"/>
            <w:tcBorders>
              <w:top w:val="single" w:color="156082" w:themeColor="accent1" w:sz="8" w:space="0"/>
              <w:left w:val="single" w:color="156082" w:themeColor="accent1" w:sz="8" w:space="0"/>
              <w:bottom w:val="single" w:color="156082" w:themeColor="accent1" w:sz="8" w:space="0"/>
              <w:right w:val="nil"/>
            </w:tcBorders>
            <w:shd w:val="clear" w:color="auto" w:fill="156082" w:themeFill="accent1"/>
            <w:tcMar>
              <w:top w:w="80" w:type="dxa"/>
              <w:left w:w="120" w:type="dxa"/>
              <w:bottom w:w="80" w:type="dxa"/>
              <w:right w:w="120" w:type="dxa"/>
            </w:tcMar>
            <w:vAlign w:val="center"/>
          </w:tcPr>
          <w:p w14:paraId="5F65B7C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评估指标</w:t>
            </w:r>
          </w:p>
        </w:tc>
        <w:tc>
          <w:tcPr>
            <w:tcW w:w="1510" w:type="dxa"/>
            <w:tcBorders>
              <w:top w:val="single" w:color="156082" w:themeColor="accent1" w:sz="8" w:space="0"/>
              <w:left w:val="nil"/>
              <w:bottom w:val="single" w:color="156082" w:themeColor="accent1" w:sz="8" w:space="0"/>
              <w:right w:val="nil"/>
            </w:tcBorders>
            <w:shd w:val="clear" w:color="auto" w:fill="156082" w:themeFill="accent1"/>
            <w:tcMar>
              <w:top w:w="80" w:type="dxa"/>
              <w:left w:w="120" w:type="dxa"/>
              <w:bottom w:w="80" w:type="dxa"/>
              <w:right w:w="120" w:type="dxa"/>
            </w:tcMar>
            <w:vAlign w:val="center"/>
          </w:tcPr>
          <w:p w14:paraId="36AF384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实验测得数值</w:t>
            </w:r>
          </w:p>
        </w:tc>
        <w:tc>
          <w:tcPr>
            <w:tcW w:w="5620" w:type="dxa"/>
            <w:tcBorders>
              <w:top w:val="single" w:color="156082" w:themeColor="accent1" w:sz="8" w:space="0"/>
              <w:left w:val="nil"/>
              <w:bottom w:val="single" w:color="156082" w:themeColor="accent1" w:sz="8" w:space="0"/>
              <w:right w:val="single" w:color="156082" w:themeColor="accent1" w:sz="8" w:space="0"/>
            </w:tcBorders>
            <w:shd w:val="clear" w:color="auto" w:fill="156082" w:themeFill="accent1"/>
            <w:tcMar>
              <w:top w:w="80" w:type="dxa"/>
              <w:left w:w="120" w:type="dxa"/>
              <w:bottom w:w="80" w:type="dxa"/>
              <w:right w:w="120" w:type="dxa"/>
            </w:tcMar>
            <w:vAlign w:val="center"/>
          </w:tcPr>
          <w:p w14:paraId="209AD377">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医疗图像分割临床参考意义</w:t>
            </w:r>
          </w:p>
        </w:tc>
      </w:tr>
      <w:tr w14:paraId="4FE604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single" w:color="156082" w:themeColor="accent1" w:sz="8" w:space="0"/>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1F470E3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准确率 (Accuracy, ACC)</w:t>
            </w:r>
          </w:p>
        </w:tc>
        <w:tc>
          <w:tcPr>
            <w:tcW w:w="1510" w:type="dxa"/>
            <w:tcBorders>
              <w:top w:val="single" w:color="156082" w:themeColor="accent1" w:sz="8" w:space="0"/>
              <w:left w:val="nil"/>
              <w:bottom w:val="nil"/>
              <w:right w:val="nil"/>
            </w:tcBorders>
            <w:shd w:val="clear" w:color="auto" w:fill="FFFFFF"/>
            <w:tcMar>
              <w:top w:w="80" w:type="dxa"/>
              <w:left w:w="120" w:type="dxa"/>
              <w:bottom w:w="80" w:type="dxa"/>
              <w:right w:w="120" w:type="dxa"/>
            </w:tcMar>
            <w:vAlign w:val="center"/>
          </w:tcPr>
          <w:p w14:paraId="02A8717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9</w:t>
            </w:r>
            <w:r>
              <w:rPr>
                <w:rFonts w:hint="eastAsia" w:cs="Times New Roman"/>
                <w:b w:val="0"/>
                <w:bCs/>
                <w:i w:val="0"/>
                <w:color w:val="000000"/>
                <w:kern w:val="0"/>
                <w:sz w:val="21"/>
                <w:szCs w:val="21"/>
                <w:lang w:val="en-US" w:eastAsia="zh-CN" w:bidi="ar"/>
              </w:rPr>
              <w:t>3</w:t>
            </w:r>
            <w:r>
              <w:rPr>
                <w:rFonts w:hint="default" w:ascii="Times New Roman" w:hAnsi="Times New Roman" w:eastAsia="宋体" w:cs="Times New Roman"/>
                <w:b w:val="0"/>
                <w:bCs/>
                <w:i w:val="0"/>
                <w:color w:val="000000"/>
                <w:kern w:val="0"/>
                <w:sz w:val="21"/>
                <w:szCs w:val="21"/>
                <w:lang w:val="en-US" w:eastAsia="zh-CN" w:bidi="ar"/>
              </w:rPr>
              <w:t>.</w:t>
            </w:r>
            <w:r>
              <w:rPr>
                <w:rFonts w:hint="eastAsia" w:cs="Times New Roman"/>
                <w:b w:val="0"/>
                <w:bCs/>
                <w:i w:val="0"/>
                <w:color w:val="000000"/>
                <w:kern w:val="0"/>
                <w:sz w:val="21"/>
                <w:szCs w:val="21"/>
                <w:lang w:val="en-US" w:eastAsia="zh-CN" w:bidi="ar"/>
              </w:rPr>
              <w:t>93</w:t>
            </w:r>
            <w:r>
              <w:rPr>
                <w:rFonts w:hint="default" w:ascii="Times New Roman" w:hAnsi="Times New Roman" w:eastAsia="宋体" w:cs="Times New Roman"/>
                <w:b w:val="0"/>
                <w:bCs/>
                <w:i w:val="0"/>
                <w:color w:val="000000"/>
                <w:kern w:val="0"/>
                <w:sz w:val="21"/>
                <w:szCs w:val="21"/>
                <w:lang w:val="en-US" w:eastAsia="zh-CN" w:bidi="ar"/>
              </w:rPr>
              <w:t>%</w:t>
            </w:r>
          </w:p>
        </w:tc>
        <w:tc>
          <w:tcPr>
            <w:tcW w:w="5620" w:type="dxa"/>
            <w:tcBorders>
              <w:top w:val="single" w:color="156082" w:themeColor="accent1" w:sz="8" w:space="0"/>
              <w:left w:val="nil"/>
              <w:bottom w:val="nil"/>
              <w:right w:val="single" w:color="156082" w:themeColor="accent1" w:sz="8" w:space="0"/>
            </w:tcBorders>
            <w:shd w:val="clear" w:color="auto" w:fill="FFFFFF"/>
            <w:tcMar>
              <w:top w:w="80" w:type="dxa"/>
              <w:left w:w="120" w:type="dxa"/>
              <w:bottom w:w="80" w:type="dxa"/>
              <w:right w:w="120" w:type="dxa"/>
            </w:tcMar>
            <w:vAlign w:val="center"/>
          </w:tcPr>
          <w:p w14:paraId="1414D7B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反映视场内全图像素（血管与背景）被正确分类的整体比例，表明模型具备极高的整体判别稳定性。</w:t>
            </w:r>
          </w:p>
        </w:tc>
      </w:tr>
      <w:tr w14:paraId="105C61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32CC963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敏感度 (Sensitivity, SEN)</w:t>
            </w:r>
          </w:p>
        </w:tc>
        <w:tc>
          <w:tcPr>
            <w:tcW w:w="1510" w:type="dxa"/>
            <w:tcBorders>
              <w:top w:val="nil"/>
              <w:left w:val="nil"/>
              <w:bottom w:val="nil"/>
              <w:right w:val="nil"/>
            </w:tcBorders>
            <w:shd w:val="clear" w:color="auto" w:fill="FFFFFF"/>
            <w:tcMar>
              <w:top w:w="80" w:type="dxa"/>
              <w:left w:w="120" w:type="dxa"/>
              <w:bottom w:w="80" w:type="dxa"/>
              <w:right w:w="120" w:type="dxa"/>
            </w:tcMar>
            <w:vAlign w:val="center"/>
          </w:tcPr>
          <w:p w14:paraId="1F18717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7</w:t>
            </w:r>
            <w:r>
              <w:rPr>
                <w:rFonts w:hint="eastAsia" w:cs="Times New Roman"/>
                <w:b w:val="0"/>
                <w:bCs/>
                <w:i w:val="0"/>
                <w:color w:val="000000"/>
                <w:kern w:val="0"/>
                <w:sz w:val="21"/>
                <w:szCs w:val="21"/>
                <w:lang w:val="en-US" w:eastAsia="zh-CN" w:bidi="ar"/>
              </w:rPr>
              <w:t>9.10</w:t>
            </w:r>
            <w:r>
              <w:rPr>
                <w:rFonts w:hint="default" w:ascii="Times New Roman" w:hAnsi="Times New Roman" w:eastAsia="宋体" w:cs="Times New Roman"/>
                <w:b w:val="0"/>
                <w:bCs/>
                <w:i w:val="0"/>
                <w:color w:val="000000"/>
                <w:kern w:val="0"/>
                <w:sz w:val="21"/>
                <w:szCs w:val="21"/>
                <w:lang w:val="en-US" w:eastAsia="zh-CN" w:bidi="ar"/>
              </w:rPr>
              <w:t>%</w:t>
            </w:r>
          </w:p>
        </w:tc>
        <w:tc>
          <w:tcPr>
            <w:tcW w:w="5620" w:type="dxa"/>
            <w:tcBorders>
              <w:top w:val="nil"/>
              <w:left w:val="nil"/>
              <w:bottom w:val="nil"/>
              <w:right w:val="single" w:color="156082" w:themeColor="accent1" w:sz="8" w:space="0"/>
            </w:tcBorders>
            <w:shd w:val="clear" w:color="auto" w:fill="FFFFFF"/>
            <w:tcMar>
              <w:top w:w="80" w:type="dxa"/>
              <w:left w:w="120" w:type="dxa"/>
              <w:bottom w:w="80" w:type="dxa"/>
              <w:right w:w="120" w:type="dxa"/>
            </w:tcMar>
            <w:vAlign w:val="center"/>
          </w:tcPr>
          <w:p w14:paraId="7C70840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eastAsia" w:cs="Times New Roman"/>
                <w:b w:val="0"/>
                <w:i w:val="0"/>
                <w:color w:val="000000"/>
                <w:kern w:val="0"/>
                <w:sz w:val="21"/>
                <w:szCs w:val="21"/>
                <w:lang w:val="en-US" w:eastAsia="zh-CN" w:bidi="ar"/>
              </w:rPr>
              <w:t>Attention机制重点生效的指标，</w:t>
            </w:r>
            <w:r>
              <w:rPr>
                <w:rFonts w:hint="default" w:ascii="Times New Roman" w:hAnsi="Times New Roman" w:eastAsia="宋体" w:cs="Times New Roman"/>
                <w:b w:val="0"/>
                <w:i w:val="0"/>
                <w:color w:val="000000"/>
                <w:kern w:val="0"/>
                <w:sz w:val="21"/>
                <w:szCs w:val="21"/>
                <w:lang w:val="en-US" w:eastAsia="zh-CN" w:bidi="ar"/>
              </w:rPr>
              <w:t>代表真正的血管像素被正确提取出来的比例。</w:t>
            </w:r>
            <w:r>
              <w:rPr>
                <w:rFonts w:hint="eastAsia" w:cs="Times New Roman"/>
                <w:b w:val="0"/>
                <w:i w:val="0"/>
                <w:color w:val="000000"/>
                <w:kern w:val="0"/>
                <w:sz w:val="21"/>
                <w:szCs w:val="21"/>
                <w:lang w:val="en-US" w:eastAsia="zh-CN" w:bidi="ar"/>
              </w:rPr>
              <w:t>通过引入Attention Gate让模型敏感度有了明显提升，表面模型对毛细血管的提取能力明显增强</w:t>
            </w:r>
            <w:r>
              <w:rPr>
                <w:rFonts w:hint="default" w:ascii="Times New Roman" w:hAnsi="Times New Roman" w:eastAsia="宋体" w:cs="Times New Roman"/>
                <w:b w:val="0"/>
                <w:i w:val="0"/>
                <w:color w:val="000000"/>
                <w:kern w:val="0"/>
                <w:sz w:val="21"/>
                <w:szCs w:val="21"/>
                <w:lang w:val="en-US" w:eastAsia="zh-CN" w:bidi="ar"/>
              </w:rPr>
              <w:t>。</w:t>
            </w:r>
          </w:p>
        </w:tc>
      </w:tr>
      <w:tr w14:paraId="540744D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642739C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特异性 (Specificity, SPE)</w:t>
            </w:r>
          </w:p>
        </w:tc>
        <w:tc>
          <w:tcPr>
            <w:tcW w:w="1510" w:type="dxa"/>
            <w:tcBorders>
              <w:top w:val="nil"/>
              <w:left w:val="nil"/>
              <w:bottom w:val="nil"/>
              <w:right w:val="nil"/>
            </w:tcBorders>
            <w:shd w:val="clear" w:color="auto" w:fill="FFFFFF"/>
            <w:tcMar>
              <w:top w:w="80" w:type="dxa"/>
              <w:left w:w="120" w:type="dxa"/>
              <w:bottom w:w="80" w:type="dxa"/>
              <w:right w:w="120" w:type="dxa"/>
            </w:tcMar>
            <w:vAlign w:val="center"/>
          </w:tcPr>
          <w:p w14:paraId="1FC9510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96.</w:t>
            </w:r>
            <w:r>
              <w:rPr>
                <w:rFonts w:hint="eastAsia" w:cs="Times New Roman"/>
                <w:b w:val="0"/>
                <w:bCs/>
                <w:i w:val="0"/>
                <w:color w:val="000000"/>
                <w:kern w:val="0"/>
                <w:sz w:val="21"/>
                <w:szCs w:val="21"/>
                <w:lang w:val="en-US" w:eastAsia="zh-CN" w:bidi="ar"/>
              </w:rPr>
              <w:t>09</w:t>
            </w:r>
            <w:r>
              <w:rPr>
                <w:rFonts w:hint="default" w:ascii="Times New Roman" w:hAnsi="Times New Roman" w:eastAsia="宋体" w:cs="Times New Roman"/>
                <w:b w:val="0"/>
                <w:bCs/>
                <w:i w:val="0"/>
                <w:color w:val="000000"/>
                <w:kern w:val="0"/>
                <w:sz w:val="21"/>
                <w:szCs w:val="21"/>
                <w:lang w:val="en-US" w:eastAsia="zh-CN" w:bidi="ar"/>
              </w:rPr>
              <w:t>%</w:t>
            </w:r>
          </w:p>
        </w:tc>
        <w:tc>
          <w:tcPr>
            <w:tcW w:w="5620" w:type="dxa"/>
            <w:tcBorders>
              <w:top w:val="nil"/>
              <w:left w:val="nil"/>
              <w:bottom w:val="nil"/>
              <w:right w:val="single" w:color="156082" w:themeColor="accent1" w:sz="8" w:space="0"/>
            </w:tcBorders>
            <w:shd w:val="clear" w:color="auto" w:fill="FFFFFF"/>
            <w:tcMar>
              <w:top w:w="80" w:type="dxa"/>
              <w:left w:w="120" w:type="dxa"/>
              <w:bottom w:w="80" w:type="dxa"/>
              <w:right w:w="120" w:type="dxa"/>
            </w:tcMar>
            <w:vAlign w:val="center"/>
          </w:tcPr>
          <w:p w14:paraId="0E6C2F3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代表非血管背景区域被正确识别的比例</w:t>
            </w:r>
            <w:r>
              <w:rPr>
                <w:rFonts w:hint="eastAsia" w:cs="Times New Roman"/>
                <w:b w:val="0"/>
                <w:i w:val="0"/>
                <w:color w:val="000000"/>
                <w:kern w:val="0"/>
                <w:sz w:val="21"/>
                <w:szCs w:val="21"/>
                <w:lang w:val="en-US" w:eastAsia="zh-CN" w:bidi="ar"/>
              </w:rPr>
              <w:t>。</w:t>
            </w:r>
            <w:r>
              <w:rPr>
                <w:rFonts w:hint="default" w:ascii="Times New Roman" w:hAnsi="Times New Roman" w:eastAsia="宋体" w:cs="Times New Roman"/>
                <w:b w:val="0"/>
                <w:i w:val="0"/>
                <w:color w:val="000000"/>
                <w:kern w:val="0"/>
                <w:sz w:val="21"/>
                <w:szCs w:val="21"/>
                <w:lang w:val="en-US" w:eastAsia="zh-CN" w:bidi="ar"/>
              </w:rPr>
              <w:t>96.</w:t>
            </w:r>
            <w:r>
              <w:rPr>
                <w:rFonts w:hint="eastAsia" w:cs="Times New Roman"/>
                <w:b w:val="0"/>
                <w:i w:val="0"/>
                <w:color w:val="000000"/>
                <w:kern w:val="0"/>
                <w:sz w:val="21"/>
                <w:szCs w:val="21"/>
                <w:lang w:val="en-US" w:eastAsia="zh-CN" w:bidi="ar"/>
              </w:rPr>
              <w:t>09</w:t>
            </w:r>
            <w:r>
              <w:rPr>
                <w:rFonts w:hint="default" w:ascii="Times New Roman" w:hAnsi="Times New Roman" w:eastAsia="宋体" w:cs="Times New Roman"/>
                <w:b w:val="0"/>
                <w:i w:val="0"/>
                <w:color w:val="000000"/>
                <w:kern w:val="0"/>
                <w:sz w:val="21"/>
                <w:szCs w:val="21"/>
                <w:lang w:val="en-US" w:eastAsia="zh-CN" w:bidi="ar"/>
              </w:rPr>
              <w:t>% 的高水平表明模型对复杂眼底背景有极强的抑制噪声能力，极少发生假阳性误判。</w:t>
            </w:r>
          </w:p>
        </w:tc>
      </w:tr>
      <w:tr w14:paraId="721A3E8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single" w:color="156082" w:themeColor="accent1" w:sz="8" w:space="0"/>
              <w:right w:val="nil"/>
            </w:tcBorders>
            <w:shd w:val="clear" w:color="auto" w:fill="C2E5F5" w:themeFill="accent1" w:themeFillTint="32"/>
            <w:tcMar>
              <w:top w:w="80" w:type="dxa"/>
              <w:left w:w="120" w:type="dxa"/>
              <w:bottom w:w="80" w:type="dxa"/>
              <w:right w:w="120" w:type="dxa"/>
            </w:tcMar>
            <w:vAlign w:val="center"/>
          </w:tcPr>
          <w:p w14:paraId="0ABD8A2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线下面积 (Area Under ROC, AUC)</w:t>
            </w:r>
          </w:p>
        </w:tc>
        <w:tc>
          <w:tcPr>
            <w:tcW w:w="1510" w:type="dxa"/>
            <w:tcBorders>
              <w:top w:val="nil"/>
              <w:left w:val="nil"/>
              <w:bottom w:val="single" w:color="156082" w:themeColor="accent1" w:sz="8" w:space="0"/>
              <w:right w:val="nil"/>
            </w:tcBorders>
            <w:shd w:val="clear" w:color="auto" w:fill="FFFFFF"/>
            <w:tcMar>
              <w:top w:w="80" w:type="dxa"/>
              <w:left w:w="120" w:type="dxa"/>
              <w:bottom w:w="80" w:type="dxa"/>
              <w:right w:w="120" w:type="dxa"/>
            </w:tcMar>
            <w:vAlign w:val="center"/>
          </w:tcPr>
          <w:p w14:paraId="39B1C35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lang w:val="en-US"/>
              </w:rPr>
            </w:pPr>
            <w:r>
              <w:rPr>
                <w:rFonts w:hint="default" w:ascii="Times New Roman" w:hAnsi="Times New Roman" w:eastAsia="宋体" w:cs="Times New Roman"/>
                <w:b w:val="0"/>
                <w:bCs/>
                <w:i w:val="0"/>
                <w:color w:val="000000"/>
                <w:kern w:val="0"/>
                <w:sz w:val="21"/>
                <w:szCs w:val="21"/>
                <w:lang w:val="en-US" w:eastAsia="zh-CN" w:bidi="ar"/>
              </w:rPr>
              <w:t>0.960</w:t>
            </w:r>
            <w:r>
              <w:rPr>
                <w:rFonts w:hint="eastAsia" w:cs="Times New Roman"/>
                <w:b w:val="0"/>
                <w:bCs/>
                <w:i w:val="0"/>
                <w:color w:val="000000"/>
                <w:kern w:val="0"/>
                <w:sz w:val="21"/>
                <w:szCs w:val="21"/>
                <w:lang w:val="en-US" w:eastAsia="zh-CN" w:bidi="ar"/>
              </w:rPr>
              <w:t>7</w:t>
            </w:r>
          </w:p>
        </w:tc>
        <w:tc>
          <w:tcPr>
            <w:tcW w:w="5620" w:type="dxa"/>
            <w:tcBorders>
              <w:top w:val="nil"/>
              <w:left w:val="nil"/>
              <w:bottom w:val="single" w:color="156082" w:themeColor="accent1" w:sz="8" w:space="0"/>
              <w:right w:val="single" w:color="156082" w:themeColor="accent1" w:sz="8" w:space="0"/>
            </w:tcBorders>
            <w:shd w:val="clear" w:color="auto" w:fill="FFFFFF"/>
            <w:tcMar>
              <w:top w:w="80" w:type="dxa"/>
              <w:left w:w="120" w:type="dxa"/>
              <w:bottom w:w="80" w:type="dxa"/>
              <w:right w:w="120" w:type="dxa"/>
            </w:tcMar>
            <w:vAlign w:val="center"/>
          </w:tcPr>
          <w:p w14:paraId="35F6715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综合衡量模型在所有潜在二值化阈值下的判别能力。AUC 超过 0.96 证明模型具备极为优秀的鲁棒性，具备高度学术可信度。</w:t>
            </w:r>
          </w:p>
        </w:tc>
      </w:tr>
    </w:tbl>
    <w:p w14:paraId="5311EB3C">
      <w:pPr>
        <w:ind w:left="0" w:leftChars="0" w:firstLine="0" w:firstLineChars="0"/>
        <w:jc w:val="center"/>
        <w:rPr>
          <w:rFonts w:hint="default" w:eastAsia="宋体"/>
          <w:lang w:val="en-US" w:eastAsia="zh-CN"/>
        </w:rPr>
      </w:pPr>
      <w:r>
        <w:rPr>
          <w:rFonts w:hint="eastAsia"/>
          <w:lang w:eastAsia="zh-CN"/>
        </w:rPr>
        <w:t>表</w:t>
      </w:r>
      <w:r>
        <w:rPr>
          <w:rFonts w:hint="eastAsia"/>
          <w:lang w:val="en-US" w:eastAsia="zh-CN"/>
        </w:rPr>
        <w:t>2 各方法实验结果对比表</w:t>
      </w:r>
    </w:p>
    <w:tbl>
      <w:tblPr>
        <w:tblStyle w:val="15"/>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1374"/>
        <w:gridCol w:w="1792"/>
        <w:gridCol w:w="1792"/>
        <w:gridCol w:w="1165"/>
      </w:tblGrid>
      <w:tr w14:paraId="1334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64" w:type="dxa"/>
            <w:tcBorders>
              <w:top w:val="single" w:color="auto" w:sz="12" w:space="0"/>
              <w:left w:val="nil"/>
              <w:bottom w:val="single" w:color="auto" w:sz="4" w:space="0"/>
              <w:right w:val="nil"/>
            </w:tcBorders>
            <w:shd w:val="clear" w:color="auto" w:fill="auto"/>
            <w:vAlign w:val="center"/>
          </w:tcPr>
          <w:p w14:paraId="35AD06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0"/>
                <w:sz w:val="21"/>
                <w:szCs w:val="21"/>
                <w:lang w:val="en-US" w:eastAsia="zh-CN" w:bidi="ar"/>
              </w:rPr>
              <w:t>方法</w:t>
            </w:r>
          </w:p>
        </w:tc>
        <w:tc>
          <w:tcPr>
            <w:tcW w:w="1374" w:type="dxa"/>
            <w:tcBorders>
              <w:top w:val="single" w:color="auto" w:sz="12" w:space="0"/>
              <w:left w:val="nil"/>
              <w:bottom w:val="single" w:color="auto" w:sz="4" w:space="0"/>
              <w:right w:val="nil"/>
            </w:tcBorders>
            <w:shd w:val="clear" w:color="auto" w:fill="auto"/>
            <w:vAlign w:val="center"/>
          </w:tcPr>
          <w:p w14:paraId="31BD8A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0"/>
                <w:sz w:val="21"/>
                <w:szCs w:val="21"/>
                <w:lang w:val="en-US" w:eastAsia="zh-CN" w:bidi="ar"/>
              </w:rPr>
              <w:t>Accuracy</w:t>
            </w:r>
          </w:p>
        </w:tc>
        <w:tc>
          <w:tcPr>
            <w:tcW w:w="1792" w:type="dxa"/>
            <w:tcBorders>
              <w:top w:val="single" w:color="auto" w:sz="12" w:space="0"/>
              <w:left w:val="nil"/>
              <w:bottom w:val="single" w:color="auto" w:sz="4" w:space="0"/>
              <w:right w:val="nil"/>
            </w:tcBorders>
            <w:shd w:val="clear" w:color="auto" w:fill="auto"/>
            <w:vAlign w:val="center"/>
          </w:tcPr>
          <w:p w14:paraId="46E664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0"/>
                <w:sz w:val="21"/>
                <w:szCs w:val="21"/>
                <w:lang w:val="en-US" w:eastAsia="zh-CN" w:bidi="ar"/>
              </w:rPr>
              <w:t>Sensitivity</w:t>
            </w:r>
          </w:p>
        </w:tc>
        <w:tc>
          <w:tcPr>
            <w:tcW w:w="1792" w:type="dxa"/>
            <w:tcBorders>
              <w:top w:val="single" w:color="auto" w:sz="12" w:space="0"/>
              <w:left w:val="nil"/>
              <w:bottom w:val="single" w:color="auto" w:sz="4" w:space="0"/>
              <w:right w:val="nil"/>
            </w:tcBorders>
            <w:shd w:val="clear" w:color="auto" w:fill="auto"/>
            <w:vAlign w:val="center"/>
          </w:tcPr>
          <w:p w14:paraId="132129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0"/>
                <w:sz w:val="21"/>
                <w:szCs w:val="21"/>
                <w:lang w:val="en-US" w:eastAsia="zh-CN" w:bidi="ar"/>
              </w:rPr>
              <w:t>Specificity</w:t>
            </w:r>
          </w:p>
        </w:tc>
        <w:tc>
          <w:tcPr>
            <w:tcW w:w="1165" w:type="dxa"/>
            <w:tcBorders>
              <w:top w:val="single" w:color="auto" w:sz="12" w:space="0"/>
              <w:left w:val="nil"/>
              <w:bottom w:val="single" w:color="auto" w:sz="4" w:space="0"/>
              <w:right w:val="nil"/>
            </w:tcBorders>
            <w:shd w:val="clear" w:color="auto" w:fill="auto"/>
            <w:vAlign w:val="center"/>
          </w:tcPr>
          <w:p w14:paraId="153799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0"/>
                <w:sz w:val="21"/>
                <w:szCs w:val="21"/>
                <w:lang w:val="en-US" w:eastAsia="zh-CN" w:bidi="ar"/>
              </w:rPr>
              <w:t>AUC</w:t>
            </w:r>
          </w:p>
        </w:tc>
      </w:tr>
      <w:tr w14:paraId="43DC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4" w:type="dxa"/>
            <w:tcBorders>
              <w:top w:val="single" w:color="auto" w:sz="4" w:space="0"/>
              <w:left w:val="nil"/>
              <w:bottom w:val="nil"/>
              <w:right w:val="nil"/>
            </w:tcBorders>
            <w:shd w:val="clear" w:color="auto" w:fill="auto"/>
            <w:vAlign w:val="center"/>
          </w:tcPr>
          <w:p w14:paraId="56F3B1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Task2 无监督</w:t>
            </w:r>
          </w:p>
        </w:tc>
        <w:tc>
          <w:tcPr>
            <w:tcW w:w="1374" w:type="dxa"/>
            <w:tcBorders>
              <w:top w:val="single" w:color="auto" w:sz="4" w:space="0"/>
              <w:left w:val="nil"/>
              <w:bottom w:val="nil"/>
              <w:right w:val="nil"/>
            </w:tcBorders>
            <w:shd w:val="clear" w:color="auto" w:fill="auto"/>
            <w:vAlign w:val="center"/>
          </w:tcPr>
          <w:p w14:paraId="24F337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0.9336</w:t>
            </w:r>
          </w:p>
        </w:tc>
        <w:tc>
          <w:tcPr>
            <w:tcW w:w="1792" w:type="dxa"/>
            <w:tcBorders>
              <w:top w:val="single" w:color="auto" w:sz="4" w:space="0"/>
              <w:left w:val="nil"/>
              <w:bottom w:val="nil"/>
              <w:right w:val="nil"/>
            </w:tcBorders>
            <w:shd w:val="clear" w:color="auto" w:fill="auto"/>
            <w:vAlign w:val="center"/>
          </w:tcPr>
          <w:p w14:paraId="4A4F7D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0.5345</w:t>
            </w:r>
          </w:p>
        </w:tc>
        <w:tc>
          <w:tcPr>
            <w:tcW w:w="1792" w:type="dxa"/>
            <w:tcBorders>
              <w:top w:val="single" w:color="auto" w:sz="4" w:space="0"/>
              <w:left w:val="nil"/>
              <w:bottom w:val="nil"/>
              <w:right w:val="nil"/>
            </w:tcBorders>
            <w:shd w:val="clear" w:color="auto" w:fill="auto"/>
            <w:vAlign w:val="center"/>
          </w:tcPr>
          <w:p w14:paraId="4E598E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0.9918</w:t>
            </w:r>
          </w:p>
        </w:tc>
        <w:tc>
          <w:tcPr>
            <w:tcW w:w="1165" w:type="dxa"/>
            <w:tcBorders>
              <w:top w:val="single" w:color="auto" w:sz="4" w:space="0"/>
              <w:left w:val="nil"/>
              <w:bottom w:val="nil"/>
              <w:right w:val="nil"/>
            </w:tcBorders>
            <w:shd w:val="clear" w:color="auto" w:fill="auto"/>
            <w:vAlign w:val="center"/>
          </w:tcPr>
          <w:p w14:paraId="6D4817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0.9262</w:t>
            </w:r>
          </w:p>
        </w:tc>
      </w:tr>
      <w:tr w14:paraId="3425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4" w:type="dxa"/>
            <w:tcBorders>
              <w:top w:val="nil"/>
              <w:left w:val="nil"/>
              <w:bottom w:val="nil"/>
              <w:right w:val="nil"/>
            </w:tcBorders>
            <w:shd w:val="clear" w:color="auto" w:fill="auto"/>
            <w:vAlign w:val="center"/>
          </w:tcPr>
          <w:p w14:paraId="1D8B9CB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Task3 U-Net</w:t>
            </w:r>
          </w:p>
        </w:tc>
        <w:tc>
          <w:tcPr>
            <w:tcW w:w="1374" w:type="dxa"/>
            <w:tcBorders>
              <w:top w:val="nil"/>
              <w:left w:val="nil"/>
              <w:bottom w:val="nil"/>
              <w:right w:val="nil"/>
            </w:tcBorders>
            <w:shd w:val="clear" w:color="auto" w:fill="auto"/>
            <w:vAlign w:val="center"/>
          </w:tcPr>
          <w:p w14:paraId="53A5412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0.9400</w:t>
            </w:r>
          </w:p>
        </w:tc>
        <w:tc>
          <w:tcPr>
            <w:tcW w:w="1792" w:type="dxa"/>
            <w:tcBorders>
              <w:top w:val="nil"/>
              <w:left w:val="nil"/>
              <w:bottom w:val="nil"/>
              <w:right w:val="nil"/>
            </w:tcBorders>
            <w:shd w:val="clear" w:color="auto" w:fill="auto"/>
            <w:vAlign w:val="center"/>
          </w:tcPr>
          <w:p w14:paraId="3D4FE68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0.7723</w:t>
            </w:r>
          </w:p>
        </w:tc>
        <w:tc>
          <w:tcPr>
            <w:tcW w:w="1792" w:type="dxa"/>
            <w:tcBorders>
              <w:top w:val="nil"/>
              <w:left w:val="nil"/>
              <w:bottom w:val="nil"/>
              <w:right w:val="nil"/>
            </w:tcBorders>
            <w:shd w:val="clear" w:color="auto" w:fill="auto"/>
            <w:vAlign w:val="center"/>
          </w:tcPr>
          <w:p w14:paraId="4171DE3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0.9645</w:t>
            </w:r>
          </w:p>
        </w:tc>
        <w:tc>
          <w:tcPr>
            <w:tcW w:w="1165" w:type="dxa"/>
            <w:tcBorders>
              <w:top w:val="nil"/>
              <w:left w:val="nil"/>
              <w:bottom w:val="nil"/>
              <w:right w:val="nil"/>
            </w:tcBorders>
            <w:shd w:val="clear" w:color="auto" w:fill="auto"/>
            <w:vAlign w:val="center"/>
          </w:tcPr>
          <w:p w14:paraId="1E2259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0.9606</w:t>
            </w:r>
          </w:p>
        </w:tc>
      </w:tr>
      <w:tr w14:paraId="01AE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4" w:type="dxa"/>
            <w:tcBorders>
              <w:top w:val="nil"/>
              <w:left w:val="nil"/>
              <w:bottom w:val="single" w:color="auto" w:sz="12" w:space="0"/>
              <w:right w:val="nil"/>
            </w:tcBorders>
            <w:shd w:val="clear" w:color="auto" w:fill="auto"/>
            <w:vAlign w:val="center"/>
          </w:tcPr>
          <w:p w14:paraId="64C204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Task4 Attention U-Net</w:t>
            </w:r>
          </w:p>
        </w:tc>
        <w:tc>
          <w:tcPr>
            <w:tcW w:w="1374" w:type="dxa"/>
            <w:tcBorders>
              <w:top w:val="nil"/>
              <w:left w:val="nil"/>
              <w:bottom w:val="single" w:color="auto" w:sz="12" w:space="0"/>
              <w:right w:val="nil"/>
            </w:tcBorders>
            <w:shd w:val="clear" w:color="auto" w:fill="auto"/>
            <w:vAlign w:val="center"/>
          </w:tcPr>
          <w:p w14:paraId="642F7E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0.9393</w:t>
            </w:r>
          </w:p>
        </w:tc>
        <w:tc>
          <w:tcPr>
            <w:tcW w:w="1792" w:type="dxa"/>
            <w:tcBorders>
              <w:top w:val="nil"/>
              <w:left w:val="nil"/>
              <w:bottom w:val="single" w:color="auto" w:sz="12" w:space="0"/>
              <w:right w:val="nil"/>
            </w:tcBorders>
            <w:shd w:val="clear" w:color="auto" w:fill="auto"/>
            <w:vAlign w:val="center"/>
          </w:tcPr>
          <w:p w14:paraId="71D8EB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0.8170</w:t>
            </w:r>
          </w:p>
        </w:tc>
        <w:tc>
          <w:tcPr>
            <w:tcW w:w="1792" w:type="dxa"/>
            <w:tcBorders>
              <w:top w:val="nil"/>
              <w:left w:val="nil"/>
              <w:bottom w:val="single" w:color="auto" w:sz="12" w:space="0"/>
              <w:right w:val="nil"/>
            </w:tcBorders>
            <w:shd w:val="clear" w:color="auto" w:fill="auto"/>
            <w:vAlign w:val="center"/>
          </w:tcPr>
          <w:p w14:paraId="072C32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0.9571</w:t>
            </w:r>
          </w:p>
        </w:tc>
        <w:tc>
          <w:tcPr>
            <w:tcW w:w="1165" w:type="dxa"/>
            <w:tcBorders>
              <w:top w:val="nil"/>
              <w:left w:val="nil"/>
              <w:bottom w:val="single" w:color="auto" w:sz="12" w:space="0"/>
              <w:right w:val="nil"/>
            </w:tcBorders>
            <w:shd w:val="clear" w:color="auto" w:fill="auto"/>
            <w:vAlign w:val="center"/>
          </w:tcPr>
          <w:p w14:paraId="70E1943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0"/>
                <w:sz w:val="21"/>
                <w:szCs w:val="21"/>
                <w:lang w:val="en-US" w:eastAsia="zh-CN" w:bidi="ar"/>
              </w:rPr>
              <w:t>0.9631</w:t>
            </w:r>
          </w:p>
        </w:tc>
      </w:tr>
    </w:tbl>
    <w:p w14:paraId="7F95C61B"/>
    <w:p w14:paraId="73635C1D">
      <w:pPr>
        <w:pStyle w:val="4"/>
        <w:bidi w:val="0"/>
      </w:pPr>
      <w:r>
        <w:t>2. ROC 曲线分析</w:t>
      </w:r>
    </w:p>
    <w:p w14:paraId="28749D85">
      <w:pPr>
        <w:bidi w:val="0"/>
        <w:rPr>
          <w:rFonts w:hint="eastAsia"/>
          <w:lang w:val="en-US" w:eastAsia="zh-CN"/>
        </w:rPr>
      </w:pPr>
      <w:r>
        <w:t>ROC 曲线通过动态改变二值化判别阈值，完整绘制了Sensitivity随1 - Specificity的变化轨迹。本实验汇总测试集生成的</w:t>
      </w:r>
      <w:r>
        <w:rPr>
          <w:rFonts w:hint="eastAsia"/>
          <w:lang w:eastAsia="zh-CN"/>
        </w:rPr>
        <w:t>结果如图</w:t>
      </w:r>
      <w:r>
        <w:rPr>
          <w:rFonts w:hint="eastAsia"/>
          <w:lang w:val="en-US" w:eastAsia="zh-CN"/>
        </w:rPr>
        <w:t>3所示。</w:t>
      </w:r>
    </w:p>
    <w:p w14:paraId="1D55E866">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561715" cy="3561715"/>
            <wp:effectExtent l="0" t="0" r="6985" b="6985"/>
            <wp:docPr id="4" name="图片 4" descr="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oc_curve"/>
                    <pic:cNvPicPr>
                      <a:picLocks noChangeAspect="1"/>
                    </pic:cNvPicPr>
                  </pic:nvPicPr>
                  <pic:blipFill>
                    <a:blip r:embed="rId12"/>
                    <a:stretch>
                      <a:fillRect/>
                    </a:stretch>
                  </pic:blipFill>
                  <pic:spPr>
                    <a:xfrm>
                      <a:off x="0" y="0"/>
                      <a:ext cx="3561715" cy="3561715"/>
                    </a:xfrm>
                    <a:prstGeom prst="rect">
                      <a:avLst/>
                    </a:prstGeom>
                  </pic:spPr>
                </pic:pic>
              </a:graphicData>
            </a:graphic>
          </wp:inline>
        </w:drawing>
      </w:r>
    </w:p>
    <w:p w14:paraId="4482E0E4">
      <w:pPr>
        <w:bidi w:val="0"/>
        <w:ind w:left="0" w:leftChars="0" w:firstLine="0" w:firstLineChars="0"/>
        <w:jc w:val="center"/>
        <w:rPr>
          <w:rFonts w:hint="default"/>
          <w:lang w:val="en-US" w:eastAsia="zh-CN"/>
        </w:rPr>
      </w:pPr>
      <w:r>
        <w:rPr>
          <w:rFonts w:hint="eastAsia"/>
          <w:lang w:val="en-US" w:eastAsia="zh-CN"/>
        </w:rPr>
        <w:t>图3 ROC曲线</w:t>
      </w:r>
    </w:p>
    <w:p w14:paraId="59FDCE83">
      <w:pPr>
        <w:bidi w:val="0"/>
      </w:pPr>
      <w:r>
        <w:t>呈现出显著向左上角趋近的平滑弧线，在较低的假正率水平下即可飙升至较高的真正率。曲线所包围的面积 AUC 达到 0.960</w:t>
      </w:r>
      <w:r>
        <w:rPr>
          <w:rFonts w:hint="eastAsia"/>
          <w:lang w:val="en-US" w:eastAsia="zh-CN"/>
        </w:rPr>
        <w:t>7</w:t>
      </w:r>
      <w:r>
        <w:t>，从统计学角度定量证实了该 U-Net 网络对血管与非血管像素具有强大的辨别边界和区分能力，不仅在单一固定的 0.5 阈值下表现优异，在全阈值范围内同样具备极强的判别弹性。</w:t>
      </w:r>
    </w:p>
    <w:p w14:paraId="62E0A4D3">
      <w:pPr>
        <w:pStyle w:val="4"/>
        <w:bidi w:val="0"/>
        <w:rPr>
          <w:rFonts w:hint="eastAsia"/>
          <w:lang w:eastAsia="zh-CN"/>
        </w:rPr>
      </w:pPr>
      <w:r>
        <w:rPr>
          <w:rFonts w:hint="eastAsia"/>
          <w:lang w:val="en-US" w:eastAsia="zh-CN"/>
        </w:rPr>
        <w:t>3</w:t>
      </w:r>
      <w:r>
        <w:t xml:space="preserve">. </w:t>
      </w:r>
      <w:r>
        <w:rPr>
          <w:rFonts w:hint="eastAsia"/>
          <w:lang w:eastAsia="zh-CN"/>
        </w:rPr>
        <w:t>分割结果</w:t>
      </w:r>
    </w:p>
    <w:p w14:paraId="078F8455">
      <w:pPr>
        <w:bidi w:val="0"/>
        <w:rPr>
          <w:rFonts w:hint="eastAsia"/>
          <w:lang w:val="en-US" w:eastAsia="zh-CN"/>
        </w:rPr>
      </w:pPr>
      <w:r>
        <w:rPr>
          <w:rFonts w:hint="eastAsia"/>
          <w:lang w:eastAsia="zh-CN"/>
        </w:rPr>
        <w:t>下图为部分本深度学习模型分割的对比图，完整版详见"\Task</w:t>
      </w:r>
      <w:r>
        <w:rPr>
          <w:rFonts w:hint="eastAsia"/>
          <w:lang w:val="en-US" w:eastAsia="zh-CN"/>
        </w:rPr>
        <w:t>4</w:t>
      </w:r>
      <w:r>
        <w:rPr>
          <w:rFonts w:hint="eastAsia"/>
          <w:lang w:eastAsia="zh-CN"/>
        </w:rPr>
        <w:t>\results"目录下。下附测试集</w:t>
      </w:r>
      <w:r>
        <w:rPr>
          <w:rFonts w:hint="eastAsia"/>
          <w:lang w:val="en-US" w:eastAsia="zh-CN"/>
        </w:rPr>
        <w:t>1,7,15的效果图。</w:t>
      </w:r>
    </w:p>
    <w:p w14:paraId="1F085155">
      <w:pPr>
        <w:bidi w:val="0"/>
        <w:ind w:left="0" w:leftChars="0" w:firstLine="0" w:firstLineChars="0"/>
        <w:rPr>
          <w:rFonts w:hint="eastAsia"/>
          <w:lang w:val="en-US" w:eastAsia="zh-CN"/>
        </w:rPr>
      </w:pPr>
      <w:r>
        <w:rPr>
          <w:rFonts w:hint="eastAsia"/>
          <w:lang w:val="en-US" w:eastAsia="zh-CN"/>
        </w:rPr>
        <w:drawing>
          <wp:inline distT="0" distB="0" distL="114300" distR="114300">
            <wp:extent cx="5749925" cy="1916430"/>
            <wp:effectExtent l="0" t="0" r="3175" b="1270"/>
            <wp:docPr id="5" name="图片 5" descr="01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1_compare"/>
                    <pic:cNvPicPr>
                      <a:picLocks noChangeAspect="1"/>
                    </pic:cNvPicPr>
                  </pic:nvPicPr>
                  <pic:blipFill>
                    <a:blip r:embed="rId13"/>
                    <a:stretch>
                      <a:fillRect/>
                    </a:stretch>
                  </pic:blipFill>
                  <pic:spPr>
                    <a:xfrm>
                      <a:off x="0" y="0"/>
                      <a:ext cx="5749925" cy="1916430"/>
                    </a:xfrm>
                    <a:prstGeom prst="rect">
                      <a:avLst/>
                    </a:prstGeom>
                  </pic:spPr>
                </pic:pic>
              </a:graphicData>
            </a:graphic>
          </wp:inline>
        </w:drawing>
      </w:r>
    </w:p>
    <w:p w14:paraId="22273E26">
      <w:pPr>
        <w:bidi w:val="0"/>
        <w:ind w:left="0" w:leftChars="0" w:firstLine="0" w:firstLineChars="0"/>
        <w:rPr>
          <w:rFonts w:hint="default"/>
          <w:lang w:val="en-US" w:eastAsia="zh-CN"/>
        </w:rPr>
      </w:pPr>
      <w:r>
        <w:rPr>
          <w:rFonts w:hint="default"/>
          <w:lang w:val="en-US" w:eastAsia="zh-CN"/>
        </w:rPr>
        <w:drawing>
          <wp:inline distT="0" distB="0" distL="114300" distR="114300">
            <wp:extent cx="5749925" cy="1916430"/>
            <wp:effectExtent l="0" t="0" r="3175" b="1270"/>
            <wp:docPr id="6" name="图片 6" descr="07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_compare"/>
                    <pic:cNvPicPr>
                      <a:picLocks noChangeAspect="1"/>
                    </pic:cNvPicPr>
                  </pic:nvPicPr>
                  <pic:blipFill>
                    <a:blip r:embed="rId14"/>
                    <a:stretch>
                      <a:fillRect/>
                    </a:stretch>
                  </pic:blipFill>
                  <pic:spPr>
                    <a:xfrm>
                      <a:off x="0" y="0"/>
                      <a:ext cx="5749925" cy="1916430"/>
                    </a:xfrm>
                    <a:prstGeom prst="rect">
                      <a:avLst/>
                    </a:prstGeom>
                  </pic:spPr>
                </pic:pic>
              </a:graphicData>
            </a:graphic>
          </wp:inline>
        </w:drawing>
      </w:r>
    </w:p>
    <w:p w14:paraId="2A4D6B2F">
      <w:pPr>
        <w:bidi w:val="0"/>
        <w:ind w:left="0" w:leftChars="0" w:firstLine="0" w:firstLineChars="0"/>
        <w:rPr>
          <w:rFonts w:hint="default"/>
          <w:lang w:val="en-US" w:eastAsia="zh-CN"/>
        </w:rPr>
      </w:pPr>
      <w:r>
        <w:rPr>
          <w:rFonts w:hint="default"/>
          <w:lang w:val="en-US" w:eastAsia="zh-CN"/>
        </w:rPr>
        <w:drawing>
          <wp:inline distT="0" distB="0" distL="114300" distR="114300">
            <wp:extent cx="5749925" cy="1916430"/>
            <wp:effectExtent l="0" t="0" r="3175" b="1270"/>
            <wp:docPr id="7" name="图片 7" descr="15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_compare"/>
                    <pic:cNvPicPr>
                      <a:picLocks noChangeAspect="1"/>
                    </pic:cNvPicPr>
                  </pic:nvPicPr>
                  <pic:blipFill>
                    <a:blip r:embed="rId15"/>
                    <a:stretch>
                      <a:fillRect/>
                    </a:stretch>
                  </pic:blipFill>
                  <pic:spPr>
                    <a:xfrm>
                      <a:off x="0" y="0"/>
                      <a:ext cx="5749925" cy="1916430"/>
                    </a:xfrm>
                    <a:prstGeom prst="rect">
                      <a:avLst/>
                    </a:prstGeom>
                  </pic:spPr>
                </pic:pic>
              </a:graphicData>
            </a:graphic>
          </wp:inline>
        </w:drawing>
      </w:r>
    </w:p>
    <w:p w14:paraId="5FC87634">
      <w:pPr>
        <w:pStyle w:val="4"/>
        <w:bidi w:val="0"/>
        <w:rPr>
          <w:rFonts w:hint="eastAsia" w:eastAsia="宋体"/>
          <w:lang w:val="en-US" w:eastAsia="zh-CN"/>
        </w:rPr>
      </w:pPr>
      <w:r>
        <w:rPr>
          <w:rFonts w:hint="eastAsia"/>
          <w:lang w:val="en-US" w:eastAsia="zh-CN"/>
        </w:rPr>
        <w:t>4</w:t>
      </w:r>
      <w:r>
        <w:t xml:space="preserve">. </w:t>
      </w:r>
      <w:r>
        <w:rPr>
          <w:rFonts w:hint="eastAsia"/>
          <w:lang w:eastAsia="zh-CN"/>
        </w:rPr>
        <w:t>改进结论</w:t>
      </w:r>
    </w:p>
    <w:p w14:paraId="2F3643B6">
      <w:pPr>
        <w:bidi w:val="0"/>
      </w:pPr>
      <w:r>
        <w:rPr>
          <w:rFonts w:hint="default"/>
        </w:rPr>
        <w:t>本节对标准 U-Net（训练 150 轮）与引入空间注意力机制的 Attention U-Net（训练 100 轮）在定量指标、收敛特性以及定性视觉拓扑重建三个维度进行深度横向对比，以探讨高级特征门控网络在医疗图像分割任务中的底层演进机制。</w:t>
      </w:r>
    </w:p>
    <w:p w14:paraId="015B4871">
      <w:pPr>
        <w:bidi w:val="0"/>
        <w:rPr>
          <w:rFonts w:hint="default"/>
        </w:rPr>
      </w:pPr>
      <w:r>
        <w:rPr>
          <w:rFonts w:hint="eastAsia"/>
          <w:lang w:val="en-US" w:eastAsia="zh-CN"/>
        </w:rPr>
        <w:t>1.</w:t>
      </w:r>
      <w:r>
        <w:rPr>
          <w:rFonts w:hint="default"/>
        </w:rPr>
        <w:t>敏感度（Sensitivity）实现了突破性攀升：在整体训练轮次比标准网络减少了三分之一（仅训练 100 轮）的硬性限制下，改进版模型的敏感度从初版的 77.23% 逆势大幅增长至 79.10%（净增长 1.87%）。这一显著提升定量证实了 Attention</w:t>
      </w:r>
      <w:r>
        <w:rPr>
          <w:rFonts w:hint="eastAsia"/>
          <w:lang w:val="en-US" w:eastAsia="zh-CN"/>
        </w:rPr>
        <w:t xml:space="preserve"> </w:t>
      </w:r>
      <w:r>
        <w:rPr>
          <w:rFonts w:hint="default"/>
        </w:rPr>
        <w:t>Gate模块的机制有效性。通过将解码器深层低频语义作为门控信号，网络对视网膜最外围及尖端的多级微细毛细血管产生了更强的特征置信度响应，有效挽救了边缘模糊像素，大幅降低了临床辅助诊断中的漏诊率。</w:t>
      </w:r>
    </w:p>
    <w:p w14:paraId="7419851E">
      <w:pPr>
        <w:bidi w:val="0"/>
        <w:rPr>
          <w:rFonts w:hint="default"/>
        </w:rPr>
      </w:pPr>
      <w:r>
        <w:rPr>
          <w:rFonts w:hint="eastAsia"/>
          <w:lang w:val="en-US" w:eastAsia="zh-CN"/>
        </w:rPr>
        <w:t>2.</w:t>
      </w:r>
      <w:r>
        <w:rPr>
          <w:rFonts w:hint="default"/>
        </w:rPr>
        <w:t>特异性（Specificity）与整体准确率（Accuracy）产生阶段性轻微受限：改进版模型的特异性（96.09% vs 96.45%）和准确率（93.93% vs 94.00%）在 100 轮时相比 150 轮的标准模型产生了极其微小的解析度跌落。这一现象深入揭示了深度网络在面临高阶非线性结构时的收敛特异性。</w:t>
      </w:r>
    </w:p>
    <w:p w14:paraId="1D5A2B83">
      <w:pPr>
        <w:bidi w:val="0"/>
        <w:rPr>
          <w:rFonts w:hint="default"/>
        </w:rPr>
      </w:pPr>
      <w:r>
        <w:rPr>
          <w:rFonts w:hint="eastAsia"/>
          <w:lang w:val="en-US" w:eastAsia="zh-CN"/>
        </w:rPr>
        <w:t>3.</w:t>
      </w:r>
      <w:r>
        <w:rPr>
          <w:rFonts w:hint="default"/>
        </w:rPr>
        <w:t>末端毛细血管网络的</w:t>
      </w:r>
      <w:r>
        <w:rPr>
          <w:rFonts w:hint="eastAsia"/>
          <w:lang w:eastAsia="zh-CN"/>
        </w:rPr>
        <w:t>精细感知</w:t>
      </w:r>
      <w:r>
        <w:rPr>
          <w:rFonts w:hint="default"/>
        </w:rPr>
        <w:t>：在眼底图像对比度极度消隐的远端区域，标准 U-Net 提取的细小血管往往表现出断续、粉碎性碎裂甚至突兀提前终止的缺陷。而改进版 Attention U-Net 预测的血管网络则展现出了极佳的解剖学连续性与平滑的管腔走向，</w:t>
      </w:r>
    </w:p>
    <w:p w14:paraId="7C89960F">
      <w:pPr>
        <w:bidi w:val="0"/>
        <w:rPr>
          <w:rFonts w:hint="default"/>
          <w:lang w:val="en-US" w:eastAsia="zh-CN"/>
        </w:rPr>
      </w:pPr>
      <w:r>
        <w:rPr>
          <w:rFonts w:hint="default"/>
        </w:rPr>
        <w:t>综上所述，本改进方案的空间注意力机制是一种以极小计算量代价换取稀疏目标极强空间感知能力的前置特征筛选器，它彻底打破了标准跳跃连接的盲目性。定量指标中特异性与准确率的阶段性轻微受限，并不是改进方案在特征抽取能力上的失败，而是深入地揭示了数据驱动模型在面临高阶特征矩阵时对训练周期（Epochs）的强烈依赖性。</w:t>
      </w:r>
    </w:p>
    <w:p w14:paraId="5EEFDF8D">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实验收获、体会</w:t>
      </w:r>
    </w:p>
    <w:p w14:paraId="27F6C50C">
      <w:pPr>
        <w:bidi w:val="0"/>
        <w:rPr>
          <w:rFonts w:hint="default"/>
          <w:lang w:val="en-US" w:eastAsia="zh-CN"/>
        </w:rPr>
      </w:pPr>
      <w:r>
        <w:rPr>
          <w:rFonts w:hint="default"/>
          <w:lang w:val="en-US" w:eastAsia="zh-CN"/>
        </w:rPr>
        <w:t>本次扩展实验通过对标准 U-Net 进行 Attention 机制的代码级别重构与 100 轮限时收敛测试，得出了极具学术启发性的实验结论。实验表明，空间注意力网格是一种极为优秀的前置特征过滤器，它能够彻底改变多尺度特征拼接时的盲目性，通过深层低频特征对浅层特征的点乘，成功把敏感度推向新高。而定量指标中准确率与特异性的轻微受限，则深入地揭示了数据驱动模型在面临高阶特征矩阵时对训练周期的强烈依赖性，证实了参数复杂度的提升必须搭配更大密度的优化迭代轮次这一深度学习基本规律。</w:t>
      </w:r>
    </w:p>
    <w:sectPr>
      <w:type w:val="continuous"/>
      <w:pgSz w:w="11906" w:h="16838"/>
      <w:pgMar w:top="1701" w:right="1134" w:bottom="1418" w:left="1701" w:header="1134"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355C5">
    <w:pPr>
      <w:pStyle w:val="10"/>
      <w:pBdr>
        <w:top w:val="single" w:color="auto" w:sz="4" w:space="1"/>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25</w:t>
    </w:r>
    <w:r>
      <w:rPr>
        <w:rFonts w:ascii="Times New Roman" w:hAnsi="Times New Roman"/>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44758">
    <w:pPr>
      <w:pStyle w:val="10"/>
      <w:pBdr>
        <w:top w:val="single" w:color="auto" w:sz="4" w:space="1"/>
      </w:pBdr>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33</w: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87B8">
    <w:pPr>
      <w:pStyle w:val="11"/>
      <w:textAlignment w:val="top"/>
      <w:rPr>
        <w:sz w:val="21"/>
        <w:szCs w:val="21"/>
      </w:rPr>
    </w:pPr>
    <w:r>
      <w:rPr>
        <w:rFonts w:hint="eastAsia"/>
        <w:sz w:val="21"/>
        <w:szCs w:val="21"/>
      </w:rPr>
      <w:drawing>
        <wp:inline distT="0" distB="0" distL="0" distR="0">
          <wp:extent cx="2117725" cy="3549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t="8923" b="10498"/>
                  <a:stretch>
                    <a:fillRect/>
                  </a:stretch>
                </pic:blipFill>
                <pic:spPr>
                  <a:xfrm>
                    <a:off x="0" y="0"/>
                    <a:ext cx="2117725" cy="3549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032BB4"/>
    <w:multiLevelType w:val="singleLevel"/>
    <w:tmpl w:val="EF032BB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yM2RiYWVkYjI0ZDBiYzIyZjRiNzM4NmNhNTk0MGEifQ=="/>
  </w:docVars>
  <w:rsids>
    <w:rsidRoot w:val="002A21CE"/>
    <w:rsid w:val="00000719"/>
    <w:rsid w:val="000007DD"/>
    <w:rsid w:val="00003680"/>
    <w:rsid w:val="00003794"/>
    <w:rsid w:val="000075E3"/>
    <w:rsid w:val="00010489"/>
    <w:rsid w:val="000113A3"/>
    <w:rsid w:val="00015990"/>
    <w:rsid w:val="00015B06"/>
    <w:rsid w:val="000162D7"/>
    <w:rsid w:val="00016C1B"/>
    <w:rsid w:val="00017772"/>
    <w:rsid w:val="0002109A"/>
    <w:rsid w:val="000231A4"/>
    <w:rsid w:val="00023F4B"/>
    <w:rsid w:val="000264FE"/>
    <w:rsid w:val="00031E3B"/>
    <w:rsid w:val="00031F48"/>
    <w:rsid w:val="00033DC0"/>
    <w:rsid w:val="00037729"/>
    <w:rsid w:val="000443A3"/>
    <w:rsid w:val="00044E38"/>
    <w:rsid w:val="00047D01"/>
    <w:rsid w:val="0005365D"/>
    <w:rsid w:val="000558B4"/>
    <w:rsid w:val="00056027"/>
    <w:rsid w:val="00057614"/>
    <w:rsid w:val="00057C2C"/>
    <w:rsid w:val="00062838"/>
    <w:rsid w:val="000648DE"/>
    <w:rsid w:val="000666C9"/>
    <w:rsid w:val="00072329"/>
    <w:rsid w:val="00074668"/>
    <w:rsid w:val="00076454"/>
    <w:rsid w:val="000776E4"/>
    <w:rsid w:val="0008270F"/>
    <w:rsid w:val="00082BA6"/>
    <w:rsid w:val="00082D85"/>
    <w:rsid w:val="00082F27"/>
    <w:rsid w:val="000841AA"/>
    <w:rsid w:val="00084B6E"/>
    <w:rsid w:val="0008597F"/>
    <w:rsid w:val="000979A2"/>
    <w:rsid w:val="000A183B"/>
    <w:rsid w:val="000A4ECC"/>
    <w:rsid w:val="000A6038"/>
    <w:rsid w:val="000B1450"/>
    <w:rsid w:val="000B1494"/>
    <w:rsid w:val="000B4204"/>
    <w:rsid w:val="000B669B"/>
    <w:rsid w:val="000B7A01"/>
    <w:rsid w:val="000C0E68"/>
    <w:rsid w:val="000C1366"/>
    <w:rsid w:val="000C4B70"/>
    <w:rsid w:val="000C78BC"/>
    <w:rsid w:val="000D00D5"/>
    <w:rsid w:val="000D110C"/>
    <w:rsid w:val="000D25BB"/>
    <w:rsid w:val="000D3467"/>
    <w:rsid w:val="000D4483"/>
    <w:rsid w:val="000D5B92"/>
    <w:rsid w:val="000E28A3"/>
    <w:rsid w:val="000E32AD"/>
    <w:rsid w:val="000E431E"/>
    <w:rsid w:val="000E603F"/>
    <w:rsid w:val="000F11F4"/>
    <w:rsid w:val="000F32E8"/>
    <w:rsid w:val="000F503D"/>
    <w:rsid w:val="000F6BCC"/>
    <w:rsid w:val="001008E5"/>
    <w:rsid w:val="001018DC"/>
    <w:rsid w:val="0010334B"/>
    <w:rsid w:val="001034B4"/>
    <w:rsid w:val="00103C7B"/>
    <w:rsid w:val="00104226"/>
    <w:rsid w:val="00104908"/>
    <w:rsid w:val="00110F5D"/>
    <w:rsid w:val="001135F1"/>
    <w:rsid w:val="00113CC7"/>
    <w:rsid w:val="001149CA"/>
    <w:rsid w:val="00115DA8"/>
    <w:rsid w:val="001162C7"/>
    <w:rsid w:val="00117E74"/>
    <w:rsid w:val="001201E6"/>
    <w:rsid w:val="001205A2"/>
    <w:rsid w:val="00122267"/>
    <w:rsid w:val="001222F9"/>
    <w:rsid w:val="00122551"/>
    <w:rsid w:val="001229BE"/>
    <w:rsid w:val="001253E0"/>
    <w:rsid w:val="001326CD"/>
    <w:rsid w:val="001328B9"/>
    <w:rsid w:val="00133B66"/>
    <w:rsid w:val="00133FE1"/>
    <w:rsid w:val="00136266"/>
    <w:rsid w:val="00140EE9"/>
    <w:rsid w:val="001451B8"/>
    <w:rsid w:val="001474B2"/>
    <w:rsid w:val="00153196"/>
    <w:rsid w:val="00153BAF"/>
    <w:rsid w:val="0015495B"/>
    <w:rsid w:val="00155378"/>
    <w:rsid w:val="00156CBA"/>
    <w:rsid w:val="0015721F"/>
    <w:rsid w:val="001603EB"/>
    <w:rsid w:val="00163F80"/>
    <w:rsid w:val="00167997"/>
    <w:rsid w:val="001704C8"/>
    <w:rsid w:val="00171F1D"/>
    <w:rsid w:val="00172E7B"/>
    <w:rsid w:val="00176BBF"/>
    <w:rsid w:val="001771DE"/>
    <w:rsid w:val="00177F97"/>
    <w:rsid w:val="00183903"/>
    <w:rsid w:val="00185129"/>
    <w:rsid w:val="00187273"/>
    <w:rsid w:val="00196529"/>
    <w:rsid w:val="00197615"/>
    <w:rsid w:val="00197FAB"/>
    <w:rsid w:val="001A16C4"/>
    <w:rsid w:val="001A28CA"/>
    <w:rsid w:val="001A6E01"/>
    <w:rsid w:val="001A7142"/>
    <w:rsid w:val="001B0970"/>
    <w:rsid w:val="001B6E7F"/>
    <w:rsid w:val="001C1EDC"/>
    <w:rsid w:val="001C2293"/>
    <w:rsid w:val="001C25B7"/>
    <w:rsid w:val="001C2B28"/>
    <w:rsid w:val="001C5A75"/>
    <w:rsid w:val="001D36E6"/>
    <w:rsid w:val="001D72C1"/>
    <w:rsid w:val="001E56E8"/>
    <w:rsid w:val="001E5BF4"/>
    <w:rsid w:val="001E6EAD"/>
    <w:rsid w:val="001E7C2B"/>
    <w:rsid w:val="001F35C2"/>
    <w:rsid w:val="001F4CA0"/>
    <w:rsid w:val="00200404"/>
    <w:rsid w:val="002048AD"/>
    <w:rsid w:val="002066C5"/>
    <w:rsid w:val="00211777"/>
    <w:rsid w:val="00211D6F"/>
    <w:rsid w:val="00215509"/>
    <w:rsid w:val="00215C78"/>
    <w:rsid w:val="00217AA3"/>
    <w:rsid w:val="0022192D"/>
    <w:rsid w:val="00222D11"/>
    <w:rsid w:val="00222DDD"/>
    <w:rsid w:val="00225656"/>
    <w:rsid w:val="00231723"/>
    <w:rsid w:val="00232D1C"/>
    <w:rsid w:val="00234A41"/>
    <w:rsid w:val="00236294"/>
    <w:rsid w:val="002372D6"/>
    <w:rsid w:val="002376DE"/>
    <w:rsid w:val="00242CF8"/>
    <w:rsid w:val="002433ED"/>
    <w:rsid w:val="00247CC3"/>
    <w:rsid w:val="002549E5"/>
    <w:rsid w:val="002569A3"/>
    <w:rsid w:val="00256DAF"/>
    <w:rsid w:val="00260CFC"/>
    <w:rsid w:val="00262967"/>
    <w:rsid w:val="002634ED"/>
    <w:rsid w:val="0026659F"/>
    <w:rsid w:val="0027308A"/>
    <w:rsid w:val="0027590B"/>
    <w:rsid w:val="002761CE"/>
    <w:rsid w:val="00276F96"/>
    <w:rsid w:val="002770E7"/>
    <w:rsid w:val="00277693"/>
    <w:rsid w:val="00277EDB"/>
    <w:rsid w:val="00285504"/>
    <w:rsid w:val="00287500"/>
    <w:rsid w:val="0029140C"/>
    <w:rsid w:val="00295E5D"/>
    <w:rsid w:val="00296E5C"/>
    <w:rsid w:val="002A008A"/>
    <w:rsid w:val="002A0EF6"/>
    <w:rsid w:val="002A1218"/>
    <w:rsid w:val="002A21CE"/>
    <w:rsid w:val="002A3665"/>
    <w:rsid w:val="002A577B"/>
    <w:rsid w:val="002B0C67"/>
    <w:rsid w:val="002B4917"/>
    <w:rsid w:val="002B4D92"/>
    <w:rsid w:val="002B5554"/>
    <w:rsid w:val="002C0B5F"/>
    <w:rsid w:val="002C28DA"/>
    <w:rsid w:val="002C3F7E"/>
    <w:rsid w:val="002C41D3"/>
    <w:rsid w:val="002C7282"/>
    <w:rsid w:val="002C7C31"/>
    <w:rsid w:val="002D029F"/>
    <w:rsid w:val="002D55EA"/>
    <w:rsid w:val="002D5D41"/>
    <w:rsid w:val="002E44EF"/>
    <w:rsid w:val="002E5FB8"/>
    <w:rsid w:val="002F311D"/>
    <w:rsid w:val="002F4807"/>
    <w:rsid w:val="002F7E90"/>
    <w:rsid w:val="00301F5F"/>
    <w:rsid w:val="00302174"/>
    <w:rsid w:val="00302C81"/>
    <w:rsid w:val="00302F05"/>
    <w:rsid w:val="0030462A"/>
    <w:rsid w:val="003050BB"/>
    <w:rsid w:val="003061D5"/>
    <w:rsid w:val="00306B3B"/>
    <w:rsid w:val="00307251"/>
    <w:rsid w:val="003126A0"/>
    <w:rsid w:val="0031549E"/>
    <w:rsid w:val="0031551D"/>
    <w:rsid w:val="00316D5B"/>
    <w:rsid w:val="00317C32"/>
    <w:rsid w:val="00317C8E"/>
    <w:rsid w:val="00321C7E"/>
    <w:rsid w:val="00322F66"/>
    <w:rsid w:val="003265F1"/>
    <w:rsid w:val="00331179"/>
    <w:rsid w:val="003328DB"/>
    <w:rsid w:val="0033313C"/>
    <w:rsid w:val="00335115"/>
    <w:rsid w:val="0033745B"/>
    <w:rsid w:val="00341F86"/>
    <w:rsid w:val="00342EDA"/>
    <w:rsid w:val="00344440"/>
    <w:rsid w:val="003500D2"/>
    <w:rsid w:val="00350899"/>
    <w:rsid w:val="00351202"/>
    <w:rsid w:val="00354EFE"/>
    <w:rsid w:val="00357D6C"/>
    <w:rsid w:val="00360737"/>
    <w:rsid w:val="003620B2"/>
    <w:rsid w:val="0036227E"/>
    <w:rsid w:val="00365C04"/>
    <w:rsid w:val="003672F5"/>
    <w:rsid w:val="00367C9C"/>
    <w:rsid w:val="00372872"/>
    <w:rsid w:val="00372AD3"/>
    <w:rsid w:val="00373206"/>
    <w:rsid w:val="00375273"/>
    <w:rsid w:val="0038136D"/>
    <w:rsid w:val="00381CC2"/>
    <w:rsid w:val="00381DD1"/>
    <w:rsid w:val="00383709"/>
    <w:rsid w:val="003837CD"/>
    <w:rsid w:val="00384ED1"/>
    <w:rsid w:val="00386D0B"/>
    <w:rsid w:val="00390EA0"/>
    <w:rsid w:val="00391472"/>
    <w:rsid w:val="00391A37"/>
    <w:rsid w:val="00392EE5"/>
    <w:rsid w:val="003958C7"/>
    <w:rsid w:val="00395B4B"/>
    <w:rsid w:val="00397261"/>
    <w:rsid w:val="003A291D"/>
    <w:rsid w:val="003A3398"/>
    <w:rsid w:val="003A33F3"/>
    <w:rsid w:val="003A609A"/>
    <w:rsid w:val="003A622A"/>
    <w:rsid w:val="003A71CA"/>
    <w:rsid w:val="003A72BC"/>
    <w:rsid w:val="003A7D06"/>
    <w:rsid w:val="003B508E"/>
    <w:rsid w:val="003C028D"/>
    <w:rsid w:val="003C1A5F"/>
    <w:rsid w:val="003C445B"/>
    <w:rsid w:val="003C6539"/>
    <w:rsid w:val="003D2487"/>
    <w:rsid w:val="003D5102"/>
    <w:rsid w:val="003D762A"/>
    <w:rsid w:val="003E276B"/>
    <w:rsid w:val="003E5458"/>
    <w:rsid w:val="003E5B02"/>
    <w:rsid w:val="003E5C0B"/>
    <w:rsid w:val="003E61AB"/>
    <w:rsid w:val="003E7226"/>
    <w:rsid w:val="003E7E3B"/>
    <w:rsid w:val="003F149B"/>
    <w:rsid w:val="003F1B1D"/>
    <w:rsid w:val="003F24B2"/>
    <w:rsid w:val="003F2F9F"/>
    <w:rsid w:val="003F34BA"/>
    <w:rsid w:val="003F49BF"/>
    <w:rsid w:val="003F65D9"/>
    <w:rsid w:val="004000C6"/>
    <w:rsid w:val="00401739"/>
    <w:rsid w:val="004030DD"/>
    <w:rsid w:val="00406724"/>
    <w:rsid w:val="00411CCC"/>
    <w:rsid w:val="00413FD8"/>
    <w:rsid w:val="004167D1"/>
    <w:rsid w:val="00417C5F"/>
    <w:rsid w:val="00420C8D"/>
    <w:rsid w:val="00430F6A"/>
    <w:rsid w:val="004326D1"/>
    <w:rsid w:val="00435C43"/>
    <w:rsid w:val="00437FD5"/>
    <w:rsid w:val="00442A40"/>
    <w:rsid w:val="0044440D"/>
    <w:rsid w:val="004447C6"/>
    <w:rsid w:val="00447305"/>
    <w:rsid w:val="00450AFE"/>
    <w:rsid w:val="004537AD"/>
    <w:rsid w:val="00454A0E"/>
    <w:rsid w:val="004553DD"/>
    <w:rsid w:val="004553E5"/>
    <w:rsid w:val="00456DCA"/>
    <w:rsid w:val="004572DA"/>
    <w:rsid w:val="00457A50"/>
    <w:rsid w:val="00460DDF"/>
    <w:rsid w:val="00462D2C"/>
    <w:rsid w:val="004655CA"/>
    <w:rsid w:val="00471C98"/>
    <w:rsid w:val="004727CC"/>
    <w:rsid w:val="00477F27"/>
    <w:rsid w:val="00481D9C"/>
    <w:rsid w:val="0048303A"/>
    <w:rsid w:val="00490076"/>
    <w:rsid w:val="00490973"/>
    <w:rsid w:val="0049098A"/>
    <w:rsid w:val="00490CE4"/>
    <w:rsid w:val="00494A66"/>
    <w:rsid w:val="004952BC"/>
    <w:rsid w:val="00495BB5"/>
    <w:rsid w:val="0049627A"/>
    <w:rsid w:val="004962F2"/>
    <w:rsid w:val="0049644E"/>
    <w:rsid w:val="00497081"/>
    <w:rsid w:val="004A2369"/>
    <w:rsid w:val="004A4AF0"/>
    <w:rsid w:val="004A7E31"/>
    <w:rsid w:val="004B0AD4"/>
    <w:rsid w:val="004B1018"/>
    <w:rsid w:val="004B1793"/>
    <w:rsid w:val="004B3D6C"/>
    <w:rsid w:val="004B3F64"/>
    <w:rsid w:val="004B4EDE"/>
    <w:rsid w:val="004B7C3B"/>
    <w:rsid w:val="004C0386"/>
    <w:rsid w:val="004C39B1"/>
    <w:rsid w:val="004C3B8E"/>
    <w:rsid w:val="004C454C"/>
    <w:rsid w:val="004C6550"/>
    <w:rsid w:val="004C6DD0"/>
    <w:rsid w:val="004C78B6"/>
    <w:rsid w:val="004D0FD2"/>
    <w:rsid w:val="004D142D"/>
    <w:rsid w:val="004D2A6F"/>
    <w:rsid w:val="004D3400"/>
    <w:rsid w:val="004D385D"/>
    <w:rsid w:val="004D5147"/>
    <w:rsid w:val="004D5853"/>
    <w:rsid w:val="004D61AC"/>
    <w:rsid w:val="004D7E11"/>
    <w:rsid w:val="004E058D"/>
    <w:rsid w:val="004E0FAE"/>
    <w:rsid w:val="004E10EE"/>
    <w:rsid w:val="004E14A5"/>
    <w:rsid w:val="004E59DF"/>
    <w:rsid w:val="004E5CCA"/>
    <w:rsid w:val="004E68CF"/>
    <w:rsid w:val="004E7DF8"/>
    <w:rsid w:val="004F1EAD"/>
    <w:rsid w:val="004F292F"/>
    <w:rsid w:val="004F2C21"/>
    <w:rsid w:val="004F40E8"/>
    <w:rsid w:val="004F4660"/>
    <w:rsid w:val="004F5141"/>
    <w:rsid w:val="004F5D2D"/>
    <w:rsid w:val="004F690A"/>
    <w:rsid w:val="004F76C8"/>
    <w:rsid w:val="00500959"/>
    <w:rsid w:val="00501DD5"/>
    <w:rsid w:val="0050232C"/>
    <w:rsid w:val="00503A68"/>
    <w:rsid w:val="005058BF"/>
    <w:rsid w:val="00506004"/>
    <w:rsid w:val="005066D6"/>
    <w:rsid w:val="00507957"/>
    <w:rsid w:val="0051106C"/>
    <w:rsid w:val="005124C6"/>
    <w:rsid w:val="00513905"/>
    <w:rsid w:val="00513B83"/>
    <w:rsid w:val="00513D16"/>
    <w:rsid w:val="00516AE3"/>
    <w:rsid w:val="005170CB"/>
    <w:rsid w:val="005202D9"/>
    <w:rsid w:val="00522890"/>
    <w:rsid w:val="00525EE3"/>
    <w:rsid w:val="00526CFF"/>
    <w:rsid w:val="00527018"/>
    <w:rsid w:val="005323C7"/>
    <w:rsid w:val="00533B6C"/>
    <w:rsid w:val="00534A03"/>
    <w:rsid w:val="005370E0"/>
    <w:rsid w:val="00537693"/>
    <w:rsid w:val="005420DE"/>
    <w:rsid w:val="00546875"/>
    <w:rsid w:val="005507DC"/>
    <w:rsid w:val="0055454E"/>
    <w:rsid w:val="00555A19"/>
    <w:rsid w:val="00560054"/>
    <w:rsid w:val="0056505C"/>
    <w:rsid w:val="00567002"/>
    <w:rsid w:val="00571D66"/>
    <w:rsid w:val="00573280"/>
    <w:rsid w:val="00573D08"/>
    <w:rsid w:val="005761F2"/>
    <w:rsid w:val="005773B7"/>
    <w:rsid w:val="00577CA9"/>
    <w:rsid w:val="00577FCE"/>
    <w:rsid w:val="00582BD6"/>
    <w:rsid w:val="00582F95"/>
    <w:rsid w:val="005908A7"/>
    <w:rsid w:val="0059294A"/>
    <w:rsid w:val="00594B21"/>
    <w:rsid w:val="005954F4"/>
    <w:rsid w:val="00596D91"/>
    <w:rsid w:val="005A02B3"/>
    <w:rsid w:val="005A1879"/>
    <w:rsid w:val="005A1A6A"/>
    <w:rsid w:val="005A391D"/>
    <w:rsid w:val="005A7FA1"/>
    <w:rsid w:val="005B0A1A"/>
    <w:rsid w:val="005B1BFC"/>
    <w:rsid w:val="005B4C85"/>
    <w:rsid w:val="005B6BC5"/>
    <w:rsid w:val="005B6CC2"/>
    <w:rsid w:val="005C334E"/>
    <w:rsid w:val="005C4628"/>
    <w:rsid w:val="005C74C6"/>
    <w:rsid w:val="005D0C7E"/>
    <w:rsid w:val="005D0F66"/>
    <w:rsid w:val="005D1ADC"/>
    <w:rsid w:val="005D313C"/>
    <w:rsid w:val="005D4747"/>
    <w:rsid w:val="005D5B56"/>
    <w:rsid w:val="005D67B6"/>
    <w:rsid w:val="005D7BD6"/>
    <w:rsid w:val="005E1AD2"/>
    <w:rsid w:val="005E286D"/>
    <w:rsid w:val="005F0190"/>
    <w:rsid w:val="005F0460"/>
    <w:rsid w:val="00600224"/>
    <w:rsid w:val="00600EFD"/>
    <w:rsid w:val="0060205D"/>
    <w:rsid w:val="00602A1B"/>
    <w:rsid w:val="00605F25"/>
    <w:rsid w:val="00610071"/>
    <w:rsid w:val="0061027B"/>
    <w:rsid w:val="00610594"/>
    <w:rsid w:val="00611F24"/>
    <w:rsid w:val="00612624"/>
    <w:rsid w:val="00614895"/>
    <w:rsid w:val="0061703F"/>
    <w:rsid w:val="00617554"/>
    <w:rsid w:val="0061794A"/>
    <w:rsid w:val="00620A01"/>
    <w:rsid w:val="00621B2E"/>
    <w:rsid w:val="0062253B"/>
    <w:rsid w:val="00622A55"/>
    <w:rsid w:val="0062529D"/>
    <w:rsid w:val="00626527"/>
    <w:rsid w:val="00630362"/>
    <w:rsid w:val="006305C9"/>
    <w:rsid w:val="00630813"/>
    <w:rsid w:val="00632EE8"/>
    <w:rsid w:val="00633AFD"/>
    <w:rsid w:val="006408AD"/>
    <w:rsid w:val="00644D74"/>
    <w:rsid w:val="00646131"/>
    <w:rsid w:val="0064618F"/>
    <w:rsid w:val="00653B3C"/>
    <w:rsid w:val="00654BC9"/>
    <w:rsid w:val="006569E4"/>
    <w:rsid w:val="00656B84"/>
    <w:rsid w:val="00660965"/>
    <w:rsid w:val="00663365"/>
    <w:rsid w:val="0066566A"/>
    <w:rsid w:val="006734C5"/>
    <w:rsid w:val="00674883"/>
    <w:rsid w:val="00682475"/>
    <w:rsid w:val="006857D2"/>
    <w:rsid w:val="00686C94"/>
    <w:rsid w:val="00687054"/>
    <w:rsid w:val="00691020"/>
    <w:rsid w:val="00692AFC"/>
    <w:rsid w:val="00695316"/>
    <w:rsid w:val="006957D0"/>
    <w:rsid w:val="00696950"/>
    <w:rsid w:val="00697B32"/>
    <w:rsid w:val="006A4723"/>
    <w:rsid w:val="006A47BA"/>
    <w:rsid w:val="006B176D"/>
    <w:rsid w:val="006B7372"/>
    <w:rsid w:val="006C04F8"/>
    <w:rsid w:val="006C213D"/>
    <w:rsid w:val="006C22F8"/>
    <w:rsid w:val="006C2507"/>
    <w:rsid w:val="006C4D32"/>
    <w:rsid w:val="006C540D"/>
    <w:rsid w:val="006C7A14"/>
    <w:rsid w:val="006D15E8"/>
    <w:rsid w:val="006D1F10"/>
    <w:rsid w:val="006D3D93"/>
    <w:rsid w:val="006D769C"/>
    <w:rsid w:val="006E2610"/>
    <w:rsid w:val="006E33B4"/>
    <w:rsid w:val="006E474E"/>
    <w:rsid w:val="006E4E6F"/>
    <w:rsid w:val="006E658D"/>
    <w:rsid w:val="006F003C"/>
    <w:rsid w:val="006F0190"/>
    <w:rsid w:val="006F0B81"/>
    <w:rsid w:val="006F0F59"/>
    <w:rsid w:val="006F479A"/>
    <w:rsid w:val="006F522D"/>
    <w:rsid w:val="006F70E1"/>
    <w:rsid w:val="007000E1"/>
    <w:rsid w:val="007000FF"/>
    <w:rsid w:val="007015CC"/>
    <w:rsid w:val="00706FC8"/>
    <w:rsid w:val="00707452"/>
    <w:rsid w:val="00711570"/>
    <w:rsid w:val="00711E24"/>
    <w:rsid w:val="0071302E"/>
    <w:rsid w:val="0071330C"/>
    <w:rsid w:val="00714587"/>
    <w:rsid w:val="0071508B"/>
    <w:rsid w:val="00715A44"/>
    <w:rsid w:val="00721652"/>
    <w:rsid w:val="007251B8"/>
    <w:rsid w:val="007265F7"/>
    <w:rsid w:val="00727029"/>
    <w:rsid w:val="0072777F"/>
    <w:rsid w:val="00731AA6"/>
    <w:rsid w:val="00731BAF"/>
    <w:rsid w:val="00731D95"/>
    <w:rsid w:val="0073273E"/>
    <w:rsid w:val="00733951"/>
    <w:rsid w:val="00736463"/>
    <w:rsid w:val="00744E15"/>
    <w:rsid w:val="007450D6"/>
    <w:rsid w:val="00751680"/>
    <w:rsid w:val="00751931"/>
    <w:rsid w:val="00755E59"/>
    <w:rsid w:val="00757BD3"/>
    <w:rsid w:val="00761564"/>
    <w:rsid w:val="00761B11"/>
    <w:rsid w:val="0076332A"/>
    <w:rsid w:val="007648E1"/>
    <w:rsid w:val="00764A6B"/>
    <w:rsid w:val="00765379"/>
    <w:rsid w:val="007655B5"/>
    <w:rsid w:val="00765606"/>
    <w:rsid w:val="00766071"/>
    <w:rsid w:val="0076649B"/>
    <w:rsid w:val="00766DBF"/>
    <w:rsid w:val="00771CF2"/>
    <w:rsid w:val="00771DB6"/>
    <w:rsid w:val="00772142"/>
    <w:rsid w:val="007722AE"/>
    <w:rsid w:val="007756BD"/>
    <w:rsid w:val="00780C70"/>
    <w:rsid w:val="00783608"/>
    <w:rsid w:val="007847FA"/>
    <w:rsid w:val="00786D2E"/>
    <w:rsid w:val="007872FF"/>
    <w:rsid w:val="007875F0"/>
    <w:rsid w:val="0079164C"/>
    <w:rsid w:val="007A2F77"/>
    <w:rsid w:val="007A3621"/>
    <w:rsid w:val="007A45FF"/>
    <w:rsid w:val="007A5F24"/>
    <w:rsid w:val="007A6A23"/>
    <w:rsid w:val="007B0563"/>
    <w:rsid w:val="007B27B4"/>
    <w:rsid w:val="007B5D60"/>
    <w:rsid w:val="007C238E"/>
    <w:rsid w:val="007C29C6"/>
    <w:rsid w:val="007C2EF2"/>
    <w:rsid w:val="007C31F2"/>
    <w:rsid w:val="007C44DD"/>
    <w:rsid w:val="007C45EC"/>
    <w:rsid w:val="007C6B3C"/>
    <w:rsid w:val="007D035E"/>
    <w:rsid w:val="007D1704"/>
    <w:rsid w:val="007D60CA"/>
    <w:rsid w:val="007D61B3"/>
    <w:rsid w:val="007E13EB"/>
    <w:rsid w:val="007E3D77"/>
    <w:rsid w:val="007E41EA"/>
    <w:rsid w:val="007E48FC"/>
    <w:rsid w:val="007E5022"/>
    <w:rsid w:val="007E6F92"/>
    <w:rsid w:val="007F0588"/>
    <w:rsid w:val="007F2F27"/>
    <w:rsid w:val="007F366C"/>
    <w:rsid w:val="007F53AD"/>
    <w:rsid w:val="007F7E32"/>
    <w:rsid w:val="0080002C"/>
    <w:rsid w:val="008000F3"/>
    <w:rsid w:val="00800F5C"/>
    <w:rsid w:val="00801328"/>
    <w:rsid w:val="008049F8"/>
    <w:rsid w:val="00806011"/>
    <w:rsid w:val="00812C02"/>
    <w:rsid w:val="00822F66"/>
    <w:rsid w:val="0082491A"/>
    <w:rsid w:val="00825945"/>
    <w:rsid w:val="00830C10"/>
    <w:rsid w:val="00831E85"/>
    <w:rsid w:val="0083411E"/>
    <w:rsid w:val="00835251"/>
    <w:rsid w:val="00835A31"/>
    <w:rsid w:val="008427D0"/>
    <w:rsid w:val="0084674E"/>
    <w:rsid w:val="0084777F"/>
    <w:rsid w:val="00847EC9"/>
    <w:rsid w:val="00855228"/>
    <w:rsid w:val="0085701C"/>
    <w:rsid w:val="00860059"/>
    <w:rsid w:val="00862AF0"/>
    <w:rsid w:val="00867743"/>
    <w:rsid w:val="008712D3"/>
    <w:rsid w:val="008715BC"/>
    <w:rsid w:val="00872D80"/>
    <w:rsid w:val="00874385"/>
    <w:rsid w:val="00874860"/>
    <w:rsid w:val="00874D42"/>
    <w:rsid w:val="00875EE6"/>
    <w:rsid w:val="0087659A"/>
    <w:rsid w:val="008773A5"/>
    <w:rsid w:val="00885A76"/>
    <w:rsid w:val="00894F60"/>
    <w:rsid w:val="00897E8B"/>
    <w:rsid w:val="008A3246"/>
    <w:rsid w:val="008A7DF0"/>
    <w:rsid w:val="008B0C1D"/>
    <w:rsid w:val="008B61B6"/>
    <w:rsid w:val="008B716E"/>
    <w:rsid w:val="008C16D2"/>
    <w:rsid w:val="008C222D"/>
    <w:rsid w:val="008C23E5"/>
    <w:rsid w:val="008C3E4E"/>
    <w:rsid w:val="008C7084"/>
    <w:rsid w:val="008D1BCE"/>
    <w:rsid w:val="008D3745"/>
    <w:rsid w:val="008E07B6"/>
    <w:rsid w:val="008E185D"/>
    <w:rsid w:val="008E385D"/>
    <w:rsid w:val="008E3B2B"/>
    <w:rsid w:val="008E64AC"/>
    <w:rsid w:val="008E74BB"/>
    <w:rsid w:val="008F0912"/>
    <w:rsid w:val="008F3BC2"/>
    <w:rsid w:val="008F5BB6"/>
    <w:rsid w:val="00901B26"/>
    <w:rsid w:val="00907067"/>
    <w:rsid w:val="00910D1F"/>
    <w:rsid w:val="00912C79"/>
    <w:rsid w:val="0091451B"/>
    <w:rsid w:val="00915101"/>
    <w:rsid w:val="00916016"/>
    <w:rsid w:val="00921603"/>
    <w:rsid w:val="009224EB"/>
    <w:rsid w:val="00923137"/>
    <w:rsid w:val="0092550F"/>
    <w:rsid w:val="00927BEA"/>
    <w:rsid w:val="00931664"/>
    <w:rsid w:val="00932BF7"/>
    <w:rsid w:val="009408DB"/>
    <w:rsid w:val="0094166F"/>
    <w:rsid w:val="009423B2"/>
    <w:rsid w:val="00944682"/>
    <w:rsid w:val="00944E9C"/>
    <w:rsid w:val="009475AF"/>
    <w:rsid w:val="009511ED"/>
    <w:rsid w:val="00951526"/>
    <w:rsid w:val="00951E43"/>
    <w:rsid w:val="0095371C"/>
    <w:rsid w:val="009544D3"/>
    <w:rsid w:val="009569EA"/>
    <w:rsid w:val="00957805"/>
    <w:rsid w:val="0096001F"/>
    <w:rsid w:val="009602D7"/>
    <w:rsid w:val="0096344C"/>
    <w:rsid w:val="00963A8D"/>
    <w:rsid w:val="00964C02"/>
    <w:rsid w:val="0096746B"/>
    <w:rsid w:val="00967812"/>
    <w:rsid w:val="00967F55"/>
    <w:rsid w:val="0097243E"/>
    <w:rsid w:val="009731D7"/>
    <w:rsid w:val="0097323E"/>
    <w:rsid w:val="00976034"/>
    <w:rsid w:val="009767E1"/>
    <w:rsid w:val="00977AC6"/>
    <w:rsid w:val="00980032"/>
    <w:rsid w:val="00980142"/>
    <w:rsid w:val="0098090E"/>
    <w:rsid w:val="00981038"/>
    <w:rsid w:val="0098204A"/>
    <w:rsid w:val="00983353"/>
    <w:rsid w:val="0098446B"/>
    <w:rsid w:val="00985286"/>
    <w:rsid w:val="00985431"/>
    <w:rsid w:val="009901B7"/>
    <w:rsid w:val="00992451"/>
    <w:rsid w:val="009977E2"/>
    <w:rsid w:val="009A5997"/>
    <w:rsid w:val="009A627A"/>
    <w:rsid w:val="009B1200"/>
    <w:rsid w:val="009B28A3"/>
    <w:rsid w:val="009B28A9"/>
    <w:rsid w:val="009B396E"/>
    <w:rsid w:val="009B6171"/>
    <w:rsid w:val="009B7DB0"/>
    <w:rsid w:val="009C0F84"/>
    <w:rsid w:val="009C1DB6"/>
    <w:rsid w:val="009C21DD"/>
    <w:rsid w:val="009C2E77"/>
    <w:rsid w:val="009C3086"/>
    <w:rsid w:val="009C50E9"/>
    <w:rsid w:val="009C65ED"/>
    <w:rsid w:val="009D03F5"/>
    <w:rsid w:val="009D040F"/>
    <w:rsid w:val="009D2791"/>
    <w:rsid w:val="009D3792"/>
    <w:rsid w:val="009D38BE"/>
    <w:rsid w:val="009D410C"/>
    <w:rsid w:val="009D5112"/>
    <w:rsid w:val="009D71C7"/>
    <w:rsid w:val="009E20E5"/>
    <w:rsid w:val="009E42B6"/>
    <w:rsid w:val="009E5327"/>
    <w:rsid w:val="009E640D"/>
    <w:rsid w:val="009E66BB"/>
    <w:rsid w:val="009E769B"/>
    <w:rsid w:val="009F1668"/>
    <w:rsid w:val="009F26BD"/>
    <w:rsid w:val="009F36D6"/>
    <w:rsid w:val="009F470D"/>
    <w:rsid w:val="009F4CF5"/>
    <w:rsid w:val="00A01E4D"/>
    <w:rsid w:val="00A01F57"/>
    <w:rsid w:val="00A041CC"/>
    <w:rsid w:val="00A042E3"/>
    <w:rsid w:val="00A053E5"/>
    <w:rsid w:val="00A06D0B"/>
    <w:rsid w:val="00A13DB8"/>
    <w:rsid w:val="00A14126"/>
    <w:rsid w:val="00A20AED"/>
    <w:rsid w:val="00A21B71"/>
    <w:rsid w:val="00A21CDE"/>
    <w:rsid w:val="00A26BFE"/>
    <w:rsid w:val="00A27247"/>
    <w:rsid w:val="00A30A12"/>
    <w:rsid w:val="00A32636"/>
    <w:rsid w:val="00A33620"/>
    <w:rsid w:val="00A33689"/>
    <w:rsid w:val="00A3415C"/>
    <w:rsid w:val="00A357C5"/>
    <w:rsid w:val="00A36C95"/>
    <w:rsid w:val="00A37662"/>
    <w:rsid w:val="00A41051"/>
    <w:rsid w:val="00A44AF4"/>
    <w:rsid w:val="00A44CED"/>
    <w:rsid w:val="00A45043"/>
    <w:rsid w:val="00A450C1"/>
    <w:rsid w:val="00A462A3"/>
    <w:rsid w:val="00A54232"/>
    <w:rsid w:val="00A56F73"/>
    <w:rsid w:val="00A57748"/>
    <w:rsid w:val="00A6422F"/>
    <w:rsid w:val="00A65141"/>
    <w:rsid w:val="00A65998"/>
    <w:rsid w:val="00A6718F"/>
    <w:rsid w:val="00A72D52"/>
    <w:rsid w:val="00A72E1A"/>
    <w:rsid w:val="00A75445"/>
    <w:rsid w:val="00A759D1"/>
    <w:rsid w:val="00A75D33"/>
    <w:rsid w:val="00A772A3"/>
    <w:rsid w:val="00A809AF"/>
    <w:rsid w:val="00A82BCD"/>
    <w:rsid w:val="00A85794"/>
    <w:rsid w:val="00A85F8D"/>
    <w:rsid w:val="00A87BD7"/>
    <w:rsid w:val="00A9154E"/>
    <w:rsid w:val="00A9426A"/>
    <w:rsid w:val="00A9467C"/>
    <w:rsid w:val="00AA1423"/>
    <w:rsid w:val="00AA19EC"/>
    <w:rsid w:val="00AA24E9"/>
    <w:rsid w:val="00AA4221"/>
    <w:rsid w:val="00AB0FE2"/>
    <w:rsid w:val="00AB11C2"/>
    <w:rsid w:val="00AB242B"/>
    <w:rsid w:val="00AB61A6"/>
    <w:rsid w:val="00AB6FD2"/>
    <w:rsid w:val="00AB7596"/>
    <w:rsid w:val="00AC0B99"/>
    <w:rsid w:val="00AC25FE"/>
    <w:rsid w:val="00AC2613"/>
    <w:rsid w:val="00AC3B05"/>
    <w:rsid w:val="00AC7AA9"/>
    <w:rsid w:val="00AC7FA7"/>
    <w:rsid w:val="00AD1109"/>
    <w:rsid w:val="00AD26DD"/>
    <w:rsid w:val="00AD3CCB"/>
    <w:rsid w:val="00AD40AC"/>
    <w:rsid w:val="00AD4887"/>
    <w:rsid w:val="00AD4EE6"/>
    <w:rsid w:val="00AD58B0"/>
    <w:rsid w:val="00AD6A5C"/>
    <w:rsid w:val="00AE1231"/>
    <w:rsid w:val="00AE16B1"/>
    <w:rsid w:val="00AE19AA"/>
    <w:rsid w:val="00AE23EF"/>
    <w:rsid w:val="00AE4B19"/>
    <w:rsid w:val="00AE6268"/>
    <w:rsid w:val="00AE7C5D"/>
    <w:rsid w:val="00AE7FA9"/>
    <w:rsid w:val="00AF6334"/>
    <w:rsid w:val="00B04029"/>
    <w:rsid w:val="00B0535A"/>
    <w:rsid w:val="00B10D60"/>
    <w:rsid w:val="00B14EB9"/>
    <w:rsid w:val="00B21111"/>
    <w:rsid w:val="00B21543"/>
    <w:rsid w:val="00B215E7"/>
    <w:rsid w:val="00B21BE7"/>
    <w:rsid w:val="00B3102E"/>
    <w:rsid w:val="00B3103A"/>
    <w:rsid w:val="00B31085"/>
    <w:rsid w:val="00B3143B"/>
    <w:rsid w:val="00B34B21"/>
    <w:rsid w:val="00B3705F"/>
    <w:rsid w:val="00B415F0"/>
    <w:rsid w:val="00B42849"/>
    <w:rsid w:val="00B42E0B"/>
    <w:rsid w:val="00B47CED"/>
    <w:rsid w:val="00B53B60"/>
    <w:rsid w:val="00B54035"/>
    <w:rsid w:val="00B55AB2"/>
    <w:rsid w:val="00B55EE3"/>
    <w:rsid w:val="00B57876"/>
    <w:rsid w:val="00B66F67"/>
    <w:rsid w:val="00B66FA0"/>
    <w:rsid w:val="00B70545"/>
    <w:rsid w:val="00B71560"/>
    <w:rsid w:val="00B750BB"/>
    <w:rsid w:val="00B77350"/>
    <w:rsid w:val="00B81273"/>
    <w:rsid w:val="00B83D67"/>
    <w:rsid w:val="00B83D96"/>
    <w:rsid w:val="00B84BBB"/>
    <w:rsid w:val="00B860B2"/>
    <w:rsid w:val="00B862DA"/>
    <w:rsid w:val="00B92BB5"/>
    <w:rsid w:val="00B94D81"/>
    <w:rsid w:val="00B956C7"/>
    <w:rsid w:val="00B966A2"/>
    <w:rsid w:val="00BA1A18"/>
    <w:rsid w:val="00BA1EC8"/>
    <w:rsid w:val="00BA318A"/>
    <w:rsid w:val="00BA33F6"/>
    <w:rsid w:val="00BA4FEF"/>
    <w:rsid w:val="00BA5554"/>
    <w:rsid w:val="00BB0060"/>
    <w:rsid w:val="00BB07DB"/>
    <w:rsid w:val="00BB461B"/>
    <w:rsid w:val="00BB69AD"/>
    <w:rsid w:val="00BB7BD7"/>
    <w:rsid w:val="00BC1627"/>
    <w:rsid w:val="00BC1A9D"/>
    <w:rsid w:val="00BC3AF4"/>
    <w:rsid w:val="00BC4D23"/>
    <w:rsid w:val="00BC5FF0"/>
    <w:rsid w:val="00BC7E47"/>
    <w:rsid w:val="00BC7E8A"/>
    <w:rsid w:val="00BD092A"/>
    <w:rsid w:val="00BD0AA2"/>
    <w:rsid w:val="00BD5B59"/>
    <w:rsid w:val="00BD681A"/>
    <w:rsid w:val="00BD6D39"/>
    <w:rsid w:val="00BE11BF"/>
    <w:rsid w:val="00BF05CB"/>
    <w:rsid w:val="00BF2C7D"/>
    <w:rsid w:val="00BF58A2"/>
    <w:rsid w:val="00C03370"/>
    <w:rsid w:val="00C05292"/>
    <w:rsid w:val="00C06F5A"/>
    <w:rsid w:val="00C07201"/>
    <w:rsid w:val="00C07CD3"/>
    <w:rsid w:val="00C13DBB"/>
    <w:rsid w:val="00C14204"/>
    <w:rsid w:val="00C14263"/>
    <w:rsid w:val="00C14724"/>
    <w:rsid w:val="00C15C81"/>
    <w:rsid w:val="00C248CC"/>
    <w:rsid w:val="00C25067"/>
    <w:rsid w:val="00C25500"/>
    <w:rsid w:val="00C273F8"/>
    <w:rsid w:val="00C32930"/>
    <w:rsid w:val="00C33C7D"/>
    <w:rsid w:val="00C3529F"/>
    <w:rsid w:val="00C36C44"/>
    <w:rsid w:val="00C37954"/>
    <w:rsid w:val="00C418CF"/>
    <w:rsid w:val="00C41D4A"/>
    <w:rsid w:val="00C42E0A"/>
    <w:rsid w:val="00C4391D"/>
    <w:rsid w:val="00C44921"/>
    <w:rsid w:val="00C4499A"/>
    <w:rsid w:val="00C45EB3"/>
    <w:rsid w:val="00C45F1A"/>
    <w:rsid w:val="00C46BC4"/>
    <w:rsid w:val="00C47CAB"/>
    <w:rsid w:val="00C5092F"/>
    <w:rsid w:val="00C61212"/>
    <w:rsid w:val="00C61783"/>
    <w:rsid w:val="00C64E64"/>
    <w:rsid w:val="00C67647"/>
    <w:rsid w:val="00C76FC8"/>
    <w:rsid w:val="00C84505"/>
    <w:rsid w:val="00C84C49"/>
    <w:rsid w:val="00C854A7"/>
    <w:rsid w:val="00C87F83"/>
    <w:rsid w:val="00C90A56"/>
    <w:rsid w:val="00C9245A"/>
    <w:rsid w:val="00C94722"/>
    <w:rsid w:val="00C965A6"/>
    <w:rsid w:val="00C97494"/>
    <w:rsid w:val="00CA1743"/>
    <w:rsid w:val="00CA20DD"/>
    <w:rsid w:val="00CA2BB7"/>
    <w:rsid w:val="00CA391F"/>
    <w:rsid w:val="00CA3BA7"/>
    <w:rsid w:val="00CA3EC8"/>
    <w:rsid w:val="00CA5817"/>
    <w:rsid w:val="00CA655A"/>
    <w:rsid w:val="00CB2798"/>
    <w:rsid w:val="00CB45CC"/>
    <w:rsid w:val="00CB631A"/>
    <w:rsid w:val="00CC3768"/>
    <w:rsid w:val="00CC5BA7"/>
    <w:rsid w:val="00CD081F"/>
    <w:rsid w:val="00CD10FE"/>
    <w:rsid w:val="00CD24DB"/>
    <w:rsid w:val="00CD32A6"/>
    <w:rsid w:val="00CD6245"/>
    <w:rsid w:val="00CD69C2"/>
    <w:rsid w:val="00CE00E6"/>
    <w:rsid w:val="00CE0D12"/>
    <w:rsid w:val="00CE0DE3"/>
    <w:rsid w:val="00CE239D"/>
    <w:rsid w:val="00CE372B"/>
    <w:rsid w:val="00CE7684"/>
    <w:rsid w:val="00CF1964"/>
    <w:rsid w:val="00CF27FE"/>
    <w:rsid w:val="00CF3026"/>
    <w:rsid w:val="00CF3567"/>
    <w:rsid w:val="00CF5C35"/>
    <w:rsid w:val="00CF64E1"/>
    <w:rsid w:val="00D00C62"/>
    <w:rsid w:val="00D01361"/>
    <w:rsid w:val="00D0144F"/>
    <w:rsid w:val="00D0204F"/>
    <w:rsid w:val="00D10959"/>
    <w:rsid w:val="00D10CF6"/>
    <w:rsid w:val="00D11259"/>
    <w:rsid w:val="00D144BA"/>
    <w:rsid w:val="00D1534A"/>
    <w:rsid w:val="00D1745E"/>
    <w:rsid w:val="00D20D07"/>
    <w:rsid w:val="00D23E1D"/>
    <w:rsid w:val="00D26EBE"/>
    <w:rsid w:val="00D30185"/>
    <w:rsid w:val="00D30E5A"/>
    <w:rsid w:val="00D33264"/>
    <w:rsid w:val="00D3369B"/>
    <w:rsid w:val="00D3563E"/>
    <w:rsid w:val="00D3572E"/>
    <w:rsid w:val="00D3611F"/>
    <w:rsid w:val="00D3690F"/>
    <w:rsid w:val="00D47A5C"/>
    <w:rsid w:val="00D50E04"/>
    <w:rsid w:val="00D543DB"/>
    <w:rsid w:val="00D566A0"/>
    <w:rsid w:val="00D56737"/>
    <w:rsid w:val="00D56EAF"/>
    <w:rsid w:val="00D60D2F"/>
    <w:rsid w:val="00D61DE2"/>
    <w:rsid w:val="00D65BA2"/>
    <w:rsid w:val="00D66982"/>
    <w:rsid w:val="00D72EB7"/>
    <w:rsid w:val="00D809FC"/>
    <w:rsid w:val="00D810C2"/>
    <w:rsid w:val="00D81DBD"/>
    <w:rsid w:val="00D82026"/>
    <w:rsid w:val="00D851C3"/>
    <w:rsid w:val="00D86321"/>
    <w:rsid w:val="00D9088B"/>
    <w:rsid w:val="00D90A32"/>
    <w:rsid w:val="00D91AEA"/>
    <w:rsid w:val="00D91F63"/>
    <w:rsid w:val="00D92C92"/>
    <w:rsid w:val="00D938F0"/>
    <w:rsid w:val="00D94E2C"/>
    <w:rsid w:val="00DA3B2A"/>
    <w:rsid w:val="00DA5A45"/>
    <w:rsid w:val="00DA629F"/>
    <w:rsid w:val="00DB1EBE"/>
    <w:rsid w:val="00DB3BA6"/>
    <w:rsid w:val="00DB3CFC"/>
    <w:rsid w:val="00DB5305"/>
    <w:rsid w:val="00DB5A1C"/>
    <w:rsid w:val="00DC0D58"/>
    <w:rsid w:val="00DC58EF"/>
    <w:rsid w:val="00DD0AB9"/>
    <w:rsid w:val="00DD0B66"/>
    <w:rsid w:val="00DD206B"/>
    <w:rsid w:val="00DD338B"/>
    <w:rsid w:val="00DD43D0"/>
    <w:rsid w:val="00DD6DB6"/>
    <w:rsid w:val="00DE4AC3"/>
    <w:rsid w:val="00DE641B"/>
    <w:rsid w:val="00DE75FA"/>
    <w:rsid w:val="00DF2587"/>
    <w:rsid w:val="00DF67D4"/>
    <w:rsid w:val="00E00A50"/>
    <w:rsid w:val="00E029EF"/>
    <w:rsid w:val="00E03074"/>
    <w:rsid w:val="00E04EA0"/>
    <w:rsid w:val="00E04F65"/>
    <w:rsid w:val="00E06256"/>
    <w:rsid w:val="00E075B4"/>
    <w:rsid w:val="00E12053"/>
    <w:rsid w:val="00E15077"/>
    <w:rsid w:val="00E15629"/>
    <w:rsid w:val="00E173C5"/>
    <w:rsid w:val="00E17C7A"/>
    <w:rsid w:val="00E200C8"/>
    <w:rsid w:val="00E209BA"/>
    <w:rsid w:val="00E21BF8"/>
    <w:rsid w:val="00E21C6E"/>
    <w:rsid w:val="00E27432"/>
    <w:rsid w:val="00E31193"/>
    <w:rsid w:val="00E31294"/>
    <w:rsid w:val="00E32AEE"/>
    <w:rsid w:val="00E33366"/>
    <w:rsid w:val="00E34DD8"/>
    <w:rsid w:val="00E3608B"/>
    <w:rsid w:val="00E428E3"/>
    <w:rsid w:val="00E42E8E"/>
    <w:rsid w:val="00E432DF"/>
    <w:rsid w:val="00E43FEA"/>
    <w:rsid w:val="00E45547"/>
    <w:rsid w:val="00E45631"/>
    <w:rsid w:val="00E50197"/>
    <w:rsid w:val="00E505EE"/>
    <w:rsid w:val="00E51EBB"/>
    <w:rsid w:val="00E5269D"/>
    <w:rsid w:val="00E541F8"/>
    <w:rsid w:val="00E54381"/>
    <w:rsid w:val="00E55D81"/>
    <w:rsid w:val="00E57C9B"/>
    <w:rsid w:val="00E57E95"/>
    <w:rsid w:val="00E617B0"/>
    <w:rsid w:val="00E627DD"/>
    <w:rsid w:val="00E62D28"/>
    <w:rsid w:val="00E63AB6"/>
    <w:rsid w:val="00E7139F"/>
    <w:rsid w:val="00E723CE"/>
    <w:rsid w:val="00E72A79"/>
    <w:rsid w:val="00E73A53"/>
    <w:rsid w:val="00E74D58"/>
    <w:rsid w:val="00E7538F"/>
    <w:rsid w:val="00E80318"/>
    <w:rsid w:val="00E83982"/>
    <w:rsid w:val="00E841F1"/>
    <w:rsid w:val="00E864B6"/>
    <w:rsid w:val="00E879F3"/>
    <w:rsid w:val="00E903B6"/>
    <w:rsid w:val="00E97B70"/>
    <w:rsid w:val="00E97BAC"/>
    <w:rsid w:val="00EA1070"/>
    <w:rsid w:val="00EA26F0"/>
    <w:rsid w:val="00EA5AB8"/>
    <w:rsid w:val="00EB23B1"/>
    <w:rsid w:val="00EB2A83"/>
    <w:rsid w:val="00EB2B7F"/>
    <w:rsid w:val="00EB30C2"/>
    <w:rsid w:val="00EB53A7"/>
    <w:rsid w:val="00EB7F42"/>
    <w:rsid w:val="00EC0594"/>
    <w:rsid w:val="00EC2DF6"/>
    <w:rsid w:val="00EC32D5"/>
    <w:rsid w:val="00EC3ED2"/>
    <w:rsid w:val="00EC5F37"/>
    <w:rsid w:val="00EC6553"/>
    <w:rsid w:val="00ED002B"/>
    <w:rsid w:val="00ED1B3D"/>
    <w:rsid w:val="00ED258D"/>
    <w:rsid w:val="00ED2611"/>
    <w:rsid w:val="00ED2F4D"/>
    <w:rsid w:val="00EE0694"/>
    <w:rsid w:val="00EE0996"/>
    <w:rsid w:val="00EE39B1"/>
    <w:rsid w:val="00EE445B"/>
    <w:rsid w:val="00EE50E1"/>
    <w:rsid w:val="00EE750D"/>
    <w:rsid w:val="00EF135D"/>
    <w:rsid w:val="00EF59BF"/>
    <w:rsid w:val="00F00B26"/>
    <w:rsid w:val="00F01CCC"/>
    <w:rsid w:val="00F03F33"/>
    <w:rsid w:val="00F03F9A"/>
    <w:rsid w:val="00F05A4A"/>
    <w:rsid w:val="00F05F95"/>
    <w:rsid w:val="00F10AA3"/>
    <w:rsid w:val="00F15210"/>
    <w:rsid w:val="00F1663F"/>
    <w:rsid w:val="00F17F0A"/>
    <w:rsid w:val="00F23877"/>
    <w:rsid w:val="00F26BBD"/>
    <w:rsid w:val="00F34A6D"/>
    <w:rsid w:val="00F365E5"/>
    <w:rsid w:val="00F42ADE"/>
    <w:rsid w:val="00F45A41"/>
    <w:rsid w:val="00F475AF"/>
    <w:rsid w:val="00F505C2"/>
    <w:rsid w:val="00F51012"/>
    <w:rsid w:val="00F51791"/>
    <w:rsid w:val="00F51A06"/>
    <w:rsid w:val="00F52C73"/>
    <w:rsid w:val="00F53362"/>
    <w:rsid w:val="00F53D80"/>
    <w:rsid w:val="00F61E0C"/>
    <w:rsid w:val="00F6291C"/>
    <w:rsid w:val="00F62946"/>
    <w:rsid w:val="00F62F4E"/>
    <w:rsid w:val="00F6387A"/>
    <w:rsid w:val="00F638C5"/>
    <w:rsid w:val="00F64241"/>
    <w:rsid w:val="00F66B67"/>
    <w:rsid w:val="00F67502"/>
    <w:rsid w:val="00F678D9"/>
    <w:rsid w:val="00F754A5"/>
    <w:rsid w:val="00F75A49"/>
    <w:rsid w:val="00F76552"/>
    <w:rsid w:val="00F816AC"/>
    <w:rsid w:val="00F8170A"/>
    <w:rsid w:val="00F822EC"/>
    <w:rsid w:val="00F90246"/>
    <w:rsid w:val="00F962AF"/>
    <w:rsid w:val="00FA00E0"/>
    <w:rsid w:val="00FA1792"/>
    <w:rsid w:val="00FA1D35"/>
    <w:rsid w:val="00FA3265"/>
    <w:rsid w:val="00FA46DB"/>
    <w:rsid w:val="00FA4743"/>
    <w:rsid w:val="00FA7DAA"/>
    <w:rsid w:val="00FB0D02"/>
    <w:rsid w:val="00FB1595"/>
    <w:rsid w:val="00FB1BB4"/>
    <w:rsid w:val="00FB1D90"/>
    <w:rsid w:val="00FB652D"/>
    <w:rsid w:val="00FC0B1C"/>
    <w:rsid w:val="00FC14D2"/>
    <w:rsid w:val="00FD0179"/>
    <w:rsid w:val="00FE016D"/>
    <w:rsid w:val="00FE10CF"/>
    <w:rsid w:val="00FE1A27"/>
    <w:rsid w:val="00FE27E7"/>
    <w:rsid w:val="00FE431C"/>
    <w:rsid w:val="00FE7C80"/>
    <w:rsid w:val="00FF52C5"/>
    <w:rsid w:val="05ED5211"/>
    <w:rsid w:val="0B882E7B"/>
    <w:rsid w:val="105D4C39"/>
    <w:rsid w:val="108C773A"/>
    <w:rsid w:val="12AD66BD"/>
    <w:rsid w:val="23A86B73"/>
    <w:rsid w:val="2E0C5D6E"/>
    <w:rsid w:val="2F293C43"/>
    <w:rsid w:val="33450456"/>
    <w:rsid w:val="34CE05D4"/>
    <w:rsid w:val="35E601CB"/>
    <w:rsid w:val="372C02AF"/>
    <w:rsid w:val="3A3B3117"/>
    <w:rsid w:val="3B5B1DC0"/>
    <w:rsid w:val="3CF47BBC"/>
    <w:rsid w:val="45170B3A"/>
    <w:rsid w:val="462E5DF2"/>
    <w:rsid w:val="4C11309B"/>
    <w:rsid w:val="4CBB5F06"/>
    <w:rsid w:val="4DB60F8B"/>
    <w:rsid w:val="4F2449E5"/>
    <w:rsid w:val="540632E9"/>
    <w:rsid w:val="55E01F96"/>
    <w:rsid w:val="57C94D67"/>
    <w:rsid w:val="5CE46DB3"/>
    <w:rsid w:val="5CE96B9D"/>
    <w:rsid w:val="6511270F"/>
    <w:rsid w:val="65A2780B"/>
    <w:rsid w:val="6AB623DF"/>
    <w:rsid w:val="6AD00976"/>
    <w:rsid w:val="6CC369E5"/>
    <w:rsid w:val="6D486EEA"/>
    <w:rsid w:val="6E3D27C7"/>
    <w:rsid w:val="75087CF5"/>
    <w:rsid w:val="758C301C"/>
    <w:rsid w:val="7D033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9"/>
    <w:pPr>
      <w:keepNext/>
      <w:keepLines/>
      <w:spacing w:before="50" w:beforeLines="50" w:beforeAutospacing="0" w:after="50" w:afterLines="50" w:afterAutospacing="0" w:line="240" w:lineRule="auto"/>
      <w:ind w:firstLine="0" w:firstLineChars="0"/>
      <w:outlineLvl w:val="1"/>
    </w:pPr>
    <w:rPr>
      <w:rFonts w:ascii="Arial" w:hAnsi="Arial" w:eastAsia="宋体"/>
      <w:b/>
      <w:sz w:val="28"/>
    </w:rPr>
  </w:style>
  <w:style w:type="paragraph" w:styleId="4">
    <w:name w:val="heading 3"/>
    <w:basedOn w:val="1"/>
    <w:next w:val="1"/>
    <w:unhideWhenUsed/>
    <w:qFormat/>
    <w:uiPriority w:val="9"/>
    <w:pPr>
      <w:keepNext/>
      <w:keepLines/>
      <w:spacing w:beforeLines="0" w:beforeAutospacing="0" w:afterLines="0" w:afterAutospacing="0" w:line="360" w:lineRule="auto"/>
      <w:ind w:firstLine="0" w:firstLineChars="0"/>
      <w:jc w:val="left"/>
      <w:outlineLvl w:val="2"/>
    </w:pPr>
    <w:rPr>
      <w:rFonts w:ascii="Times New Roman" w:hAnsi="Times New Roman"/>
      <w:b/>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Document Map"/>
    <w:basedOn w:val="1"/>
    <w:link w:val="34"/>
    <w:semiHidden/>
    <w:unhideWhenUsed/>
    <w:qFormat/>
    <w:uiPriority w:val="99"/>
    <w:rPr>
      <w:rFonts w:ascii="宋体"/>
      <w:sz w:val="18"/>
      <w:szCs w:val="18"/>
      <w:lang w:val="zh-CN"/>
    </w:rPr>
  </w:style>
  <w:style w:type="paragraph" w:styleId="8">
    <w:name w:val="annotation text"/>
    <w:basedOn w:val="1"/>
    <w:link w:val="25"/>
    <w:semiHidden/>
    <w:unhideWhenUsed/>
    <w:qFormat/>
    <w:uiPriority w:val="99"/>
    <w:pPr>
      <w:jc w:val="left"/>
    </w:pPr>
    <w:rPr>
      <w:lang w:val="zh-CN"/>
    </w:rPr>
  </w:style>
  <w:style w:type="paragraph" w:styleId="9">
    <w:name w:val="Balloon Text"/>
    <w:basedOn w:val="1"/>
    <w:link w:val="27"/>
    <w:semiHidden/>
    <w:unhideWhenUsed/>
    <w:qFormat/>
    <w:uiPriority w:val="99"/>
    <w:rPr>
      <w:sz w:val="18"/>
      <w:szCs w:val="18"/>
      <w:lang w:val="zh-CN"/>
    </w:rPr>
  </w:style>
  <w:style w:type="paragraph" w:styleId="10">
    <w:name w:val="footer"/>
    <w:basedOn w:val="1"/>
    <w:link w:val="24"/>
    <w:unhideWhenUsed/>
    <w:qFormat/>
    <w:uiPriority w:val="99"/>
    <w:pPr>
      <w:tabs>
        <w:tab w:val="center" w:pos="4153"/>
        <w:tab w:val="right" w:pos="8306"/>
      </w:tabs>
      <w:snapToGrid w:val="0"/>
      <w:jc w:val="left"/>
    </w:pPr>
    <w:rPr>
      <w:sz w:val="18"/>
      <w:szCs w:val="18"/>
      <w:lang w:val="zh-CN"/>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annotation subject"/>
    <w:basedOn w:val="8"/>
    <w:next w:val="8"/>
    <w:link w:val="26"/>
    <w:semiHidden/>
    <w:unhideWhenUsed/>
    <w:qFormat/>
    <w:uiPriority w:val="99"/>
    <w:rPr>
      <w:b/>
      <w:bCs/>
    </w:rPr>
  </w:style>
  <w:style w:type="table" w:styleId="15">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22"/>
    <w:rPr>
      <w:b/>
    </w:rPr>
  </w:style>
  <w:style w:type="character" w:styleId="18">
    <w:name w:val="Hyperlink"/>
    <w:unhideWhenUsed/>
    <w:qFormat/>
    <w:uiPriority w:val="99"/>
    <w:rPr>
      <w:color w:val="0000FF"/>
      <w:u w:val="single"/>
    </w:rPr>
  </w:style>
  <w:style w:type="character" w:styleId="19">
    <w:name w:val="HTML Code"/>
    <w:basedOn w:val="16"/>
    <w:semiHidden/>
    <w:unhideWhenUsed/>
    <w:qFormat/>
    <w:uiPriority w:val="99"/>
    <w:rPr>
      <w:rFonts w:ascii="Courier New" w:hAnsi="Courier New"/>
      <w:sz w:val="20"/>
    </w:rPr>
  </w:style>
  <w:style w:type="character" w:styleId="20">
    <w:name w:val="annotation reference"/>
    <w:semiHidden/>
    <w:unhideWhenUsed/>
    <w:qFormat/>
    <w:uiPriority w:val="99"/>
    <w:rPr>
      <w:sz w:val="21"/>
      <w:szCs w:val="21"/>
    </w:rPr>
  </w:style>
  <w:style w:type="character" w:customStyle="1" w:styleId="21">
    <w:name w:val="标题 1 字符"/>
    <w:link w:val="2"/>
    <w:qFormat/>
    <w:uiPriority w:val="9"/>
    <w:rPr>
      <w:b/>
      <w:bCs/>
      <w:kern w:val="44"/>
      <w:sz w:val="44"/>
      <w:szCs w:val="44"/>
    </w:rPr>
  </w:style>
  <w:style w:type="paragraph" w:customStyle="1" w:styleId="2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3">
    <w:name w:val="页眉 字符"/>
    <w:link w:val="11"/>
    <w:qFormat/>
    <w:uiPriority w:val="99"/>
    <w:rPr>
      <w:kern w:val="2"/>
      <w:sz w:val="18"/>
      <w:szCs w:val="18"/>
    </w:rPr>
  </w:style>
  <w:style w:type="character" w:customStyle="1" w:styleId="24">
    <w:name w:val="页脚 字符"/>
    <w:link w:val="10"/>
    <w:qFormat/>
    <w:uiPriority w:val="99"/>
    <w:rPr>
      <w:kern w:val="2"/>
      <w:sz w:val="18"/>
      <w:szCs w:val="18"/>
    </w:rPr>
  </w:style>
  <w:style w:type="character" w:customStyle="1" w:styleId="25">
    <w:name w:val="批注文字 字符"/>
    <w:link w:val="8"/>
    <w:semiHidden/>
    <w:qFormat/>
    <w:uiPriority w:val="99"/>
    <w:rPr>
      <w:kern w:val="2"/>
      <w:sz w:val="21"/>
      <w:szCs w:val="22"/>
    </w:rPr>
  </w:style>
  <w:style w:type="character" w:customStyle="1" w:styleId="26">
    <w:name w:val="批注主题 字符"/>
    <w:link w:val="13"/>
    <w:semiHidden/>
    <w:qFormat/>
    <w:uiPriority w:val="99"/>
    <w:rPr>
      <w:b/>
      <w:bCs/>
      <w:kern w:val="2"/>
      <w:sz w:val="21"/>
      <w:szCs w:val="22"/>
    </w:rPr>
  </w:style>
  <w:style w:type="character" w:customStyle="1" w:styleId="27">
    <w:name w:val="批注框文本 字符"/>
    <w:link w:val="9"/>
    <w:semiHidden/>
    <w:qFormat/>
    <w:uiPriority w:val="99"/>
    <w:rPr>
      <w:kern w:val="2"/>
      <w:sz w:val="18"/>
      <w:szCs w:val="18"/>
    </w:rPr>
  </w:style>
  <w:style w:type="paragraph" w:customStyle="1" w:styleId="28">
    <w:name w:val="彩色底纹 - 强调文字颜色 11"/>
    <w:hidden/>
    <w:semiHidden/>
    <w:qFormat/>
    <w:uiPriority w:val="99"/>
    <w:rPr>
      <w:rFonts w:ascii="Calibri" w:hAnsi="Calibri" w:eastAsia="宋体" w:cs="Times New Roman"/>
      <w:kern w:val="2"/>
      <w:sz w:val="21"/>
      <w:szCs w:val="22"/>
      <w:lang w:val="en-US" w:eastAsia="zh-CN" w:bidi="ar-SA"/>
    </w:rPr>
  </w:style>
  <w:style w:type="paragraph" w:customStyle="1" w:styleId="29">
    <w:name w:val="TOC 标题1"/>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0">
    <w:name w:val="目录 11"/>
    <w:basedOn w:val="1"/>
    <w:next w:val="1"/>
    <w:unhideWhenUsed/>
    <w:qFormat/>
    <w:uiPriority w:val="39"/>
    <w:pPr>
      <w:tabs>
        <w:tab w:val="right" w:leader="dot" w:pos="9061"/>
      </w:tabs>
      <w:spacing w:line="360" w:lineRule="auto"/>
    </w:pPr>
    <w:rPr>
      <w:rFonts w:ascii="Times New Roman" w:hAnsi="黑体" w:eastAsia="黑体" w:cs="宋体"/>
      <w:sz w:val="30"/>
    </w:rPr>
  </w:style>
  <w:style w:type="paragraph" w:customStyle="1" w:styleId="31">
    <w:name w:val="目录 21"/>
    <w:basedOn w:val="1"/>
    <w:next w:val="1"/>
    <w:unhideWhenUsed/>
    <w:qFormat/>
    <w:uiPriority w:val="39"/>
    <w:pPr>
      <w:tabs>
        <w:tab w:val="right" w:leader="dot" w:pos="9061"/>
      </w:tabs>
      <w:spacing w:line="360" w:lineRule="auto"/>
      <w:ind w:left="420" w:leftChars="200"/>
    </w:pPr>
    <w:rPr>
      <w:rFonts w:ascii="黑体" w:hAnsi="黑体" w:eastAsia="黑体" w:cs="宋体"/>
      <w:sz w:val="28"/>
    </w:rPr>
  </w:style>
  <w:style w:type="paragraph" w:customStyle="1" w:styleId="32">
    <w:name w:val="目录 31"/>
    <w:basedOn w:val="1"/>
    <w:next w:val="1"/>
    <w:unhideWhenUsed/>
    <w:qFormat/>
    <w:uiPriority w:val="39"/>
    <w:pPr>
      <w:tabs>
        <w:tab w:val="right" w:leader="dot" w:pos="9061"/>
      </w:tabs>
      <w:spacing w:line="360" w:lineRule="auto"/>
      <w:ind w:left="840" w:leftChars="400"/>
    </w:pPr>
    <w:rPr>
      <w:rFonts w:ascii="Times New Roman" w:hAnsi="Times New Roman" w:cs="宋体"/>
      <w:b/>
      <w:sz w:val="24"/>
    </w:rPr>
  </w:style>
  <w:style w:type="paragraph" w:customStyle="1" w:styleId="33">
    <w:name w:val="彩色列表 - 强调文字颜色 111"/>
    <w:basedOn w:val="1"/>
    <w:qFormat/>
    <w:uiPriority w:val="0"/>
    <w:pPr>
      <w:ind w:firstLine="420" w:firstLineChars="200"/>
    </w:pPr>
  </w:style>
  <w:style w:type="character" w:customStyle="1" w:styleId="34">
    <w:name w:val="文档结构图 字符"/>
    <w:link w:val="7"/>
    <w:semiHidden/>
    <w:qFormat/>
    <w:uiPriority w:val="99"/>
    <w:rPr>
      <w:rFonts w:ascii="宋体"/>
      <w:kern w:val="2"/>
      <w:sz w:val="18"/>
      <w:szCs w:val="18"/>
    </w:rPr>
  </w:style>
  <w:style w:type="paragraph" w:customStyle="1" w:styleId="35">
    <w:name w:val="列出段落"/>
    <w:basedOn w:val="1"/>
    <w:qFormat/>
    <w:uiPriority w:val="34"/>
    <w:pPr>
      <w:ind w:firstLine="420" w:firstLineChars="200"/>
    </w:pPr>
  </w:style>
  <w:style w:type="paragraph" w:customStyle="1" w:styleId="36">
    <w:name w:val="彩色列表 - 强调文字颜色 11"/>
    <w:basedOn w:val="1"/>
    <w:qFormat/>
    <w:uiPriority w:val="0"/>
    <w:pPr>
      <w:ind w:firstLine="420" w:firstLineChars="200"/>
    </w:pPr>
  </w:style>
  <w:style w:type="character" w:customStyle="1" w:styleId="37">
    <w:name w:val="fontstyle01"/>
    <w:basedOn w:val="16"/>
    <w:qFormat/>
    <w:uiPriority w:val="0"/>
    <w:rPr>
      <w:rFonts w:hint="eastAsia" w:ascii="宋体" w:hAnsi="宋体" w:eastAsia="宋体"/>
      <w:color w:val="000000"/>
      <w:sz w:val="24"/>
      <w:szCs w:val="24"/>
    </w:rPr>
  </w:style>
  <w:style w:type="character" w:customStyle="1" w:styleId="38">
    <w:name w:val="fontstyle21"/>
    <w:basedOn w:val="16"/>
    <w:qFormat/>
    <w:uiPriority w:val="0"/>
    <w:rPr>
      <w:rFonts w:hint="default" w:ascii="TimesNewRomanPSMT" w:hAnsi="TimesNewRomanPSMT"/>
      <w:color w:val="000000"/>
      <w:sz w:val="24"/>
      <w:szCs w:val="24"/>
    </w:rPr>
  </w:style>
  <w:style w:type="character" w:styleId="39">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46008-D6F7-4032-A369-E624FBFA332D}">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3004</Words>
  <Characters>3705</Characters>
  <Lines>52</Lines>
  <Paragraphs>14</Paragraphs>
  <TotalTime>1</TotalTime>
  <ScaleCrop>false</ScaleCrop>
  <LinksUpToDate>false</LinksUpToDate>
  <CharactersWithSpaces>3879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2024-05-24T01:22:00Z</dcterms:created>
  <dc:creator>Guoyanling</dc:creator>
  <cp:lastModifiedBy>韩昌昊</cp:lastModifiedBy>
  <cp:lastPrinted>2025-04-20T14:40:00Z</cp:lastPrinted>
  <dcterms:modified xsi:type="dcterms:W3CDTF">2026-05-31T10:35:15Z</dcterms:modified>
  <cp:revision>574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ICV">
    <vt:lpwstr>A3F5A84CBF1841A5A328870D654C45F1_13</vt:lpwstr>
  </property>
  <property fmtid="{D5CDD505-2E9C-101B-9397-08002B2CF9AE}" pid="5" name="KSOTemplateDocerSaveRecord">
    <vt:lpwstr>eyJoZGlkIjoiZGIwNTAwMTNlNDZjZTQ3OTNkZGM5YzM0M2IyOGQ4MDIiLCJ1c2VySWQiOiIxNTcyMTYyNTI0In0=</vt:lpwstr>
  </property>
</Properties>
</file>