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Практическое занятие 15 Unit тестирование Go</w:t>
      </w:r>
    </w:p>
    <w:p>
      <w:pPr>
        <w:pStyle w:val="Heading1"/>
      </w:pPr>
      <w:r>
        <w:t>Цель и выполненная работа</w:t>
      </w:r>
    </w:p>
    <w:p>
      <w:pPr/>
      <w:r>
        <w:t>Создан отдельный Go-модуль с unit-тестами арифметики, обрезки строки и поиска ID через интерфейс репозитория. Проверены результаты, ошибки, граничные случаи и взаимодействие с локальным stub. Все обязательные команды выполнены, покрытие каждого из трёх пакетов составляет 100,0%. Тестам не требуются БД, сеть или сервер; существующие практики не изменялись.</w:t>
      </w:r>
    </w:p>
    <w:p>
      <w:pPr/>
      <w:r>
        <w:t xml:space="preserve">Репозиторий: </w:t>
      </w:r>
      <w:hyperlink r:id="rId9">
        <w:r>
          <w:rPr>
            <w:color w:val="195A85"/>
          </w:rPr>
          <w:t>Pondaaaaaa/GO</w:t>
        </w:r>
      </w:hyperlink>
      <w:r>
        <w:t xml:space="preserve">. Код после пользовательского push будет доступен по </w:t>
      </w:r>
      <w:hyperlink r:id="rId10">
        <w:r>
          <w:rPr>
            <w:color w:val="195A85"/>
          </w:rPr>
          <w:t>practices/pz15-tests</w:t>
        </w:r>
      </w:hyperlink>
      <w:r>
        <w:t xml:space="preserve">. На момент подготовки отчёта выполнен только локальный коммит, удалённая публикация не проверялась. </w:t>
      </w:r>
      <w:hyperlink r:id="rId11">
        <w:r>
          <w:rPr>
            <w:color w:val="195A85"/>
          </w:rPr>
          <w:t>Локальный README</w:t>
        </w:r>
      </w:hyperlink>
      <w:r>
        <w:t>.</w:t>
      </w:r>
    </w:p>
    <w:p>
      <w:pPr>
        <w:pStyle w:val="Heading1"/>
      </w:pPr>
      <w:r>
        <w:t>Окружение и структура</w:t>
      </w:r>
    </w:p>
    <w:p>
      <w:pPr>
        <w:keepNext/>
      </w:pPr>
      <w:r>
        <w:t>Фактическое окружение: Windows amd64, Go go1.27.2, PowerShell 7.6.5. Зависимость testify v1.7.0 закреплена в go.mod/go.sum вместе с транзитивными зависимостями. Исходный DOCX №15 сверен; следуют требованиям mathx, stringsx, service, assert/require, t.Run и покрытию не ниже 70%.</w:t>
      </w:r>
    </w:p>
    <w:p>
      <w:pPr>
        <w:pStyle w:val="Code"/>
        <w:keepNext/>
      </w:pPr>
      <w:r>
        <w:t>practices/pz15-tests/</w:t>
      </w:r>
    </w:p>
    <w:p>
      <w:pPr>
        <w:pStyle w:val="Code"/>
        <w:keepNext/>
      </w:pPr>
      <w:r>
        <w:t xml:space="preserve">  go.mod</w:t>
      </w:r>
    </w:p>
    <w:p>
      <w:pPr>
        <w:pStyle w:val="Code"/>
        <w:keepNext/>
      </w:pPr>
      <w:r>
        <w:t xml:space="preserve">  go.sum</w:t>
      </w:r>
    </w:p>
    <w:p>
      <w:pPr>
        <w:pStyle w:val="Code"/>
        <w:keepNext/>
      </w:pPr>
      <w:r>
        <w:t xml:space="preserve">  README.md</w:t>
      </w:r>
    </w:p>
    <w:p>
      <w:pPr>
        <w:pStyle w:val="Code"/>
        <w:keepNext/>
      </w:pPr>
      <w:r>
        <w:t xml:space="preserve">  internal/mathx/mathx.go</w:t>
      </w:r>
    </w:p>
    <w:p>
      <w:pPr>
        <w:pStyle w:val="Code"/>
        <w:keepNext/>
      </w:pPr>
      <w:r>
        <w:t xml:space="preserve">  internal/mathx/mathx_test.go</w:t>
      </w:r>
    </w:p>
    <w:p>
      <w:pPr>
        <w:pStyle w:val="Code"/>
        <w:keepNext/>
      </w:pPr>
      <w:r>
        <w:t xml:space="preserve">  internal/stringsx/stringsx.go</w:t>
      </w:r>
    </w:p>
    <w:p>
      <w:pPr>
        <w:pStyle w:val="Code"/>
        <w:keepNext/>
      </w:pPr>
      <w:r>
        <w:t xml:space="preserve">  internal/stringsx/stringsx_test.go</w:t>
      </w:r>
    </w:p>
    <w:p>
      <w:pPr>
        <w:pStyle w:val="Code"/>
        <w:keepNext/>
      </w:pPr>
      <w:r>
        <w:t xml:space="preserve">  internal/service/repo.go</w:t>
      </w:r>
    </w:p>
    <w:p>
      <w:pPr>
        <w:pStyle w:val="Code"/>
        <w:keepNext/>
      </w:pPr>
      <w:r>
        <w:t xml:space="preserve">  internal/service/service.go</w:t>
      </w:r>
    </w:p>
    <w:p>
      <w:pPr>
        <w:pStyle w:val="Code"/>
        <w:keepNext/>
      </w:pPr>
      <w:r>
        <w:t xml:space="preserve">  internal/service/service_test.go</w:t>
      </w:r>
    </w:p>
    <w:p>
      <w:pPr>
        <w:pStyle w:val="Code"/>
        <w:keepNext/>
      </w:pPr>
      <w:r>
        <w:t>reports/logs/pz15/</w:t>
      </w:r>
    </w:p>
    <w:p>
      <w:pPr>
        <w:pStyle w:val="Code"/>
        <w:keepNext/>
      </w:pPr>
      <w:r>
        <w:t xml:space="preserve">  test.txt, verbose.txt</w:t>
      </w:r>
    </w:p>
    <w:p>
      <w:pPr>
        <w:pStyle w:val="Code"/>
        <w:keepNext/>
      </w:pPr>
      <w:r>
        <w:t xml:space="preserve">  coverage.txt, coverprofile.txt, functions.txt</w:t>
      </w:r>
    </w:p>
    <w:p>
      <w:pPr>
        <w:pStyle w:val="Code"/>
        <w:keepNext/>
      </w:pPr>
      <w:r>
        <w:t xml:space="preserve">  checks.txt, versions.txt</w:t>
      </w:r>
    </w:p>
    <w:p>
      <w:pPr>
        <w:pStyle w:val="Code"/>
        <w:keepNext w:val="0"/>
      </w:pPr>
      <w:r>
        <w:t xml:space="preserve">  coverage.html</w:t>
      </w:r>
    </w:p>
    <w:p>
      <w:pPr>
        <w:pStyle w:val="Heading1"/>
      </w:pPr>
      <w:r>
        <w:t>Проверенные сценарии</w:t>
      </w:r>
    </w:p>
    <w:p>
      <w:pPr/>
      <w:r>
        <w:rPr>
          <w:rFonts w:ascii="Consolas" w:hAnsi="Consolas"/>
          <w:sz w:val="18"/>
        </w:rPr>
        <w:t>TestSum_Table</w:t>
      </w:r>
      <w:r>
        <w:t xml:space="preserve"> использует стандартный testing и шесть именованных t.Run: положительные числа, разные знаки, два отрицательных числа, два нуля, нулевой операнд и взаимное сокращение. Каждый результат сравнивается с заданным want через t.Errorf; простого вызова без проверки нет.</w:t>
      </w:r>
    </w:p>
    <w:p>
      <w:pPr/>
      <w:r>
        <w:rPr>
          <w:rFonts w:ascii="Consolas" w:hAnsi="Consolas"/>
          <w:sz w:val="18"/>
        </w:rPr>
        <w:t>TestDivide_OkAndError</w:t>
      </w:r>
      <w:r>
        <w:t xml:space="preserve"> содержит восемь кейсов: точное деление, остаток, отрицательный числитель, отрицательный знаменатель, два отрицательных операнда, нулевой числитель, деление на ноль и 0/0. require.NoError проверяет предусловие успешного ответа, require.Error — наличие ошибки, assert.EqualError — текст divide by zero. assert.Equal проверяет число и в успешных, и в ошибочных случаях. Деление целочисленное, с усечением к нулю: -7/3 даёт -2.</w:t>
      </w:r>
    </w:p>
    <w:p>
      <w:pPr/>
      <w:r>
        <w:rPr>
          <w:rFonts w:ascii="Consolas" w:hAnsi="Consolas"/>
          <w:sz w:val="18"/>
        </w:rPr>
        <w:t>TestClip</w:t>
      </w:r>
      <w:r>
        <w:t xml:space="preserve"> проверяет пустую строку с положительным/нулевым/отрицательным max, непустую строку при max=0 и max&lt;0, равную и большую длину, обрезку и первый байт. Дополнительно проверены UTF-8 на целой границе и внутри символа. Всего 12 именованных подтестов. Контракт специально </w:t>
      </w:r>
      <w:r>
        <w:rPr>
          <w:b/>
        </w:rPr>
        <w:t>считает длину и обрезку по байтам</w:t>
      </w:r>
      <w:r>
        <w:t>: для Clip("П",1) ожидается строка из байта 0xD0, и utf8.ValidString возвращает false. Это ограничение функции, а не исправленный Unicode-алгоритм.</w:t>
      </w:r>
    </w:p>
    <w:p>
      <w:pPr/>
      <w:r>
        <w:rPr>
          <w:rFonts w:ascii="Consolas" w:hAnsi="Consolas"/>
          <w:sz w:val="18"/>
        </w:rPr>
        <w:t>TestService_FindIDByEmail</w:t>
      </w:r>
      <w:r>
        <w:t xml:space="preserve"> использует локальный stub, реализующий UserRepo.ByEmail. Пять случаев: найден ID 42, отсутствующий email, пустой email, ошибка репозитория и обёрнутый ErrNotFound. assert.ErrorIs проверяет sentinel, включая цепочку </w:t>
      </w:r>
      <w:r>
        <w:rPr>
          <w:rFonts w:ascii="Consolas" w:hAnsi="Consolas"/>
          <w:sz w:val="18"/>
        </w:rPr>
        <w:t>%w</w:t>
      </w:r>
      <w:r>
        <w:t>; assert.Same проверяет возврат исходной ошибки репозитория без замены. Даже если stub возвращает User с ID 999 вместе с ошибкой, сервис обязан вернуть ID 0 — это проверяется. Каждый кейс также проверяет передачу точного email одним вызовом. Stub создаётся заново в каждом t.Run и не зависит от других тестов.</w:t>
      </w:r>
    </w:p>
    <w:p>
      <w:pPr>
        <w:keepNext/>
      </w:pPr>
      <w:r>
        <w:t>Ключевой фрагмент проверки сервиса:</w:t>
      </w:r>
    </w:p>
    <w:p>
      <w:pPr>
        <w:pStyle w:val="Code"/>
        <w:keepNext/>
      </w:pPr>
      <w:r>
        <w:t>id, err := svc.FindIDByEmail(tc.email)</w:t>
      </w:r>
    </w:p>
    <w:p>
      <w:pPr>
        <w:pStyle w:val="Code"/>
        <w:keepNext/>
      </w:pPr>
      <w:r>
        <w:t>if tc.wantErr != nil {</w:t>
      </w:r>
    </w:p>
    <w:p>
      <w:pPr>
        <w:pStyle w:val="Code"/>
        <w:keepNext/>
      </w:pPr>
      <w:r>
        <w:t xml:space="preserve">    require.Error(t, err)</w:t>
      </w:r>
    </w:p>
    <w:p>
      <w:pPr>
        <w:pStyle w:val="Code"/>
        <w:keepNext/>
      </w:pPr>
      <w:r>
        <w:t xml:space="preserve">    assert.ErrorIs(t, err, tc.wantErr)</w:t>
      </w:r>
    </w:p>
    <w:p>
      <w:pPr>
        <w:pStyle w:val="Code"/>
        <w:keepNext/>
      </w:pPr>
      <w:r>
        <w:t>} else {</w:t>
      </w:r>
    </w:p>
    <w:p>
      <w:pPr>
        <w:pStyle w:val="Code"/>
        <w:keepNext/>
      </w:pPr>
      <w:r>
        <w:t xml:space="preserve">    require.NoError(t, err)</w:t>
      </w:r>
    </w:p>
    <w:p>
      <w:pPr>
        <w:pStyle w:val="Code"/>
        <w:keepNext/>
      </w:pPr>
      <w:r>
        <w:t>}</w:t>
      </w:r>
    </w:p>
    <w:p>
      <w:pPr>
        <w:pStyle w:val="Code"/>
        <w:keepNext/>
      </w:pPr>
      <w:r>
        <w:t>assert.Equal(t, tc.wantID, id)</w:t>
      </w:r>
    </w:p>
    <w:p>
      <w:pPr>
        <w:pStyle w:val="Code"/>
        <w:keepNext w:val="0"/>
      </w:pPr>
      <w:r>
        <w:t>assert.Equal(t, []string{tc.email}, repo.calls)</w:t>
      </w:r>
    </w:p>
    <w:p>
      <w:pPr/>
      <w:r>
        <w:t>Итого выполнены четыре основных Test-функции и 31 именованный подтест. В каждой проверяется ожидаемое поведение; покрытие не набирается бессодержательными вызовами.</w:t>
      </w:r>
    </w:p>
    <w:p>
      <w:pPr>
        <w:pStyle w:val="Heading1"/>
      </w:pPr>
      <w:r>
        <w:t>Реальные команды и результаты</w:t>
      </w:r>
    </w:p>
    <w:p>
      <w:pPr>
        <w:keepNext/>
      </w:pPr>
      <w:r>
        <w:t>Сначала в PowerShell выполнен локальный setup.ps1. Из каталога модуля фактически выполнены:</w:t>
      </w:r>
    </w:p>
    <w:p>
      <w:pPr>
        <w:pStyle w:val="Code"/>
        <w:keepNext/>
      </w:pPr>
      <w:r>
        <w:t>go test ./...</w:t>
      </w:r>
    </w:p>
    <w:p>
      <w:pPr>
        <w:pStyle w:val="Code"/>
        <w:keepNext/>
      </w:pPr>
      <w:r>
        <w:t>go test -v ./internal/...</w:t>
      </w:r>
    </w:p>
    <w:p>
      <w:pPr>
        <w:pStyle w:val="Code"/>
        <w:keepNext/>
      </w:pPr>
      <w:r>
        <w:t>go test -cover ./...</w:t>
      </w:r>
    </w:p>
    <w:p>
      <w:pPr>
        <w:pStyle w:val="Code"/>
        <w:keepNext/>
      </w:pPr>
      <w:r>
        <w:t>go test '-coverprofile=coverage.out' ./...</w:t>
      </w:r>
    </w:p>
    <w:p>
      <w:pPr>
        <w:pStyle w:val="Code"/>
        <w:keepNext/>
      </w:pPr>
      <w:r>
        <w:t>go tool cover '-html=coverage.out' '-o=../../reports/logs/pz15/coverage.html'</w:t>
      </w:r>
    </w:p>
    <w:p>
      <w:pPr>
        <w:pStyle w:val="Code"/>
        <w:keepNext/>
      </w:pPr>
      <w:r>
        <w:t>go tool cover '-func=coverage.out'</w:t>
      </w:r>
    </w:p>
    <w:p>
      <w:pPr>
        <w:pStyle w:val="Code"/>
        <w:keepNext/>
      </w:pPr>
      <w:r>
        <w:t>go fmt ./...</w:t>
      </w:r>
    </w:p>
    <w:p>
      <w:pPr>
        <w:pStyle w:val="Code"/>
        <w:keepNext/>
      </w:pPr>
      <w:r>
        <w:t>go vet ./...</w:t>
      </w:r>
    </w:p>
    <w:p>
      <w:pPr>
        <w:pStyle w:val="Code"/>
        <w:keepNext/>
      </w:pPr>
      <w:r>
        <w:t>go build ./...</w:t>
      </w:r>
    </w:p>
    <w:p>
      <w:pPr>
        <w:pStyle w:val="Code"/>
        <w:keepNext w:val="0"/>
      </w:pPr>
      <w:r>
        <w:t>go mod verify</w:t>
      </w:r>
    </w:p>
    <w:p>
      <w:pPr/>
      <w:r>
        <w:t xml:space="preserve">Все перечисленные команды в окончательном прогоне завершились успешно. </w:t>
      </w:r>
      <w:hyperlink r:id="rId12">
        <w:r>
          <w:rPr>
            <w:color w:val="195A85"/>
          </w:rPr>
          <w:t>Обычный запуск</w:t>
        </w:r>
      </w:hyperlink>
      <w:r>
        <w:t xml:space="preserve">, </w:t>
      </w:r>
      <w:hyperlink r:id="rId13">
        <w:r>
          <w:rPr>
            <w:color w:val="195A85"/>
          </w:rPr>
          <w:t>подробный вывод</w:t>
        </w:r>
      </w:hyperlink>
      <w:r>
        <w:t xml:space="preserve">, </w:t>
      </w:r>
      <w:hyperlink r:id="rId14">
        <w:r>
          <w:rPr>
            <w:color w:val="195A85"/>
          </w:rPr>
          <w:t>дополнительные проверки</w:t>
        </w:r>
      </w:hyperlink>
      <w:r>
        <w:t xml:space="preserve">, </w:t>
      </w:r>
      <w:hyperlink r:id="rId15">
        <w:r>
          <w:rPr>
            <w:color w:val="195A85"/>
          </w:rPr>
          <w:t>версии</w:t>
        </w:r>
      </w:hyperlink>
      <w:r>
        <w:t xml:space="preserve">. Обычный повторный go test и повторное создание профиля использовали кэш; verbose и первый go test -cover содержат фактические длительности выполнения в логах. Последняя проверка модулей вывела </w:t>
      </w:r>
      <w:r>
        <w:rPr>
          <w:rFonts w:ascii="Consolas" w:hAnsi="Consolas"/>
          <w:sz w:val="18"/>
        </w:rPr>
        <w:t>all modules verified</w:t>
      </w:r>
      <w:r>
        <w:t>. fmt, vet и build завершились с кодом 0 без диагностик.</w:t>
      </w:r>
    </w:p>
    <w:p>
      <w:pPr/>
      <w:r>
        <w:t xml:space="preserve">Отдельное фактическое покрытие из </w:t>
      </w:r>
      <w:hyperlink r:id="rId16">
        <w:r>
          <w:rPr>
            <w:color w:val="195A85"/>
          </w:rPr>
          <w:t>go test -cover</w:t>
        </w:r>
      </w:hyperlink>
      <w:r>
        <w:t xml:space="preserve"> и </w:t>
      </w:r>
      <w:hyperlink r:id="rId17">
        <w:r>
          <w:rPr>
            <w:color w:val="195A85"/>
          </w:rPr>
          <w:t>создания coverage.out</w:t>
        </w:r>
      </w:hyperlink>
      <w: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/>
        </w:trPr>
        <w:tc>
          <w:tcPr>
            <w:tcW w:type="dxa" w:w="2466"/>
            <w:shd w:fill="E9EDF0"/>
          </w:tcPr>
          <w:p>
            <w:pPr>
              <w:spacing w:after="0"/>
            </w:pPr>
            <w:r>
              <w:rPr>
                <w:b/>
                <w:sz w:val="18"/>
              </w:rPr>
              <w:t>Пакет</w:t>
            </w:r>
          </w:p>
        </w:tc>
        <w:tc>
          <w:tcPr>
            <w:tcW w:type="dxa" w:w="2466"/>
            <w:shd w:fill="E9EDF0"/>
          </w:tcPr>
          <w:p>
            <w:pPr>
              <w:spacing w:after="0"/>
            </w:pPr>
            <w:r>
              <w:rPr>
                <w:b/>
                <w:sz w:val="18"/>
              </w:rPr>
              <w:t>Покрытие statements</w:t>
            </w:r>
          </w:p>
        </w:tc>
        <w:tc>
          <w:tcPr>
            <w:tcW w:type="dxa" w:w="2466"/>
            <w:shd w:fill="E9EDF0"/>
          </w:tcPr>
          <w:p>
            <w:pPr>
              <w:spacing w:after="0"/>
            </w:pP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66"/>
            <w:shd w:fill="E9EDF0"/>
          </w:tcPr>
          <w:p>
            <w:pPr>
              <w:spacing w:after="0"/>
            </w:pPr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internal/mathx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100,0%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≥70%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выполнено</w:t>
            </w:r>
          </w:p>
        </w:tc>
      </w:tr>
      <w:tr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internal/stringsx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100,0%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≥70%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выполнено</w:t>
            </w:r>
          </w:p>
        </w:tc>
      </w:tr>
      <w:tr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internal/service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100,0%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≥70%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sz w:val="18"/>
              </w:rPr>
              <w:t>выполнено</w:t>
            </w:r>
          </w:p>
        </w:tc>
      </w:tr>
    </w:tbl>
    <w:p>
      <w:pPr>
        <w:spacing w:after="0"/>
      </w:pPr>
    </w:p>
    <w:p>
      <w:pPr/>
      <w:hyperlink r:id="rId18">
        <w:r>
          <w:rPr>
            <w:color w:val="195A85"/>
          </w:rPr>
          <w:t>Вывод по функциям</w:t>
        </w:r>
      </w:hyperlink>
      <w:r>
        <w:t>: Sum, Divide, New, FindIDByEmail и Clip — по 100,0%; итог statements — 100,0%. Проверены обе ветви Divide, отрицательный max и обе ветви длины Clip, успех и возврат ошибки сервиса. Go показывает покрытие statements, а не самостоятельное доказательство покрытия всех возможных входов или качества assertions.</w:t>
      </w:r>
    </w:p>
    <w:p>
      <w:pPr/>
      <w:hyperlink r:id="rId19">
        <w:r>
          <w:rPr>
            <w:color w:val="195A85"/>
          </w:rPr>
          <w:t>Настоящий HTML покрытия</w:t>
        </w:r>
      </w:hyperlink>
      <w:r>
        <w:t xml:space="preserve"> сформирован go tool cover из полученного coverage.out и содержит исходные участки трёх пакетов с отметками покрытия. HTML размером 4016 байт проверен как сохранённый результат генератора. Скрин HTML не делался: он необязателен. Временный coverage.out удалён и не входит в коммит; HTML и небольшие логи сохранены.</w:t>
      </w:r>
    </w:p>
    <w:p>
      <w:pPr>
        <w:keepNext/>
      </w:pPr>
      <w:r>
        <w:t>Для открытия HTML в Windows:</w:t>
      </w:r>
    </w:p>
    <w:p>
      <w:pPr>
        <w:pStyle w:val="Code"/>
        <w:keepNext w:val="0"/>
      </w:pPr>
      <w:r>
        <w:t>Start-Process 'D:\MAG\GO\practic\reports\logs\pz15\coverage.html'</w:t>
      </w:r>
    </w:p>
    <w:p>
      <w:pPr>
        <w:pStyle w:val="Heading1"/>
      </w:pPr>
      <w:r>
        <w:t>Проблемы и ограничения</w:t>
      </w:r>
    </w:p>
    <w:p>
      <w:pPr/>
      <w:r>
        <w:t xml:space="preserve">Первоначальная загрузка отсутствующих зависимостей и покрытие столкнулись с ограничениями песочницы: сеть была недоступна, а сборщик покрытия получил Access is denied при переименовании метаданных. После разрешённого запуска вне песочницы зависимости загрузились и покрытие успешно получено. Для команды cover вариант с незаключёнными в кавычки аргументами завершился ошибкой too many arguments; проверенный вариант с кавычками и </w:t>
      </w:r>
      <w:r>
        <w:rPr>
          <w:rFonts w:ascii="Consolas" w:hAnsi="Consolas"/>
          <w:sz w:val="18"/>
        </w:rPr>
        <w:t>-o=...</w:t>
      </w:r>
      <w:r>
        <w:t xml:space="preserve"> включён в README.</w:t>
      </w:r>
    </w:p>
    <w:p>
      <w:pPr/>
      <w:r>
        <w:t>Clip может возвращать невалидный UTF-8, потому что работает по байтам. Арифметика использует машинный int без отдельного контроля переполнения; Divide не вычисляет дробный результат. Сервис не нормализует email и требует предоставленный репозиторий. Реальную интеграцию с БД эти unit-тесты не проверяют. Необязательные BenchmarkSum, тест паники и CI workflow не добавлялись.</w:t>
      </w:r>
    </w:p>
    <w:p>
      <w:pPr>
        <w:pStyle w:val="Heading1"/>
      </w:pPr>
      <w:r>
        <w:t>Контрольные вопросы</w:t>
      </w:r>
    </w:p>
    <w:p>
      <w:pPr>
        <w:ind w:left="340" w:hanging="255"/>
      </w:pPr>
      <w:r>
        <w:t xml:space="preserve">1. </w:t>
      </w:r>
      <w:r>
        <w:rPr>
          <w:b/>
        </w:rPr>
        <w:t>Unit и интеграционный тест, зачем изоляция?</w:t>
      </w:r>
      <w:r>
        <w:t xml:space="preserve"> Unit проверяет отдельную функцию или метод с контролируемыми зависимостями; интеграционный тест проверяет взаимодействие реальных компонентов, например сервиса и БД. Изоляция делает тест быстрым, повторяемым и независимым от сети, времени и внешних данных. Здесь сервис тестируется со stub в памяти.</w:t>
      </w:r>
    </w:p>
    <w:p>
      <w:pPr>
        <w:ind w:left="340" w:hanging="255"/>
      </w:pPr>
      <w:r>
        <w:t xml:space="preserve">2. </w:t>
      </w:r>
      <w:r>
        <w:rPr>
          <w:b/>
        </w:rPr>
        <w:t>Табличные тесты и когда они полезны?</w:t>
      </w:r>
      <w:r>
        <w:t xml:space="preserve"> Кейсы хранятся в срезе структур с именем, входом, ожидаемым результатом и ошибкой; цикл запускает t.Run для каждого. Это удобно для одинаковой логики с несколькими значениями и граничными случаями. Именованные подтесты показывают, какой вход сломался, и позволяют выбирать его через -run.</w:t>
      </w:r>
    </w:p>
    <w:p>
      <w:pPr>
        <w:ind w:left="340" w:hanging="255"/>
      </w:pPr>
      <w:r>
        <w:t xml:space="preserve">3. </w:t>
      </w:r>
      <w:r>
        <w:rPr>
          <w:b/>
        </w:rPr>
        <w:t>Что даёт testify и когда достаточно testing?</w:t>
      </w:r>
      <w:r>
        <w:t xml:space="preserve"> testify сокращает проверки равенства, наличия ошибок и errors.Is-совместимости, улучшая сообщения. assert продолжает текущий тест после неудачи; require прекращает текущий тест/подтест, если дальнейшая проверка бессмысленна. Для простого сравнения Sum достаточно t.Errorf; для успеха перед разбором результата уместен require.NoError.</w:t>
      </w:r>
    </w:p>
    <w:p>
      <w:pPr>
        <w:ind w:left="340" w:hanging="255"/>
      </w:pPr>
      <w:r>
        <w:t xml:space="preserve">4. </w:t>
      </w:r>
      <w:r>
        <w:rPr>
          <w:b/>
        </w:rPr>
        <w:t>Что показывает go test -cover и почему процент не равен качеству?</w:t>
      </w:r>
      <w:r>
        <w:t xml:space="preserve"> Он показывает долю выполненных инструментированных statements. Высокое покрытие не проверяет само по себе значения и не гарантирует все сочетания входов: тест без assertions тоже может выполнить код. Поэтому здесь результаты и ошибки проверяются явно, а граничные и отрицательные кейсы описаны отдельно.</w:t>
      </w:r>
    </w:p>
    <w:p>
      <w:pPr>
        <w:ind w:left="340" w:hanging="255"/>
      </w:pPr>
      <w:r>
        <w:t xml:space="preserve">5. </w:t>
      </w:r>
      <w:r>
        <w:rPr>
          <w:b/>
        </w:rPr>
        <w:t>Как проверять ошибки и негативные случаи?</w:t>
      </w:r>
      <w:r>
        <w:t xml:space="preserve"> Для успеха проверять отсутствие ошибки и значение; для отказа — наличие ошибки, её тип/sentinel через ErrorIs и контракт результата. Хорошие примеры: Divide(10,0) возвращает 0 и divide by zero, отсутствующий пользователь — 0 и ErrNotFound, ошибка хранилища передаётся без подмены. Сравнение только текста недостаточно для обёрнутых ошибок.</w:t>
      </w:r>
    </w:p>
    <w:p>
      <w:pPr>
        <w:ind w:left="340" w:hanging="255"/>
      </w:pPr>
      <w:r>
        <w:t xml:space="preserve">6. </w:t>
      </w:r>
      <w:r>
        <w:rPr>
          <w:b/>
        </w:rPr>
        <w:t>Как интерфейсы и стабы/моки позволяют обходиться без БД?</w:t>
      </w:r>
      <w:r>
        <w:t xml:space="preserve"> Сервис зависит от контракта UserRepo, а тест передаёт локальную реализацию. Stub возвращает заранее выбранные User/ошибки; mock дополнительно проверяет взаимодействия. В данной работе stub также записывает вызовы, позволяя проверить точный аргумент и один вызов, а реальная БД не используется.</w:t>
      </w:r>
    </w:p>
    <w:p>
      <w:pPr>
        <w:pStyle w:val="Heading1"/>
      </w:pPr>
      <w:r>
        <w:t>Итоговые выводы</w:t>
      </w:r>
    </w:p>
    <w:p>
      <w:pPr/>
      <w:r>
        <w:t>Табличные unit-тесты проверили арифметику, байтовую обрезку и поиск ID через изолированный репозиторий. Успешные и ошибочные ветви проверены по возвращаемым значениям, а не только выполнены ради покрытия. Особое внимание потребовалось различию assert/require, сохранению ошибки репозитория и разрезанию UTF-8 в Clip. Каждый целевой пакет достиг 100,0% statements, при этом ограничения входов и отсутствие интеграционных проверок остаются явно описанными.</w:t>
      </w:r>
    </w:p>
    <w:sectPr w:rsidR="00FC693F" w:rsidRPr="0006063C" w:rsidSect="00034616">
      <w:pgSz w:w="11906" w:h="16838"/>
      <w:pgMar w:top="1020" w:right="1020" w:bottom="1020" w:left="1020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Calibri" w:cs="Calibr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Calibri" w:hAnsi="Calibri" w:eastAsia="Calibri" w:cs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 w:eastAsia="Calibri" w:cs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Calibri" w:hAnsi="Calibri" w:eastAsia="Calibri" w:cs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Calibri" w:hAnsi="Calibri" w:eastAsia="Calibri" w:cs="Calibri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0" w:line="240" w:lineRule="auto"/>
      <w:ind w:left="198"/>
    </w:pPr>
    <w:rPr>
      <w:rFonts w:ascii="Consolas" w:hAnsi="Consolas" w:eastAsia="Consolas" w:cs="Consolas"/>
      <w:b w:val="0"/>
      <w:color w:val="00000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Pondaaaaaa/GO" TargetMode="External"/><Relationship Id="rId10" Type="http://schemas.openxmlformats.org/officeDocument/2006/relationships/hyperlink" Target="https://github.com/Pondaaaaaa/GO/tree/main/practices/pz15-tests" TargetMode="External"/><Relationship Id="rId11" Type="http://schemas.openxmlformats.org/officeDocument/2006/relationships/hyperlink" Target="https://github.com/Pondaaaaaa/GO/blob/main/practices/pz15-tests/README.md" TargetMode="External"/><Relationship Id="rId12" Type="http://schemas.openxmlformats.org/officeDocument/2006/relationships/hyperlink" Target="https://github.com/Pondaaaaaa/GO/blob/main/reports/logs/pz15/test.txt" TargetMode="External"/><Relationship Id="rId13" Type="http://schemas.openxmlformats.org/officeDocument/2006/relationships/hyperlink" Target="https://github.com/Pondaaaaaa/GO/blob/main/reports/logs/pz15/verbose.txt" TargetMode="External"/><Relationship Id="rId14" Type="http://schemas.openxmlformats.org/officeDocument/2006/relationships/hyperlink" Target="https://github.com/Pondaaaaaa/GO/blob/main/reports/logs/pz15/checks.txt" TargetMode="External"/><Relationship Id="rId15" Type="http://schemas.openxmlformats.org/officeDocument/2006/relationships/hyperlink" Target="https://github.com/Pondaaaaaa/GO/blob/main/reports/logs/pz15/versions.txt" TargetMode="External"/><Relationship Id="rId16" Type="http://schemas.openxmlformats.org/officeDocument/2006/relationships/hyperlink" Target="https://github.com/Pondaaaaaa/GO/blob/main/reports/logs/pz15/coverage.txt" TargetMode="External"/><Relationship Id="rId17" Type="http://schemas.openxmlformats.org/officeDocument/2006/relationships/hyperlink" Target="https://github.com/Pondaaaaaa/GO/blob/main/reports/logs/pz15/coverprofile.txt" TargetMode="External"/><Relationship Id="rId18" Type="http://schemas.openxmlformats.org/officeDocument/2006/relationships/hyperlink" Target="https://github.com/Pondaaaaaa/GO/blob/main/reports/logs/pz15/functions.txt" TargetMode="External"/><Relationship Id="rId19" Type="http://schemas.openxmlformats.org/officeDocument/2006/relationships/hyperlink" Target="https://github.com/Pondaaaaaa/GO/blob/main/reports/logs/pz15/coverag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