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CCB84" w14:textId="225C56A3" w:rsidR="00035A77" w:rsidRPr="002F0887" w:rsidRDefault="007022E4" w:rsidP="004D478D">
      <w:pPr>
        <w:jc w:val="center"/>
        <w:rPr>
          <w:rFonts w:ascii="Times New Roman" w:hAnsi="Times New Roman" w:cs="Times New Roman"/>
        </w:rPr>
      </w:pPr>
      <w:r>
        <w:rPr>
          <w:rFonts w:ascii="Times New Roman" w:hAnsi="Times New Roman" w:cs="Times New Roman"/>
          <w:sz w:val="36"/>
          <w:szCs w:val="36"/>
        </w:rPr>
        <w:t>EXTENDED COST-EFFECTIVENESS ANALYSIS OF</w:t>
      </w:r>
      <w:r w:rsidR="00380E3F">
        <w:rPr>
          <w:rFonts w:ascii="Times New Roman" w:hAnsi="Times New Roman" w:cs="Times New Roman"/>
          <w:sz w:val="36"/>
          <w:szCs w:val="36"/>
        </w:rPr>
        <w:t xml:space="preserve"> </w:t>
      </w:r>
      <w:r w:rsidR="000B505A">
        <w:rPr>
          <w:rFonts w:ascii="Times New Roman" w:hAnsi="Times New Roman" w:cs="Times New Roman"/>
          <w:sz w:val="36"/>
          <w:szCs w:val="36"/>
        </w:rPr>
        <w:t xml:space="preserve">HEALTH POLICY </w:t>
      </w:r>
      <w:r w:rsidR="00F3062F">
        <w:rPr>
          <w:rFonts w:ascii="Times New Roman" w:hAnsi="Times New Roman" w:cs="Times New Roman"/>
          <w:sz w:val="36"/>
          <w:szCs w:val="36"/>
        </w:rPr>
        <w:t>INTERVENTIONS</w:t>
      </w:r>
      <w:r w:rsidR="0071623B" w:rsidRPr="002F0887">
        <w:rPr>
          <w:rFonts w:ascii="Times New Roman" w:hAnsi="Times New Roman" w:cs="Times New Roman"/>
          <w:sz w:val="36"/>
          <w:szCs w:val="36"/>
        </w:rPr>
        <w:t xml:space="preserve"> </w:t>
      </w:r>
      <w:r w:rsidR="00220B89" w:rsidRPr="002F0887">
        <w:rPr>
          <w:rFonts w:ascii="Times New Roman" w:hAnsi="Times New Roman" w:cs="Times New Roman"/>
          <w:sz w:val="36"/>
          <w:szCs w:val="36"/>
        </w:rPr>
        <w:t>IN LOWER-MIDDLE-INCOME COUNTRIES:</w:t>
      </w:r>
      <w:r w:rsidR="00035A77" w:rsidRPr="002F0887">
        <w:rPr>
          <w:rFonts w:ascii="Times New Roman" w:hAnsi="Times New Roman" w:cs="Times New Roman"/>
          <w:sz w:val="36"/>
          <w:szCs w:val="36"/>
        </w:rPr>
        <w:t xml:space="preserve"> </w:t>
      </w:r>
      <w:r w:rsidR="004D478D" w:rsidRPr="002F0887">
        <w:rPr>
          <w:rFonts w:ascii="Times New Roman" w:hAnsi="Times New Roman" w:cs="Times New Roman"/>
          <w:sz w:val="36"/>
          <w:szCs w:val="36"/>
        </w:rPr>
        <w:t>A SCOPING REVIEW</w:t>
      </w:r>
    </w:p>
    <w:p w14:paraId="60F8C087" w14:textId="12BB7F48" w:rsidR="00035A77" w:rsidRPr="002F0887" w:rsidRDefault="00035A77">
      <w:pPr>
        <w:rPr>
          <w:rFonts w:ascii="Times New Roman" w:hAnsi="Times New Roman" w:cs="Times New Roman"/>
        </w:rPr>
      </w:pPr>
    </w:p>
    <w:p w14:paraId="3E0E9AF0" w14:textId="515AC25A" w:rsidR="00035A77" w:rsidRPr="002F0887" w:rsidRDefault="00035A77">
      <w:pPr>
        <w:rPr>
          <w:rFonts w:ascii="Times New Roman" w:hAnsi="Times New Roman" w:cs="Times New Roman"/>
        </w:rPr>
      </w:pPr>
    </w:p>
    <w:p w14:paraId="21DED662" w14:textId="7CD31F5A" w:rsidR="00035A77" w:rsidRPr="002F0887" w:rsidRDefault="00035A77">
      <w:pPr>
        <w:rPr>
          <w:rFonts w:ascii="Times New Roman" w:hAnsi="Times New Roman" w:cs="Times New Roman"/>
        </w:rPr>
      </w:pPr>
    </w:p>
    <w:p w14:paraId="4A66B0E9" w14:textId="609DC62A" w:rsidR="00035A77" w:rsidRPr="002F0887" w:rsidRDefault="00035A77">
      <w:pPr>
        <w:rPr>
          <w:rFonts w:ascii="Times New Roman" w:hAnsi="Times New Roman" w:cs="Times New Roman"/>
        </w:rPr>
      </w:pPr>
    </w:p>
    <w:p w14:paraId="1FC82C33" w14:textId="77777777" w:rsidR="00035A77" w:rsidRPr="002F0887" w:rsidRDefault="00035A77">
      <w:pPr>
        <w:rPr>
          <w:rFonts w:ascii="Times New Roman" w:hAnsi="Times New Roman" w:cs="Times New Roman"/>
        </w:rPr>
      </w:pPr>
    </w:p>
    <w:p w14:paraId="69BAE271" w14:textId="418DF9AB" w:rsidR="00035A77" w:rsidRPr="002F0887" w:rsidRDefault="00035A77">
      <w:pPr>
        <w:rPr>
          <w:rFonts w:ascii="Times New Roman" w:hAnsi="Times New Roman" w:cs="Times New Roman"/>
        </w:rPr>
      </w:pPr>
    </w:p>
    <w:p w14:paraId="7EAFEF2E" w14:textId="3E77C4A7" w:rsidR="00035A77" w:rsidRPr="002F0887" w:rsidRDefault="00035A77" w:rsidP="00035A77">
      <w:pPr>
        <w:jc w:val="center"/>
        <w:rPr>
          <w:rFonts w:ascii="Times New Roman" w:hAnsi="Times New Roman" w:cs="Times New Roman"/>
        </w:rPr>
      </w:pPr>
    </w:p>
    <w:p w14:paraId="13C007C6" w14:textId="5D546C6E" w:rsidR="00035A77" w:rsidRPr="002F0887" w:rsidRDefault="00035A77" w:rsidP="00035A77">
      <w:pPr>
        <w:jc w:val="center"/>
        <w:rPr>
          <w:rFonts w:ascii="Times New Roman" w:hAnsi="Times New Roman" w:cs="Times New Roman"/>
          <w:sz w:val="32"/>
          <w:szCs w:val="32"/>
        </w:rPr>
      </w:pPr>
      <w:r w:rsidRPr="002F0887">
        <w:rPr>
          <w:rFonts w:ascii="Times New Roman" w:hAnsi="Times New Roman" w:cs="Times New Roman"/>
          <w:sz w:val="32"/>
          <w:szCs w:val="32"/>
        </w:rPr>
        <w:t>NAME: ERIC OPOKU</w:t>
      </w:r>
    </w:p>
    <w:p w14:paraId="0AD091E1" w14:textId="7E791703" w:rsidR="00035A77" w:rsidRPr="002F0887" w:rsidRDefault="00035A77" w:rsidP="00035A77">
      <w:pPr>
        <w:jc w:val="center"/>
        <w:rPr>
          <w:rFonts w:ascii="Times New Roman" w:hAnsi="Times New Roman" w:cs="Times New Roman"/>
          <w:sz w:val="32"/>
          <w:szCs w:val="32"/>
        </w:rPr>
      </w:pPr>
    </w:p>
    <w:p w14:paraId="0674C9BA" w14:textId="77777777" w:rsidR="00035A77" w:rsidRPr="002F0887" w:rsidRDefault="00035A77" w:rsidP="00035A77">
      <w:pPr>
        <w:jc w:val="center"/>
        <w:rPr>
          <w:rFonts w:ascii="Times New Roman" w:hAnsi="Times New Roman" w:cs="Times New Roman"/>
          <w:sz w:val="32"/>
          <w:szCs w:val="32"/>
        </w:rPr>
      </w:pPr>
    </w:p>
    <w:p w14:paraId="79B504DF" w14:textId="0ECE12FF" w:rsidR="00035A77" w:rsidRPr="002F0887" w:rsidRDefault="00035A77" w:rsidP="00035A77">
      <w:pPr>
        <w:jc w:val="center"/>
        <w:rPr>
          <w:rFonts w:ascii="Times New Roman" w:hAnsi="Times New Roman" w:cs="Times New Roman"/>
          <w:sz w:val="32"/>
          <w:szCs w:val="32"/>
        </w:rPr>
      </w:pPr>
      <w:r w:rsidRPr="002F0887">
        <w:rPr>
          <w:rFonts w:ascii="Times New Roman" w:hAnsi="Times New Roman" w:cs="Times New Roman"/>
          <w:sz w:val="32"/>
          <w:szCs w:val="32"/>
        </w:rPr>
        <w:t>COURSE: INTRODUCTION TO HEALTH SERVICES RESEARCH</w:t>
      </w:r>
    </w:p>
    <w:p w14:paraId="6132E687" w14:textId="78C2A1E8" w:rsidR="00035A77" w:rsidRPr="002F0887" w:rsidRDefault="00035A77" w:rsidP="00035A77">
      <w:pPr>
        <w:jc w:val="center"/>
        <w:rPr>
          <w:rFonts w:ascii="Times New Roman" w:hAnsi="Times New Roman" w:cs="Times New Roman"/>
        </w:rPr>
      </w:pPr>
    </w:p>
    <w:p w14:paraId="5DCA2B74" w14:textId="2FF1E9D1" w:rsidR="00035A77" w:rsidRPr="002F0887" w:rsidRDefault="00035A77" w:rsidP="00035A77">
      <w:pPr>
        <w:jc w:val="center"/>
        <w:rPr>
          <w:rFonts w:ascii="Times New Roman" w:hAnsi="Times New Roman" w:cs="Times New Roman"/>
        </w:rPr>
      </w:pPr>
    </w:p>
    <w:p w14:paraId="6EA3C73F" w14:textId="1C1FB14D" w:rsidR="00035A77" w:rsidRPr="002F0887" w:rsidRDefault="00035A77">
      <w:pPr>
        <w:rPr>
          <w:rFonts w:ascii="Times New Roman" w:hAnsi="Times New Roman" w:cs="Times New Roman"/>
        </w:rPr>
      </w:pPr>
    </w:p>
    <w:p w14:paraId="604CBC5F" w14:textId="77777777" w:rsidR="00E57E96" w:rsidRDefault="00E57E96">
      <w:pPr>
        <w:rPr>
          <w:rFonts w:ascii="Times New Roman" w:hAnsi="Times New Roman" w:cs="Times New Roman"/>
        </w:rPr>
      </w:pPr>
    </w:p>
    <w:p w14:paraId="01325D82" w14:textId="77777777" w:rsidR="00EA770A" w:rsidRDefault="00EA770A">
      <w:pPr>
        <w:rPr>
          <w:rFonts w:ascii="Times New Roman" w:hAnsi="Times New Roman" w:cs="Times New Roman"/>
        </w:rPr>
      </w:pPr>
    </w:p>
    <w:p w14:paraId="3EB28822" w14:textId="77777777" w:rsidR="00EA770A" w:rsidRDefault="00EA770A">
      <w:pPr>
        <w:rPr>
          <w:rFonts w:ascii="Times New Roman" w:hAnsi="Times New Roman" w:cs="Times New Roman"/>
        </w:rPr>
      </w:pPr>
    </w:p>
    <w:p w14:paraId="1B23BD0E" w14:textId="77777777" w:rsidR="00EA770A" w:rsidRDefault="00EA770A">
      <w:pPr>
        <w:rPr>
          <w:rFonts w:ascii="Times New Roman" w:hAnsi="Times New Roman" w:cs="Times New Roman"/>
        </w:rPr>
      </w:pPr>
    </w:p>
    <w:p w14:paraId="57659B58" w14:textId="77777777" w:rsidR="00EA770A" w:rsidRDefault="00EA770A">
      <w:pPr>
        <w:rPr>
          <w:rFonts w:ascii="Times New Roman" w:hAnsi="Times New Roman" w:cs="Times New Roman"/>
        </w:rPr>
      </w:pPr>
    </w:p>
    <w:p w14:paraId="1A0439AA" w14:textId="77777777" w:rsidR="00EA770A" w:rsidRDefault="00EA770A">
      <w:pPr>
        <w:rPr>
          <w:rFonts w:ascii="Times New Roman" w:hAnsi="Times New Roman" w:cs="Times New Roman"/>
        </w:rPr>
      </w:pPr>
    </w:p>
    <w:p w14:paraId="372FD0A4" w14:textId="77777777" w:rsidR="00EA770A" w:rsidRDefault="00EA770A">
      <w:pPr>
        <w:rPr>
          <w:rFonts w:ascii="Times New Roman" w:hAnsi="Times New Roman" w:cs="Times New Roman"/>
        </w:rPr>
      </w:pPr>
    </w:p>
    <w:p w14:paraId="5354ADB4" w14:textId="77777777" w:rsidR="00EA770A" w:rsidRDefault="00EA770A">
      <w:pPr>
        <w:rPr>
          <w:rFonts w:ascii="Times New Roman" w:hAnsi="Times New Roman" w:cs="Times New Roman"/>
        </w:rPr>
      </w:pPr>
    </w:p>
    <w:p w14:paraId="661FA496" w14:textId="77777777" w:rsidR="00EA770A" w:rsidRDefault="00EA770A">
      <w:pPr>
        <w:rPr>
          <w:rFonts w:ascii="Times New Roman" w:hAnsi="Times New Roman" w:cs="Times New Roman"/>
        </w:rPr>
      </w:pPr>
    </w:p>
    <w:p w14:paraId="1F8EB14F" w14:textId="77777777" w:rsidR="00EA770A" w:rsidRDefault="00EA770A">
      <w:pPr>
        <w:rPr>
          <w:rFonts w:ascii="Times New Roman" w:hAnsi="Times New Roman" w:cs="Times New Roman"/>
        </w:rPr>
      </w:pPr>
    </w:p>
    <w:p w14:paraId="467A67A8" w14:textId="77777777" w:rsidR="00EA770A" w:rsidRDefault="00EA770A">
      <w:pPr>
        <w:rPr>
          <w:rFonts w:ascii="Times New Roman" w:hAnsi="Times New Roman" w:cs="Times New Roman"/>
        </w:rPr>
      </w:pPr>
    </w:p>
    <w:p w14:paraId="76B7B3E5" w14:textId="77777777" w:rsidR="00EA770A" w:rsidRDefault="00EA770A" w:rsidP="005D4C07">
      <w:pPr>
        <w:jc w:val="center"/>
        <w:rPr>
          <w:rFonts w:ascii="Times New Roman" w:hAnsi="Times New Roman" w:cs="Times New Roman"/>
          <w:b/>
          <w:bCs/>
        </w:rPr>
      </w:pPr>
      <w:r w:rsidRPr="005D4C07">
        <w:rPr>
          <w:rFonts w:ascii="Times New Roman" w:hAnsi="Times New Roman" w:cs="Times New Roman"/>
          <w:b/>
          <w:bCs/>
        </w:rPr>
        <w:lastRenderedPageBreak/>
        <w:t>Abstract</w:t>
      </w:r>
    </w:p>
    <w:p w14:paraId="5D606564" w14:textId="77777777" w:rsidR="005D4C07" w:rsidRDefault="005D4C07" w:rsidP="005D4C07">
      <w:pPr>
        <w:jc w:val="both"/>
        <w:rPr>
          <w:rFonts w:ascii="Times New Roman" w:hAnsi="Times New Roman" w:cs="Times New Roman"/>
          <w:b/>
          <w:bCs/>
        </w:rPr>
      </w:pPr>
    </w:p>
    <w:p w14:paraId="20132373" w14:textId="08F93518" w:rsidR="00A76A13" w:rsidRPr="008F45F6" w:rsidRDefault="00A76A13" w:rsidP="00FB6800">
      <w:pPr>
        <w:spacing w:line="360" w:lineRule="auto"/>
        <w:jc w:val="both"/>
        <w:rPr>
          <w:rFonts w:ascii="Times New Roman" w:hAnsi="Times New Roman" w:cs="Times New Roman"/>
          <w:sz w:val="20"/>
          <w:szCs w:val="20"/>
        </w:rPr>
      </w:pPr>
      <w:r w:rsidRPr="00E14677">
        <w:rPr>
          <w:rFonts w:ascii="Times New Roman" w:hAnsi="Times New Roman" w:cs="Times New Roman"/>
          <w:b/>
          <w:bCs/>
          <w:i/>
          <w:iCs/>
          <w:sz w:val="20"/>
          <w:szCs w:val="20"/>
        </w:rPr>
        <w:t>Background</w:t>
      </w:r>
      <w:r w:rsidRPr="008F45F6">
        <w:rPr>
          <w:rFonts w:ascii="Times New Roman" w:hAnsi="Times New Roman" w:cs="Times New Roman"/>
          <w:sz w:val="20"/>
          <w:szCs w:val="20"/>
        </w:rPr>
        <w:t xml:space="preserve">: </w:t>
      </w:r>
      <w:r w:rsidR="005F5BAF">
        <w:rPr>
          <w:rFonts w:ascii="Times New Roman" w:hAnsi="Times New Roman" w:cs="Times New Roman"/>
          <w:sz w:val="20"/>
          <w:szCs w:val="20"/>
        </w:rPr>
        <w:t>Public h</w:t>
      </w:r>
      <w:r w:rsidR="004C5621" w:rsidRPr="008F45F6">
        <w:rPr>
          <w:rFonts w:ascii="Times New Roman" w:hAnsi="Times New Roman" w:cs="Times New Roman"/>
          <w:color w:val="242021"/>
          <w:sz w:val="20"/>
          <w:szCs w:val="20"/>
        </w:rPr>
        <w:t>ealth</w:t>
      </w:r>
      <w:r w:rsidR="005365AD" w:rsidRPr="008F45F6">
        <w:rPr>
          <w:rFonts w:ascii="Times New Roman" w:hAnsi="Times New Roman" w:cs="Times New Roman"/>
          <w:sz w:val="20"/>
          <w:szCs w:val="20"/>
        </w:rPr>
        <w:t xml:space="preserve"> i</w:t>
      </w:r>
      <w:r w:rsidR="00BE57C7" w:rsidRPr="008F45F6">
        <w:rPr>
          <w:rFonts w:ascii="Times New Roman" w:hAnsi="Times New Roman" w:cs="Times New Roman"/>
          <w:sz w:val="20"/>
          <w:szCs w:val="20"/>
        </w:rPr>
        <w:t>nterventions</w:t>
      </w:r>
      <w:r w:rsidRPr="008F45F6">
        <w:rPr>
          <w:rFonts w:ascii="Times New Roman" w:hAnsi="Times New Roman" w:cs="Times New Roman"/>
          <w:sz w:val="20"/>
          <w:szCs w:val="20"/>
        </w:rPr>
        <w:t xml:space="preserve"> in </w:t>
      </w:r>
      <w:r w:rsidR="00C61BC6">
        <w:rPr>
          <w:rFonts w:ascii="Times New Roman" w:hAnsi="Times New Roman" w:cs="Times New Roman"/>
          <w:sz w:val="20"/>
          <w:szCs w:val="20"/>
        </w:rPr>
        <w:t>Lower-Middle-Income Countries (</w:t>
      </w:r>
      <w:r w:rsidRPr="008F45F6">
        <w:rPr>
          <w:rFonts w:ascii="Times New Roman" w:hAnsi="Times New Roman" w:cs="Times New Roman"/>
          <w:sz w:val="20"/>
          <w:szCs w:val="20"/>
        </w:rPr>
        <w:t>LMICs</w:t>
      </w:r>
      <w:r w:rsidR="00C61BC6">
        <w:rPr>
          <w:rFonts w:ascii="Times New Roman" w:hAnsi="Times New Roman" w:cs="Times New Roman"/>
          <w:sz w:val="20"/>
          <w:szCs w:val="20"/>
        </w:rPr>
        <w:t>)</w:t>
      </w:r>
      <w:r w:rsidR="00BE57C7" w:rsidRPr="008F45F6">
        <w:rPr>
          <w:rFonts w:ascii="Times New Roman" w:hAnsi="Times New Roman" w:cs="Times New Roman"/>
          <w:sz w:val="20"/>
          <w:szCs w:val="20"/>
        </w:rPr>
        <w:t xml:space="preserve"> </w:t>
      </w:r>
      <w:r w:rsidR="00B733E4" w:rsidRPr="008F45F6">
        <w:rPr>
          <w:rFonts w:ascii="Times New Roman" w:hAnsi="Times New Roman" w:cs="Times New Roman"/>
          <w:sz w:val="20"/>
          <w:szCs w:val="20"/>
        </w:rPr>
        <w:t xml:space="preserve">generate </w:t>
      </w:r>
      <w:r w:rsidR="006B4A9D">
        <w:rPr>
          <w:rFonts w:ascii="Times New Roman" w:hAnsi="Times New Roman" w:cs="Times New Roman"/>
          <w:sz w:val="20"/>
          <w:szCs w:val="20"/>
        </w:rPr>
        <w:t xml:space="preserve">both </w:t>
      </w:r>
      <w:r w:rsidR="00B733E4" w:rsidRPr="008F45F6">
        <w:rPr>
          <w:rFonts w:ascii="Times New Roman" w:hAnsi="Times New Roman" w:cs="Times New Roman"/>
          <w:sz w:val="20"/>
          <w:szCs w:val="20"/>
        </w:rPr>
        <w:t>health and non-health consequences</w:t>
      </w:r>
      <w:r w:rsidR="006B4A9D">
        <w:rPr>
          <w:rFonts w:ascii="Times New Roman" w:hAnsi="Times New Roman" w:cs="Times New Roman"/>
          <w:sz w:val="20"/>
          <w:szCs w:val="20"/>
        </w:rPr>
        <w:t xml:space="preserve"> which may impact population sub-groups differently</w:t>
      </w:r>
      <w:r w:rsidRPr="008F45F6">
        <w:rPr>
          <w:rFonts w:ascii="Times New Roman" w:hAnsi="Times New Roman" w:cs="Times New Roman"/>
          <w:sz w:val="20"/>
          <w:szCs w:val="20"/>
        </w:rPr>
        <w:t>.</w:t>
      </w:r>
    </w:p>
    <w:p w14:paraId="1BA4FF90" w14:textId="4D77E008" w:rsidR="002401BE" w:rsidRDefault="00714299" w:rsidP="00FB6800">
      <w:pPr>
        <w:spacing w:line="360" w:lineRule="auto"/>
        <w:jc w:val="both"/>
        <w:rPr>
          <w:rFonts w:ascii="Times New Roman" w:hAnsi="Times New Roman" w:cs="Times New Roman"/>
          <w:sz w:val="20"/>
          <w:szCs w:val="20"/>
        </w:rPr>
      </w:pPr>
      <w:r w:rsidRPr="00E14677">
        <w:rPr>
          <w:rFonts w:ascii="Times New Roman" w:hAnsi="Times New Roman" w:cs="Times New Roman"/>
          <w:b/>
          <w:bCs/>
          <w:i/>
          <w:iCs/>
          <w:sz w:val="20"/>
          <w:szCs w:val="20"/>
        </w:rPr>
        <w:t>Objective</w:t>
      </w:r>
      <w:r w:rsidRPr="008F45F6">
        <w:rPr>
          <w:rFonts w:ascii="Times New Roman" w:hAnsi="Times New Roman" w:cs="Times New Roman"/>
          <w:sz w:val="20"/>
          <w:szCs w:val="20"/>
        </w:rPr>
        <w:t>:</w:t>
      </w:r>
      <w:r w:rsidR="00AC309E" w:rsidRPr="008F45F6">
        <w:rPr>
          <w:rFonts w:ascii="Times New Roman" w:hAnsi="Times New Roman" w:cs="Times New Roman"/>
          <w:sz w:val="20"/>
          <w:szCs w:val="20"/>
        </w:rPr>
        <w:t xml:space="preserve"> To synthesize</w:t>
      </w:r>
      <w:r w:rsidR="001A6675">
        <w:rPr>
          <w:rFonts w:ascii="Times New Roman" w:hAnsi="Times New Roman" w:cs="Times New Roman"/>
          <w:sz w:val="20"/>
          <w:szCs w:val="20"/>
        </w:rPr>
        <w:t xml:space="preserve"> </w:t>
      </w:r>
      <w:r w:rsidR="001A6675">
        <w:rPr>
          <w:rFonts w:ascii="Times New Roman" w:hAnsi="Times New Roman" w:cs="Times New Roman"/>
          <w:sz w:val="20"/>
          <w:szCs w:val="20"/>
        </w:rPr>
        <w:t xml:space="preserve">Health Policy Assessment (HPA) </w:t>
      </w:r>
      <w:r w:rsidR="001A6675" w:rsidRPr="008A610E">
        <w:rPr>
          <w:rFonts w:ascii="Times New Roman" w:hAnsi="Times New Roman" w:cs="Times New Roman"/>
          <w:sz w:val="20"/>
          <w:szCs w:val="20"/>
        </w:rPr>
        <w:t>studies that</w:t>
      </w:r>
      <w:r w:rsidR="00AB3230" w:rsidRPr="008A610E">
        <w:rPr>
          <w:rFonts w:ascii="Times New Roman" w:hAnsi="Times New Roman" w:cs="Times New Roman"/>
          <w:sz w:val="20"/>
          <w:szCs w:val="20"/>
        </w:rPr>
        <w:t xml:space="preserve"> </w:t>
      </w:r>
      <w:r w:rsidR="0004107D" w:rsidRPr="008A610E">
        <w:rPr>
          <w:rFonts w:ascii="Times New Roman" w:hAnsi="Times New Roman" w:cs="Times New Roman"/>
          <w:sz w:val="20"/>
          <w:szCs w:val="20"/>
        </w:rPr>
        <w:t>stratify</w:t>
      </w:r>
      <w:r w:rsidR="001A6675" w:rsidRPr="008A610E">
        <w:rPr>
          <w:rFonts w:ascii="Times New Roman" w:hAnsi="Times New Roman" w:cs="Times New Roman"/>
          <w:sz w:val="20"/>
          <w:szCs w:val="20"/>
        </w:rPr>
        <w:t xml:space="preserve"> policy intervention outcomes by equity-relevant variables such as income quintile or sex or region</w:t>
      </w:r>
      <w:r w:rsidR="002401BE" w:rsidRPr="008A610E">
        <w:rPr>
          <w:rFonts w:ascii="Times New Roman" w:hAnsi="Times New Roman" w:cs="Times New Roman"/>
          <w:sz w:val="20"/>
          <w:szCs w:val="20"/>
        </w:rPr>
        <w:t xml:space="preserve"> and </w:t>
      </w:r>
      <w:r w:rsidR="008A610E" w:rsidRPr="008A610E">
        <w:rPr>
          <w:rFonts w:ascii="Times New Roman" w:hAnsi="Times New Roman" w:cs="Times New Roman"/>
          <w:sz w:val="20"/>
          <w:szCs w:val="20"/>
        </w:rPr>
        <w:t>identify knowledge that could potentially be applied in policy formulation and decision-making in LMICs</w:t>
      </w:r>
      <w:r w:rsidR="002401BE" w:rsidRPr="008A610E">
        <w:rPr>
          <w:rFonts w:ascii="Times New Roman" w:hAnsi="Times New Roman" w:cs="Times New Roman"/>
          <w:sz w:val="20"/>
          <w:szCs w:val="20"/>
        </w:rPr>
        <w:t>.</w:t>
      </w:r>
    </w:p>
    <w:p w14:paraId="55D23DAB" w14:textId="6FC48141" w:rsidR="00F024CF" w:rsidRPr="006726E8" w:rsidRDefault="00F024CF" w:rsidP="00FB6800">
      <w:pPr>
        <w:spacing w:line="360" w:lineRule="auto"/>
        <w:jc w:val="both"/>
        <w:rPr>
          <w:rFonts w:ascii="Times New Roman" w:hAnsi="Times New Roman" w:cs="Times New Roman"/>
          <w:sz w:val="20"/>
          <w:szCs w:val="20"/>
        </w:rPr>
      </w:pPr>
      <w:r w:rsidRPr="00E14677">
        <w:rPr>
          <w:rFonts w:ascii="Times New Roman" w:hAnsi="Times New Roman" w:cs="Times New Roman"/>
          <w:b/>
          <w:bCs/>
          <w:i/>
          <w:iCs/>
          <w:sz w:val="20"/>
          <w:szCs w:val="20"/>
        </w:rPr>
        <w:t>Methods</w:t>
      </w:r>
      <w:r w:rsidRPr="006726E8">
        <w:rPr>
          <w:rFonts w:ascii="Times New Roman" w:hAnsi="Times New Roman" w:cs="Times New Roman"/>
          <w:sz w:val="20"/>
          <w:szCs w:val="20"/>
        </w:rPr>
        <w:t>:</w:t>
      </w:r>
      <w:r w:rsidR="00E23660" w:rsidRPr="006726E8">
        <w:rPr>
          <w:rFonts w:ascii="Times New Roman" w:hAnsi="Times New Roman" w:cs="Times New Roman"/>
          <w:sz w:val="20"/>
          <w:szCs w:val="20"/>
        </w:rPr>
        <w:t xml:space="preserve"> Using a scoping review</w:t>
      </w:r>
      <w:r w:rsidR="005C1282" w:rsidRPr="006726E8">
        <w:rPr>
          <w:rFonts w:ascii="Times New Roman" w:hAnsi="Times New Roman" w:cs="Times New Roman"/>
          <w:sz w:val="20"/>
          <w:szCs w:val="20"/>
        </w:rPr>
        <w:t xml:space="preserve"> approach, I searched </w:t>
      </w:r>
      <w:r w:rsidR="00E27838">
        <w:rPr>
          <w:rFonts w:ascii="Times New Roman" w:hAnsi="Times New Roman" w:cs="Times New Roman"/>
          <w:sz w:val="20"/>
          <w:szCs w:val="20"/>
        </w:rPr>
        <w:t>five</w:t>
      </w:r>
      <w:r w:rsidR="00E363D3">
        <w:rPr>
          <w:rFonts w:ascii="Times New Roman" w:hAnsi="Times New Roman" w:cs="Times New Roman"/>
          <w:sz w:val="20"/>
          <w:szCs w:val="20"/>
        </w:rPr>
        <w:t xml:space="preserve"> </w:t>
      </w:r>
      <w:r w:rsidR="005C1282" w:rsidRPr="006726E8">
        <w:rPr>
          <w:rFonts w:ascii="Times New Roman" w:hAnsi="Times New Roman" w:cs="Times New Roman"/>
          <w:sz w:val="20"/>
          <w:szCs w:val="20"/>
        </w:rPr>
        <w:t>databases</w:t>
      </w:r>
      <w:r w:rsidR="005076E4">
        <w:rPr>
          <w:rFonts w:ascii="Times New Roman" w:hAnsi="Times New Roman" w:cs="Times New Roman"/>
          <w:sz w:val="20"/>
          <w:szCs w:val="20"/>
        </w:rPr>
        <w:t xml:space="preserve"> </w:t>
      </w:r>
      <w:r w:rsidR="005076E4">
        <w:rPr>
          <w:rFonts w:ascii="Times New Roman" w:hAnsi="Times New Roman" w:cs="Times New Roman"/>
          <w:sz w:val="20"/>
          <w:szCs w:val="20"/>
        </w:rPr>
        <w:t xml:space="preserve">(i.e., </w:t>
      </w:r>
      <w:r w:rsidR="00FF595F">
        <w:rPr>
          <w:rFonts w:ascii="Times New Roman" w:hAnsi="Times New Roman" w:cs="Times New Roman"/>
          <w:sz w:val="20"/>
          <w:szCs w:val="20"/>
        </w:rPr>
        <w:t>MEDLINE</w:t>
      </w:r>
      <w:r w:rsidR="005076E4">
        <w:rPr>
          <w:rFonts w:ascii="Times New Roman" w:hAnsi="Times New Roman" w:cs="Times New Roman"/>
          <w:sz w:val="20"/>
          <w:szCs w:val="20"/>
        </w:rPr>
        <w:t xml:space="preserve">, EMBASE, APA PsycInfo, </w:t>
      </w:r>
      <w:r w:rsidR="005076E4">
        <w:rPr>
          <w:rFonts w:ascii="Times New Roman" w:hAnsi="Times New Roman" w:cs="Times New Roman"/>
          <w:sz w:val="20"/>
          <w:szCs w:val="20"/>
        </w:rPr>
        <w:t>Google scholar and ScienceDirect)</w:t>
      </w:r>
      <w:r w:rsidR="00721361" w:rsidRPr="006726E8">
        <w:rPr>
          <w:rFonts w:ascii="Times New Roman" w:hAnsi="Times New Roman" w:cs="Times New Roman"/>
          <w:sz w:val="20"/>
          <w:szCs w:val="20"/>
        </w:rPr>
        <w:t xml:space="preserve"> for studies</w:t>
      </w:r>
      <w:r w:rsidR="001E4B91" w:rsidRPr="006726E8">
        <w:rPr>
          <w:rFonts w:ascii="Times New Roman" w:hAnsi="Times New Roman" w:cs="Times New Roman"/>
          <w:sz w:val="20"/>
          <w:szCs w:val="20"/>
        </w:rPr>
        <w:t xml:space="preserve"> that assessed the health and non-health benefits of health policy interventions </w:t>
      </w:r>
      <w:r w:rsidR="00E203BD" w:rsidRPr="006726E8">
        <w:rPr>
          <w:rFonts w:ascii="Times New Roman" w:hAnsi="Times New Roman" w:cs="Times New Roman"/>
          <w:sz w:val="20"/>
          <w:szCs w:val="20"/>
        </w:rPr>
        <w:t xml:space="preserve">in LMICs </w:t>
      </w:r>
      <w:r w:rsidR="001E4B91" w:rsidRPr="006726E8">
        <w:rPr>
          <w:rFonts w:ascii="Times New Roman" w:hAnsi="Times New Roman" w:cs="Times New Roman"/>
          <w:sz w:val="20"/>
          <w:szCs w:val="20"/>
        </w:rPr>
        <w:t xml:space="preserve">and reported study features, </w:t>
      </w:r>
      <w:r w:rsidR="006C3844" w:rsidRPr="006726E8">
        <w:rPr>
          <w:rFonts w:ascii="Times New Roman" w:hAnsi="Times New Roman" w:cs="Times New Roman"/>
          <w:sz w:val="20"/>
          <w:szCs w:val="20"/>
        </w:rPr>
        <w:t>and intervention characteristics and outcomes.</w:t>
      </w:r>
    </w:p>
    <w:p w14:paraId="22693A86" w14:textId="0C4C59B3" w:rsidR="00D026B9" w:rsidRPr="008F45F6" w:rsidRDefault="00D026B9" w:rsidP="00FB6800">
      <w:pPr>
        <w:spacing w:line="360" w:lineRule="auto"/>
        <w:jc w:val="both"/>
        <w:rPr>
          <w:rFonts w:ascii="Times New Roman" w:hAnsi="Times New Roman" w:cs="Times New Roman"/>
          <w:sz w:val="20"/>
          <w:szCs w:val="20"/>
        </w:rPr>
      </w:pPr>
      <w:r w:rsidRPr="00495A74">
        <w:rPr>
          <w:rFonts w:ascii="Times New Roman" w:hAnsi="Times New Roman" w:cs="Times New Roman"/>
          <w:b/>
          <w:bCs/>
          <w:i/>
          <w:iCs/>
          <w:sz w:val="20"/>
          <w:szCs w:val="20"/>
        </w:rPr>
        <w:t>Results</w:t>
      </w:r>
      <w:r w:rsidRPr="006726E8">
        <w:rPr>
          <w:rFonts w:ascii="Times New Roman" w:hAnsi="Times New Roman" w:cs="Times New Roman"/>
          <w:sz w:val="20"/>
          <w:szCs w:val="20"/>
        </w:rPr>
        <w:t xml:space="preserve">: I included 20 articles that focused on </w:t>
      </w:r>
      <w:r w:rsidR="00533CD7" w:rsidRPr="006726E8">
        <w:rPr>
          <w:rFonts w:ascii="Times New Roman" w:hAnsi="Times New Roman" w:cs="Times New Roman"/>
          <w:sz w:val="20"/>
          <w:szCs w:val="20"/>
        </w:rPr>
        <w:t>t</w:t>
      </w:r>
      <w:r w:rsidR="00533CD7" w:rsidRPr="006726E8">
        <w:rPr>
          <w:rFonts w:ascii="Times New Roman" w:hAnsi="Times New Roman" w:cs="Times New Roman"/>
          <w:sz w:val="20"/>
          <w:szCs w:val="20"/>
        </w:rPr>
        <w:t>he impact of tax</w:t>
      </w:r>
      <w:r w:rsidR="005E09DB">
        <w:rPr>
          <w:rFonts w:ascii="Times New Roman" w:hAnsi="Times New Roman" w:cs="Times New Roman"/>
          <w:sz w:val="20"/>
          <w:szCs w:val="20"/>
        </w:rPr>
        <w:t>es</w:t>
      </w:r>
      <w:r w:rsidR="00533CD7" w:rsidRPr="006726E8">
        <w:rPr>
          <w:rFonts w:ascii="Times New Roman" w:hAnsi="Times New Roman" w:cs="Times New Roman"/>
          <w:sz w:val="20"/>
          <w:szCs w:val="20"/>
        </w:rPr>
        <w:t xml:space="preserve"> on sugar-sweetened beverages (10%) and tobacco </w:t>
      </w:r>
      <w:r w:rsidR="00533CD7" w:rsidRPr="008F45F6">
        <w:rPr>
          <w:rFonts w:ascii="Times New Roman" w:hAnsi="Times New Roman" w:cs="Times New Roman"/>
          <w:sz w:val="20"/>
          <w:szCs w:val="20"/>
        </w:rPr>
        <w:t xml:space="preserve">(25%) and the vaccination and treatment of different diseases and other national </w:t>
      </w:r>
      <w:r w:rsidR="008004DA">
        <w:rPr>
          <w:rFonts w:ascii="Times New Roman" w:hAnsi="Times New Roman" w:cs="Times New Roman"/>
          <w:sz w:val="20"/>
          <w:szCs w:val="20"/>
        </w:rPr>
        <w:t xml:space="preserve">health </w:t>
      </w:r>
      <w:r w:rsidR="00533CD7" w:rsidRPr="008F45F6">
        <w:rPr>
          <w:rFonts w:ascii="Times New Roman" w:hAnsi="Times New Roman" w:cs="Times New Roman"/>
          <w:sz w:val="20"/>
          <w:szCs w:val="20"/>
        </w:rPr>
        <w:t>strategies or programs.</w:t>
      </w:r>
      <w:r w:rsidR="000C0899" w:rsidRPr="008F45F6">
        <w:rPr>
          <w:rFonts w:ascii="Times New Roman" w:hAnsi="Times New Roman" w:cs="Times New Roman"/>
          <w:color w:val="FF0000"/>
          <w:sz w:val="20"/>
          <w:szCs w:val="20"/>
        </w:rPr>
        <w:t xml:space="preserve"> </w:t>
      </w:r>
      <w:r w:rsidR="000C0899" w:rsidRPr="008F45F6">
        <w:rPr>
          <w:rFonts w:ascii="Times New Roman" w:hAnsi="Times New Roman" w:cs="Times New Roman"/>
          <w:sz w:val="20"/>
          <w:szCs w:val="20"/>
        </w:rPr>
        <w:t xml:space="preserve">Most articles </w:t>
      </w:r>
      <w:r w:rsidR="00E64006" w:rsidRPr="008F45F6">
        <w:rPr>
          <w:rFonts w:ascii="Times New Roman" w:hAnsi="Times New Roman" w:cs="Times New Roman"/>
          <w:sz w:val="20"/>
          <w:szCs w:val="20"/>
        </w:rPr>
        <w:t xml:space="preserve">(85%) </w:t>
      </w:r>
      <w:r w:rsidR="000C0899" w:rsidRPr="008F45F6">
        <w:rPr>
          <w:rFonts w:ascii="Times New Roman" w:hAnsi="Times New Roman" w:cs="Times New Roman"/>
          <w:sz w:val="20"/>
          <w:szCs w:val="20"/>
        </w:rPr>
        <w:t xml:space="preserve">reported on all the four domains of Health Policy Assessment relevant to the study: </w:t>
      </w:r>
      <w:r w:rsidR="009B3345" w:rsidRPr="008F45F6">
        <w:rPr>
          <w:rFonts w:ascii="Times New Roman" w:hAnsi="Times New Roman" w:cs="Times New Roman"/>
          <w:sz w:val="20"/>
          <w:szCs w:val="20"/>
        </w:rPr>
        <w:t>Health Benefit Gains (HBG), Financial Risk Protection (FRP), Financial Consequences (FC) and the distributional consequences of the polic</w:t>
      </w:r>
      <w:r w:rsidR="00382B71">
        <w:rPr>
          <w:rFonts w:ascii="Times New Roman" w:hAnsi="Times New Roman" w:cs="Times New Roman"/>
          <w:sz w:val="20"/>
          <w:szCs w:val="20"/>
        </w:rPr>
        <w:t>y interventions</w:t>
      </w:r>
      <w:r w:rsidR="004C6591" w:rsidRPr="008F45F6">
        <w:rPr>
          <w:rFonts w:ascii="Times New Roman" w:hAnsi="Times New Roman" w:cs="Times New Roman"/>
          <w:sz w:val="20"/>
          <w:szCs w:val="20"/>
        </w:rPr>
        <w:t>.</w:t>
      </w:r>
      <w:r w:rsidR="00A87F01" w:rsidRPr="008F45F6">
        <w:rPr>
          <w:rFonts w:ascii="Times New Roman" w:hAnsi="Times New Roman" w:cs="Times New Roman"/>
          <w:sz w:val="20"/>
          <w:szCs w:val="20"/>
        </w:rPr>
        <w:t xml:space="preserve"> Health and non-health impacts were unevenly distributed among the poor and the rich or females and males based on the prevalence of disease or level of consumption of a product (especially tobacco or sugar-sweetened beverages).</w:t>
      </w:r>
      <w:r w:rsidR="00BA61CE" w:rsidRPr="008F45F6">
        <w:rPr>
          <w:rFonts w:ascii="Times New Roman" w:hAnsi="Times New Roman" w:cs="Times New Roman"/>
          <w:sz w:val="20"/>
          <w:szCs w:val="20"/>
        </w:rPr>
        <w:t xml:space="preserve"> Taxes on tobacco </w:t>
      </w:r>
      <w:r w:rsidR="00515218" w:rsidRPr="008F45F6">
        <w:rPr>
          <w:rFonts w:ascii="Times New Roman" w:hAnsi="Times New Roman" w:cs="Times New Roman"/>
          <w:sz w:val="20"/>
          <w:szCs w:val="20"/>
        </w:rPr>
        <w:t xml:space="preserve">(pro-poor) </w:t>
      </w:r>
      <w:r w:rsidR="00BA61CE" w:rsidRPr="008F45F6">
        <w:rPr>
          <w:rFonts w:ascii="Times New Roman" w:hAnsi="Times New Roman" w:cs="Times New Roman"/>
          <w:sz w:val="20"/>
          <w:szCs w:val="20"/>
        </w:rPr>
        <w:t>and sugar-sweetened beverages</w:t>
      </w:r>
      <w:r w:rsidR="00515218" w:rsidRPr="008F45F6">
        <w:rPr>
          <w:rFonts w:ascii="Times New Roman" w:hAnsi="Times New Roman" w:cs="Times New Roman"/>
          <w:sz w:val="20"/>
          <w:szCs w:val="20"/>
        </w:rPr>
        <w:t xml:space="preserve"> (pro-rich)</w:t>
      </w:r>
      <w:r w:rsidR="00BA61CE" w:rsidRPr="008F45F6">
        <w:rPr>
          <w:rFonts w:ascii="Times New Roman" w:hAnsi="Times New Roman" w:cs="Times New Roman"/>
          <w:sz w:val="20"/>
          <w:szCs w:val="20"/>
        </w:rPr>
        <w:t xml:space="preserve"> generated contrasting health and non-health</w:t>
      </w:r>
      <w:r w:rsidR="002E3630" w:rsidRPr="008F45F6">
        <w:rPr>
          <w:rFonts w:ascii="Times New Roman" w:hAnsi="Times New Roman" w:cs="Times New Roman"/>
          <w:sz w:val="20"/>
          <w:szCs w:val="20"/>
        </w:rPr>
        <w:t xml:space="preserve"> social</w:t>
      </w:r>
      <w:r w:rsidR="00BA61CE" w:rsidRPr="008F45F6">
        <w:rPr>
          <w:rFonts w:ascii="Times New Roman" w:hAnsi="Times New Roman" w:cs="Times New Roman"/>
          <w:sz w:val="20"/>
          <w:szCs w:val="20"/>
        </w:rPr>
        <w:t xml:space="preserve"> distributions</w:t>
      </w:r>
      <w:r w:rsidR="002E3630" w:rsidRPr="008F45F6">
        <w:rPr>
          <w:rFonts w:ascii="Times New Roman" w:hAnsi="Times New Roman" w:cs="Times New Roman"/>
          <w:sz w:val="20"/>
          <w:szCs w:val="20"/>
        </w:rPr>
        <w:t xml:space="preserve"> of consequences</w:t>
      </w:r>
      <w:r w:rsidR="00BA61CE" w:rsidRPr="008F45F6">
        <w:rPr>
          <w:rFonts w:ascii="Times New Roman" w:hAnsi="Times New Roman" w:cs="Times New Roman"/>
          <w:sz w:val="20"/>
          <w:szCs w:val="20"/>
        </w:rPr>
        <w:t>.</w:t>
      </w:r>
    </w:p>
    <w:p w14:paraId="4CC28C23" w14:textId="43B24FDF" w:rsidR="00BA611A" w:rsidRPr="008F45F6" w:rsidRDefault="00BA611A" w:rsidP="00FB6800">
      <w:pPr>
        <w:spacing w:line="360" w:lineRule="auto"/>
        <w:jc w:val="both"/>
        <w:rPr>
          <w:rFonts w:ascii="Times New Roman" w:hAnsi="Times New Roman" w:cs="Times New Roman"/>
          <w:color w:val="FF0000"/>
          <w:sz w:val="20"/>
          <w:szCs w:val="20"/>
        </w:rPr>
        <w:sectPr w:rsidR="00BA611A" w:rsidRPr="008F45F6" w:rsidSect="00E57E96">
          <w:footerReference w:type="default" r:id="rId8"/>
          <w:pgSz w:w="12240" w:h="15840"/>
          <w:pgMar w:top="1440" w:right="1440" w:bottom="1440" w:left="1440" w:header="720" w:footer="720" w:gutter="0"/>
          <w:pgNumType w:fmt="lowerRoman" w:start="1"/>
          <w:cols w:space="720"/>
          <w:docGrid w:linePitch="360"/>
        </w:sectPr>
      </w:pPr>
      <w:r w:rsidRPr="000B7532">
        <w:rPr>
          <w:rFonts w:ascii="Times New Roman" w:hAnsi="Times New Roman" w:cs="Times New Roman"/>
          <w:b/>
          <w:bCs/>
          <w:i/>
          <w:iCs/>
          <w:sz w:val="20"/>
          <w:szCs w:val="20"/>
        </w:rPr>
        <w:t>Conclusions</w:t>
      </w:r>
      <w:r w:rsidRPr="008F45F6">
        <w:rPr>
          <w:rFonts w:ascii="Times New Roman" w:hAnsi="Times New Roman" w:cs="Times New Roman"/>
          <w:sz w:val="20"/>
          <w:szCs w:val="20"/>
        </w:rPr>
        <w:t>: Findings revealed that consequences of health polic</w:t>
      </w:r>
      <w:r w:rsidR="00AE0CFB">
        <w:rPr>
          <w:rFonts w:ascii="Times New Roman" w:hAnsi="Times New Roman" w:cs="Times New Roman"/>
          <w:sz w:val="20"/>
          <w:szCs w:val="20"/>
        </w:rPr>
        <w:t>y interventions</w:t>
      </w:r>
      <w:r w:rsidRPr="008F45F6">
        <w:rPr>
          <w:rFonts w:ascii="Times New Roman" w:hAnsi="Times New Roman" w:cs="Times New Roman"/>
          <w:sz w:val="20"/>
          <w:szCs w:val="20"/>
        </w:rPr>
        <w:t xml:space="preserve"> are not evenly distributed as </w:t>
      </w:r>
      <w:r w:rsidR="00B7045B" w:rsidRPr="008F45F6">
        <w:rPr>
          <w:rFonts w:ascii="Times New Roman" w:hAnsi="Times New Roman" w:cs="Times New Roman"/>
          <w:sz w:val="20"/>
          <w:szCs w:val="20"/>
        </w:rPr>
        <w:t xml:space="preserve">implicitly </w:t>
      </w:r>
      <w:r w:rsidRPr="008F45F6">
        <w:rPr>
          <w:rFonts w:ascii="Times New Roman" w:hAnsi="Times New Roman" w:cs="Times New Roman"/>
          <w:sz w:val="20"/>
          <w:szCs w:val="20"/>
        </w:rPr>
        <w:t>assumed</w:t>
      </w:r>
      <w:r w:rsidR="00217201" w:rsidRPr="008F45F6">
        <w:rPr>
          <w:rFonts w:ascii="Times New Roman" w:hAnsi="Times New Roman" w:cs="Times New Roman"/>
          <w:sz w:val="20"/>
          <w:szCs w:val="20"/>
        </w:rPr>
        <w:t xml:space="preserve"> </w:t>
      </w:r>
      <w:r w:rsidRPr="008F45F6">
        <w:rPr>
          <w:rFonts w:ascii="Times New Roman" w:hAnsi="Times New Roman" w:cs="Times New Roman"/>
          <w:sz w:val="20"/>
          <w:szCs w:val="20"/>
        </w:rPr>
        <w:t xml:space="preserve">in </w:t>
      </w:r>
      <w:r w:rsidR="000C1B53">
        <w:rPr>
          <w:rFonts w:ascii="Times New Roman" w:hAnsi="Times New Roman" w:cs="Times New Roman"/>
          <w:sz w:val="20"/>
          <w:szCs w:val="20"/>
        </w:rPr>
        <w:t>(</w:t>
      </w:r>
      <w:r w:rsidRPr="008F45F6">
        <w:rPr>
          <w:rFonts w:ascii="Times New Roman" w:hAnsi="Times New Roman" w:cs="Times New Roman"/>
          <w:sz w:val="20"/>
          <w:szCs w:val="20"/>
        </w:rPr>
        <w:t>traditional</w:t>
      </w:r>
      <w:r w:rsidR="000C1B53">
        <w:rPr>
          <w:rFonts w:ascii="Times New Roman" w:hAnsi="Times New Roman" w:cs="Times New Roman"/>
          <w:sz w:val="20"/>
          <w:szCs w:val="20"/>
        </w:rPr>
        <w:t>)</w:t>
      </w:r>
      <w:r w:rsidRPr="008F45F6">
        <w:rPr>
          <w:rFonts w:ascii="Times New Roman" w:hAnsi="Times New Roman" w:cs="Times New Roman"/>
          <w:sz w:val="20"/>
          <w:szCs w:val="20"/>
        </w:rPr>
        <w:t xml:space="preserve"> cost-effectiveness</w:t>
      </w:r>
      <w:r w:rsidR="00B7045B" w:rsidRPr="008F45F6">
        <w:rPr>
          <w:rFonts w:ascii="Times New Roman" w:hAnsi="Times New Roman" w:cs="Times New Roman"/>
          <w:sz w:val="20"/>
          <w:szCs w:val="20"/>
        </w:rPr>
        <w:t xml:space="preserve"> </w:t>
      </w:r>
      <w:r w:rsidRPr="008F45F6">
        <w:rPr>
          <w:rFonts w:ascii="Times New Roman" w:hAnsi="Times New Roman" w:cs="Times New Roman"/>
          <w:sz w:val="20"/>
          <w:szCs w:val="20"/>
        </w:rPr>
        <w:t>analysis</w:t>
      </w:r>
      <w:r w:rsidR="00B7045B" w:rsidRPr="008F45F6">
        <w:rPr>
          <w:rFonts w:ascii="Times New Roman" w:hAnsi="Times New Roman" w:cs="Times New Roman"/>
          <w:sz w:val="20"/>
          <w:szCs w:val="20"/>
        </w:rPr>
        <w:t xml:space="preserve"> (CEA)</w:t>
      </w:r>
      <w:r w:rsidRPr="008F45F6">
        <w:rPr>
          <w:rFonts w:ascii="Times New Roman" w:hAnsi="Times New Roman" w:cs="Times New Roman"/>
          <w:sz w:val="20"/>
          <w:szCs w:val="20"/>
        </w:rPr>
        <w:t>.</w:t>
      </w:r>
      <w:r w:rsidR="00217201" w:rsidRPr="008F45F6">
        <w:rPr>
          <w:rFonts w:ascii="Times New Roman" w:hAnsi="Times New Roman" w:cs="Times New Roman"/>
          <w:sz w:val="20"/>
          <w:szCs w:val="20"/>
        </w:rPr>
        <w:t xml:space="preserve"> Considering the social distributions of health and non-health impacts</w:t>
      </w:r>
      <w:r w:rsidR="00AE1195" w:rsidRPr="008F45F6">
        <w:rPr>
          <w:rFonts w:ascii="Times New Roman" w:hAnsi="Times New Roman" w:cs="Times New Roman"/>
          <w:sz w:val="20"/>
          <w:szCs w:val="20"/>
        </w:rPr>
        <w:t xml:space="preserve"> </w:t>
      </w:r>
      <w:r w:rsidR="006F1269">
        <w:rPr>
          <w:rFonts w:ascii="Times New Roman" w:hAnsi="Times New Roman" w:cs="Times New Roman"/>
          <w:sz w:val="20"/>
          <w:szCs w:val="20"/>
        </w:rPr>
        <w:t>of</w:t>
      </w:r>
      <w:r w:rsidR="00AE1195" w:rsidRPr="008F45F6">
        <w:rPr>
          <w:rFonts w:ascii="Times New Roman" w:hAnsi="Times New Roman" w:cs="Times New Roman"/>
          <w:sz w:val="20"/>
          <w:szCs w:val="20"/>
        </w:rPr>
        <w:t xml:space="preserve"> health policy </w:t>
      </w:r>
      <w:r w:rsidR="006F1269">
        <w:rPr>
          <w:rFonts w:ascii="Times New Roman" w:hAnsi="Times New Roman" w:cs="Times New Roman"/>
          <w:sz w:val="20"/>
          <w:szCs w:val="20"/>
        </w:rPr>
        <w:t>interventions</w:t>
      </w:r>
      <w:r w:rsidR="00217201" w:rsidRPr="008F45F6">
        <w:rPr>
          <w:rFonts w:ascii="Times New Roman" w:hAnsi="Times New Roman" w:cs="Times New Roman"/>
          <w:sz w:val="20"/>
          <w:szCs w:val="20"/>
        </w:rPr>
        <w:t xml:space="preserve"> may be </w:t>
      </w:r>
      <w:r w:rsidR="00100700" w:rsidRPr="008F45F6">
        <w:rPr>
          <w:rFonts w:ascii="Times New Roman" w:hAnsi="Times New Roman" w:cs="Times New Roman"/>
          <w:sz w:val="20"/>
          <w:szCs w:val="20"/>
        </w:rPr>
        <w:t>the gateway</w:t>
      </w:r>
      <w:r w:rsidR="00217201" w:rsidRPr="008F45F6">
        <w:rPr>
          <w:rFonts w:ascii="Times New Roman" w:hAnsi="Times New Roman" w:cs="Times New Roman"/>
          <w:sz w:val="20"/>
          <w:szCs w:val="20"/>
        </w:rPr>
        <w:t xml:space="preserve"> in achieving </w:t>
      </w:r>
      <w:r w:rsidR="00045912" w:rsidRPr="008F45F6">
        <w:rPr>
          <w:rFonts w:ascii="Times New Roman" w:hAnsi="Times New Roman" w:cs="Times New Roman"/>
          <w:sz w:val="20"/>
          <w:szCs w:val="20"/>
        </w:rPr>
        <w:t>Universal Health Coverage (</w:t>
      </w:r>
      <w:r w:rsidR="00217201" w:rsidRPr="008F45F6">
        <w:rPr>
          <w:rFonts w:ascii="Times New Roman" w:hAnsi="Times New Roman" w:cs="Times New Roman"/>
          <w:sz w:val="20"/>
          <w:szCs w:val="20"/>
        </w:rPr>
        <w:t>UHC</w:t>
      </w:r>
      <w:r w:rsidR="00045912" w:rsidRPr="008F45F6">
        <w:rPr>
          <w:rFonts w:ascii="Times New Roman" w:hAnsi="Times New Roman" w:cs="Times New Roman"/>
          <w:sz w:val="20"/>
          <w:szCs w:val="20"/>
        </w:rPr>
        <w:t>)</w:t>
      </w:r>
      <w:r w:rsidR="00217201" w:rsidRPr="008F45F6">
        <w:rPr>
          <w:rFonts w:ascii="Times New Roman" w:hAnsi="Times New Roman" w:cs="Times New Roman"/>
          <w:sz w:val="20"/>
          <w:szCs w:val="20"/>
        </w:rPr>
        <w:t xml:space="preserve"> </w:t>
      </w:r>
      <w:r w:rsidR="00100700" w:rsidRPr="008F45F6">
        <w:rPr>
          <w:rFonts w:ascii="Times New Roman" w:hAnsi="Times New Roman" w:cs="Times New Roman"/>
          <w:sz w:val="20"/>
          <w:szCs w:val="20"/>
        </w:rPr>
        <w:t>in LMIC</w:t>
      </w:r>
      <w:r w:rsidR="00631F22" w:rsidRPr="008F45F6">
        <w:rPr>
          <w:rFonts w:ascii="Times New Roman" w:hAnsi="Times New Roman" w:cs="Times New Roman"/>
          <w:sz w:val="20"/>
          <w:szCs w:val="20"/>
        </w:rPr>
        <w:t>s</w:t>
      </w:r>
      <w:r w:rsidR="00217201" w:rsidRPr="008F45F6">
        <w:rPr>
          <w:rFonts w:ascii="Times New Roman" w:hAnsi="Times New Roman" w:cs="Times New Roman"/>
          <w:sz w:val="20"/>
          <w:szCs w:val="20"/>
        </w:rPr>
        <w:t>.</w:t>
      </w:r>
      <w:r w:rsidR="005855B8">
        <w:rPr>
          <w:rFonts w:ascii="Times New Roman" w:hAnsi="Times New Roman" w:cs="Times New Roman"/>
          <w:sz w:val="20"/>
          <w:szCs w:val="20"/>
        </w:rPr>
        <w:t xml:space="preserve"> It helps policymakers to undertake and strategize policy interventions towards a target population.</w:t>
      </w:r>
      <w:r w:rsidR="0078357F" w:rsidRPr="008F45F6">
        <w:rPr>
          <w:rFonts w:ascii="Times New Roman" w:hAnsi="Times New Roman" w:cs="Times New Roman"/>
          <w:sz w:val="20"/>
          <w:szCs w:val="20"/>
        </w:rPr>
        <w:t xml:space="preserve"> Ongoing research should explore how to model and estimate</w:t>
      </w:r>
      <w:r w:rsidR="00217201" w:rsidRPr="008F45F6">
        <w:rPr>
          <w:rFonts w:ascii="Times New Roman" w:hAnsi="Times New Roman" w:cs="Times New Roman"/>
          <w:sz w:val="20"/>
          <w:szCs w:val="20"/>
        </w:rPr>
        <w:t xml:space="preserve"> </w:t>
      </w:r>
      <w:r w:rsidR="0078357F" w:rsidRPr="008F45F6">
        <w:rPr>
          <w:rFonts w:ascii="Times New Roman" w:hAnsi="Times New Roman" w:cs="Times New Roman"/>
          <w:sz w:val="20"/>
          <w:szCs w:val="20"/>
        </w:rPr>
        <w:t xml:space="preserve">equity and total health trade-off, particularly in the context of policy </w:t>
      </w:r>
      <w:r w:rsidR="0017502A">
        <w:rPr>
          <w:rFonts w:ascii="Times New Roman" w:hAnsi="Times New Roman" w:cs="Times New Roman"/>
          <w:sz w:val="20"/>
          <w:szCs w:val="20"/>
        </w:rPr>
        <w:t xml:space="preserve">formulation and </w:t>
      </w:r>
      <w:r w:rsidR="0078357F" w:rsidRPr="008F45F6">
        <w:rPr>
          <w:rFonts w:ascii="Times New Roman" w:hAnsi="Times New Roman" w:cs="Times New Roman"/>
          <w:sz w:val="20"/>
          <w:szCs w:val="20"/>
        </w:rPr>
        <w:t>decision-making</w:t>
      </w:r>
      <w:r w:rsidR="001660A7" w:rsidRPr="008F45F6">
        <w:rPr>
          <w:rFonts w:ascii="Times New Roman" w:hAnsi="Times New Roman" w:cs="Times New Roman"/>
          <w:sz w:val="20"/>
          <w:szCs w:val="20"/>
        </w:rPr>
        <w:t>.</w:t>
      </w:r>
    </w:p>
    <w:p w14:paraId="165FEFB8" w14:textId="0070F71A" w:rsidR="00FB0605" w:rsidRPr="00173E3B" w:rsidRDefault="00FB0605" w:rsidP="00173E3B">
      <w:pPr>
        <w:rPr>
          <w:rFonts w:ascii="Times New Roman" w:hAnsi="Times New Roman" w:cs="Times New Roman"/>
          <w:sz w:val="24"/>
          <w:szCs w:val="24"/>
        </w:rPr>
      </w:pPr>
    </w:p>
    <w:p w14:paraId="2888349A" w14:textId="1E4242D8" w:rsidR="00FB0605" w:rsidRPr="008050DB" w:rsidRDefault="00FB0605" w:rsidP="008050DB">
      <w:pPr>
        <w:pStyle w:val="ListParagraph"/>
        <w:numPr>
          <w:ilvl w:val="0"/>
          <w:numId w:val="8"/>
        </w:numPr>
        <w:rPr>
          <w:rFonts w:ascii="Times New Roman" w:hAnsi="Times New Roman" w:cs="Times New Roman"/>
          <w:b/>
          <w:bCs/>
          <w:sz w:val="24"/>
          <w:szCs w:val="24"/>
        </w:rPr>
      </w:pPr>
      <w:r w:rsidRPr="008050DB">
        <w:rPr>
          <w:rFonts w:ascii="Times New Roman" w:hAnsi="Times New Roman" w:cs="Times New Roman"/>
          <w:b/>
          <w:bCs/>
          <w:sz w:val="24"/>
          <w:szCs w:val="24"/>
        </w:rPr>
        <w:t>I</w:t>
      </w:r>
      <w:r w:rsidR="0085458F" w:rsidRPr="008050DB">
        <w:rPr>
          <w:rFonts w:ascii="Times New Roman" w:hAnsi="Times New Roman" w:cs="Times New Roman"/>
          <w:b/>
          <w:bCs/>
          <w:sz w:val="24"/>
          <w:szCs w:val="24"/>
        </w:rPr>
        <w:t>ntroduction</w:t>
      </w:r>
    </w:p>
    <w:p w14:paraId="0A7448CF" w14:textId="091BC2D9" w:rsidR="00566B21" w:rsidRDefault="00566B21" w:rsidP="0007374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2F0887">
        <w:rPr>
          <w:rFonts w:ascii="Times New Roman" w:hAnsi="Times New Roman" w:cs="Times New Roman"/>
          <w:sz w:val="24"/>
          <w:szCs w:val="24"/>
        </w:rPr>
        <w:t xml:space="preserve">traditional economic assessments of health interventions </w:t>
      </w:r>
      <w:r>
        <w:rPr>
          <w:rFonts w:ascii="Times New Roman" w:hAnsi="Times New Roman" w:cs="Times New Roman"/>
          <w:sz w:val="24"/>
          <w:szCs w:val="24"/>
        </w:rPr>
        <w:t xml:space="preserve">in LMICs </w:t>
      </w:r>
      <w:r w:rsidRPr="002F0887">
        <w:rPr>
          <w:rFonts w:ascii="Times New Roman" w:hAnsi="Times New Roman" w:cs="Times New Roman"/>
          <w:sz w:val="24"/>
          <w:szCs w:val="24"/>
        </w:rPr>
        <w:t xml:space="preserve">such as CEA have focused on </w:t>
      </w:r>
      <w:r>
        <w:rPr>
          <w:rFonts w:ascii="Times New Roman" w:hAnsi="Times New Roman" w:cs="Times New Roman"/>
          <w:sz w:val="24"/>
          <w:szCs w:val="24"/>
        </w:rPr>
        <w:t xml:space="preserve">the </w:t>
      </w:r>
      <w:r w:rsidRPr="002F0887">
        <w:rPr>
          <w:rFonts w:ascii="Times New Roman" w:hAnsi="Times New Roman" w:cs="Times New Roman"/>
          <w:sz w:val="24"/>
          <w:szCs w:val="24"/>
        </w:rPr>
        <w:t xml:space="preserve">cost of intervention per health gains </w:t>
      </w:r>
      <w:r>
        <w:rPr>
          <w:rFonts w:ascii="Times New Roman" w:hAnsi="Times New Roman" w:cs="Times New Roman"/>
          <w:sz w:val="24"/>
          <w:szCs w:val="24"/>
        </w:rPr>
        <w:t xml:space="preserve">(such as Quality-Adjusted Life Year) </w:t>
      </w:r>
      <w:r w:rsidRPr="002F0887">
        <w:rPr>
          <w:rFonts w:ascii="Times New Roman" w:hAnsi="Times New Roman" w:cs="Times New Roman"/>
          <w:sz w:val="24"/>
          <w:szCs w:val="24"/>
        </w:rPr>
        <w:t>or death</w:t>
      </w:r>
      <w:r>
        <w:rPr>
          <w:rFonts w:ascii="Times New Roman" w:hAnsi="Times New Roman" w:cs="Times New Roman"/>
          <w:sz w:val="24"/>
          <w:szCs w:val="24"/>
        </w:rPr>
        <w:t>s</w:t>
      </w:r>
      <w:r w:rsidRPr="002F0887">
        <w:rPr>
          <w:rFonts w:ascii="Times New Roman" w:hAnsi="Times New Roman" w:cs="Times New Roman"/>
          <w:sz w:val="24"/>
          <w:szCs w:val="24"/>
        </w:rPr>
        <w:t xml:space="preserve"> averted or disability-adjusted life-year</w:t>
      </w:r>
      <w:r>
        <w:rPr>
          <w:rFonts w:ascii="Times New Roman" w:hAnsi="Times New Roman" w:cs="Times New Roman"/>
          <w:sz w:val="24"/>
          <w:szCs w:val="24"/>
        </w:rPr>
        <w:t xml:space="preserve"> (DALY)</w:t>
      </w:r>
      <w:r w:rsidRPr="002F0887">
        <w:rPr>
          <w:rFonts w:ascii="Times New Roman" w:hAnsi="Times New Roman" w:cs="Times New Roman"/>
          <w:sz w:val="24"/>
          <w:szCs w:val="24"/>
        </w:rPr>
        <w:t xml:space="preserve"> averted</w:t>
      </w:r>
      <w:r>
        <w:rPr>
          <w:rFonts w:ascii="Times New Roman" w:hAnsi="Times New Roman" w:cs="Times New Roman"/>
          <w:sz w:val="24"/>
          <w:szCs w:val="24"/>
        </w:rPr>
        <w:t>, of one policy option compared with others, based on the assumption that consequences of policies are equally distributed</w:t>
      </w:r>
      <w:r w:rsidRPr="002F0887">
        <w:rPr>
          <w:rFonts w:ascii="Times New Roman" w:hAnsi="Times New Roman" w:cs="Times New Roman"/>
          <w:sz w:val="24"/>
          <w:szCs w:val="24"/>
        </w:rPr>
        <w:t>.</w:t>
      </w:r>
      <w:r>
        <w:rPr>
          <w:rFonts w:ascii="Times New Roman" w:hAnsi="Times New Roman" w:cs="Times New Roman"/>
          <w:sz w:val="24"/>
          <w:szCs w:val="24"/>
        </w:rPr>
        <w:t xml:space="preserve"> CEA </w:t>
      </w:r>
      <w:r w:rsidR="00E46FED">
        <w:rPr>
          <w:rFonts w:ascii="Times New Roman" w:hAnsi="Times New Roman" w:cs="Times New Roman"/>
          <w:sz w:val="24"/>
          <w:szCs w:val="24"/>
        </w:rPr>
        <w:t xml:space="preserve">also </w:t>
      </w:r>
      <w:r w:rsidRPr="00A53495">
        <w:rPr>
          <w:rFonts w:ascii="Times New Roman" w:hAnsi="Times New Roman" w:cs="Times New Roman"/>
          <w:sz w:val="24"/>
          <w:szCs w:val="24"/>
        </w:rPr>
        <w:t>ig</w:t>
      </w:r>
      <w:r w:rsidRPr="002F0887">
        <w:rPr>
          <w:rFonts w:ascii="Times New Roman" w:hAnsi="Times New Roman" w:cs="Times New Roman"/>
          <w:sz w:val="24"/>
          <w:szCs w:val="24"/>
        </w:rPr>
        <w:t>nore</w:t>
      </w:r>
      <w:r>
        <w:rPr>
          <w:rFonts w:ascii="Times New Roman" w:hAnsi="Times New Roman" w:cs="Times New Roman"/>
          <w:sz w:val="24"/>
          <w:szCs w:val="24"/>
        </w:rPr>
        <w:t>s</w:t>
      </w:r>
      <w:r w:rsidRPr="002F0887">
        <w:rPr>
          <w:rFonts w:ascii="Times New Roman" w:hAnsi="Times New Roman" w:cs="Times New Roman"/>
          <w:sz w:val="24"/>
          <w:szCs w:val="24"/>
        </w:rPr>
        <w:t xml:space="preserve"> </w:t>
      </w:r>
      <w:r>
        <w:rPr>
          <w:rFonts w:ascii="Times New Roman" w:hAnsi="Times New Roman" w:cs="Times New Roman"/>
          <w:sz w:val="24"/>
          <w:szCs w:val="24"/>
        </w:rPr>
        <w:t xml:space="preserve">the evaluation of non-health benefits </w:t>
      </w:r>
      <w:r w:rsidR="00AC1E4A" w:rsidRPr="002F0887">
        <w:rPr>
          <w:rFonts w:ascii="Times New Roman" w:hAnsi="Times New Roman" w:cs="Times New Roman"/>
          <w:sz w:val="24"/>
          <w:szCs w:val="24"/>
        </w:rPr>
        <w:t>such as</w:t>
      </w:r>
      <w:r>
        <w:rPr>
          <w:rFonts w:ascii="Times New Roman" w:hAnsi="Times New Roman" w:cs="Times New Roman"/>
          <w:sz w:val="24"/>
          <w:szCs w:val="24"/>
        </w:rPr>
        <w:t xml:space="preserve"> </w:t>
      </w:r>
      <w:r w:rsidR="00CD7995">
        <w:rPr>
          <w:rFonts w:ascii="Times New Roman" w:hAnsi="Times New Roman" w:cs="Times New Roman"/>
          <w:sz w:val="24"/>
          <w:szCs w:val="24"/>
        </w:rPr>
        <w:t>FC</w:t>
      </w:r>
      <w:r w:rsidRPr="002F0887">
        <w:rPr>
          <w:rFonts w:ascii="Times New Roman" w:hAnsi="Times New Roman" w:cs="Times New Roman"/>
          <w:sz w:val="24"/>
          <w:szCs w:val="24"/>
        </w:rPr>
        <w:t xml:space="preserve"> </w:t>
      </w:r>
      <w:r>
        <w:rPr>
          <w:rFonts w:ascii="Times New Roman" w:hAnsi="Times New Roman" w:cs="Times New Roman"/>
          <w:sz w:val="24"/>
          <w:szCs w:val="24"/>
        </w:rPr>
        <w:t>and FRP</w:t>
      </w:r>
      <w:r w:rsidR="00FB148B">
        <w:rPr>
          <w:rFonts w:ascii="Times New Roman" w:hAnsi="Times New Roman" w:cs="Times New Roman"/>
          <w:sz w:val="24"/>
          <w:szCs w:val="24"/>
        </w:rPr>
        <w:t>,</w:t>
      </w:r>
      <w:r w:rsidR="00AC1E4A">
        <w:rPr>
          <w:rFonts w:ascii="Times New Roman" w:hAnsi="Times New Roman" w:cs="Times New Roman"/>
          <w:sz w:val="24"/>
          <w:szCs w:val="24"/>
        </w:rPr>
        <w:t xml:space="preserve"> which are crucial</w:t>
      </w:r>
      <w:r w:rsidR="003B50F6">
        <w:rPr>
          <w:rFonts w:ascii="Times New Roman" w:hAnsi="Times New Roman" w:cs="Times New Roman"/>
          <w:sz w:val="24"/>
          <w:szCs w:val="24"/>
        </w:rPr>
        <w:t xml:space="preserve"> issues</w:t>
      </w:r>
      <w:r w:rsidR="00AC1E4A">
        <w:rPr>
          <w:rFonts w:ascii="Times New Roman" w:hAnsi="Times New Roman" w:cs="Times New Roman"/>
          <w:sz w:val="24"/>
          <w:szCs w:val="24"/>
        </w:rPr>
        <w:t xml:space="preserve"> in LMICs</w:t>
      </w:r>
      <w:r w:rsidRPr="002F0887">
        <w:rPr>
          <w:rFonts w:ascii="Times New Roman" w:hAnsi="Times New Roman" w:cs="Times New Roman"/>
          <w:sz w:val="24"/>
          <w:szCs w:val="24"/>
        </w:rPr>
        <w:t>.</w:t>
      </w:r>
      <w:r w:rsidR="00AC1E4A">
        <w:rPr>
          <w:rFonts w:ascii="Times New Roman" w:hAnsi="Times New Roman" w:cs="Times New Roman"/>
          <w:sz w:val="24"/>
          <w:szCs w:val="24"/>
        </w:rPr>
        <w:t xml:space="preserve"> H</w:t>
      </w:r>
      <w:r w:rsidR="00E978C6">
        <w:rPr>
          <w:rFonts w:ascii="Times New Roman" w:hAnsi="Times New Roman" w:cs="Times New Roman"/>
          <w:sz w:val="24"/>
          <w:szCs w:val="24"/>
        </w:rPr>
        <w:t>ousehold health expenditure can be too high or ‘</w:t>
      </w:r>
      <w:r w:rsidR="00E978C6" w:rsidRPr="002F0887">
        <w:rPr>
          <w:rFonts w:ascii="Times New Roman" w:hAnsi="Times New Roman" w:cs="Times New Roman"/>
          <w:color w:val="242021"/>
          <w:sz w:val="24"/>
          <w:szCs w:val="24"/>
        </w:rPr>
        <w:t>catastrophic</w:t>
      </w:r>
      <w:r w:rsidR="00E978C6">
        <w:rPr>
          <w:rFonts w:ascii="Times New Roman" w:hAnsi="Times New Roman" w:cs="Times New Roman"/>
          <w:sz w:val="24"/>
          <w:szCs w:val="24"/>
        </w:rPr>
        <w:t xml:space="preserve">’ and lead to (medical) impoverishment of some sub-groups in LMICs </w:t>
      </w:r>
      <w:r w:rsidR="00E978C6">
        <w:rPr>
          <w:rFonts w:ascii="Times New Roman" w:hAnsi="Times New Roman" w:cs="Times New Roman"/>
          <w:color w:val="242021"/>
          <w:sz w:val="24"/>
          <w:szCs w:val="24"/>
        </w:rPr>
        <w:t>and related adverse outcomes</w:t>
      </w:r>
      <w:r w:rsidR="00680A9E">
        <w:rPr>
          <w:rFonts w:ascii="Times New Roman" w:hAnsi="Times New Roman" w:cs="Times New Roman"/>
          <w:color w:val="242021"/>
          <w:sz w:val="24"/>
          <w:szCs w:val="24"/>
        </w:rPr>
        <w:t xml:space="preserve"> such as inadequate demand for healthcare, morbidity</w:t>
      </w:r>
      <w:r w:rsidR="0066288A">
        <w:rPr>
          <w:rFonts w:ascii="Times New Roman" w:hAnsi="Times New Roman" w:cs="Times New Roman"/>
          <w:color w:val="242021"/>
          <w:sz w:val="24"/>
          <w:szCs w:val="24"/>
        </w:rPr>
        <w:t>,</w:t>
      </w:r>
      <w:r w:rsidR="00680A9E">
        <w:rPr>
          <w:rFonts w:ascii="Times New Roman" w:hAnsi="Times New Roman" w:cs="Times New Roman"/>
          <w:color w:val="242021"/>
          <w:sz w:val="24"/>
          <w:szCs w:val="24"/>
        </w:rPr>
        <w:t xml:space="preserve"> and mortality</w:t>
      </w:r>
      <w:r w:rsidR="00E978C6">
        <w:rPr>
          <w:rFonts w:ascii="Times New Roman" w:hAnsi="Times New Roman" w:cs="Times New Roman"/>
          <w:color w:val="242021"/>
          <w:sz w:val="24"/>
          <w:szCs w:val="24"/>
        </w:rPr>
        <w:t xml:space="preserve">. </w:t>
      </w:r>
      <w:r w:rsidR="00E978C6">
        <w:rPr>
          <w:rFonts w:ascii="Times New Roman" w:hAnsi="Times New Roman" w:cs="Times New Roman"/>
          <w:color w:val="242021"/>
          <w:sz w:val="24"/>
          <w:szCs w:val="24"/>
        </w:rPr>
        <w:t>M</w:t>
      </w:r>
      <w:r>
        <w:rPr>
          <w:rFonts w:ascii="Times New Roman" w:hAnsi="Times New Roman" w:cs="Times New Roman"/>
          <w:sz w:val="24"/>
          <w:szCs w:val="24"/>
        </w:rPr>
        <w:t xml:space="preserve">ost </w:t>
      </w:r>
      <w:r w:rsidR="00274CA4">
        <w:rPr>
          <w:rFonts w:ascii="Times New Roman" w:hAnsi="Times New Roman" w:cs="Times New Roman"/>
          <w:sz w:val="24"/>
          <w:szCs w:val="24"/>
        </w:rPr>
        <w:t xml:space="preserve">poor </w:t>
      </w:r>
      <w:r>
        <w:rPr>
          <w:rFonts w:ascii="Times New Roman" w:hAnsi="Times New Roman" w:cs="Times New Roman"/>
          <w:sz w:val="24"/>
          <w:szCs w:val="24"/>
        </w:rPr>
        <w:t xml:space="preserve">people in LMICs are burdened with medical impoverishment or are </w:t>
      </w:r>
      <w:r w:rsidR="00FB03A2">
        <w:rPr>
          <w:rFonts w:ascii="Times New Roman" w:hAnsi="Times New Roman" w:cs="Times New Roman"/>
          <w:sz w:val="24"/>
          <w:szCs w:val="24"/>
        </w:rPr>
        <w:t xml:space="preserve">experiencing </w:t>
      </w:r>
      <w:r>
        <w:rPr>
          <w:rFonts w:ascii="Times New Roman" w:hAnsi="Times New Roman" w:cs="Times New Roman"/>
          <w:sz w:val="24"/>
          <w:szCs w:val="24"/>
        </w:rPr>
        <w:t xml:space="preserve">financial risk of </w:t>
      </w:r>
      <w:r w:rsidR="00090975" w:rsidRPr="002F0887">
        <w:rPr>
          <w:rFonts w:ascii="Times New Roman" w:hAnsi="Times New Roman" w:cs="Times New Roman"/>
          <w:color w:val="242021"/>
          <w:sz w:val="24"/>
          <w:szCs w:val="24"/>
        </w:rPr>
        <w:t>catastrophic health expenditure (CHE)</w:t>
      </w:r>
      <w:r w:rsidR="00136549" w:rsidRPr="002F0887">
        <w:rPr>
          <w:rFonts w:ascii="Times New Roman" w:hAnsi="Times New Roman" w:cs="Times New Roman"/>
          <w:color w:val="242021"/>
          <w:sz w:val="24"/>
          <w:szCs w:val="24"/>
        </w:rPr>
        <w:t>, defined as expenditures exceeding a particular fraction of total household expenditures</w:t>
      </w:r>
      <w:r w:rsidR="001F4ECF">
        <w:rPr>
          <w:rFonts w:ascii="Times New Roman" w:hAnsi="Times New Roman" w:cs="Times New Roman"/>
          <w:color w:val="242021"/>
          <w:sz w:val="24"/>
          <w:szCs w:val="24"/>
        </w:rPr>
        <w:t xml:space="preserve"> (</w:t>
      </w:r>
      <w:r w:rsidR="001F4ECF" w:rsidRPr="002F0887">
        <w:rPr>
          <w:rFonts w:ascii="Times New Roman" w:hAnsi="Times New Roman" w:cs="Times New Roman"/>
          <w:color w:val="242021"/>
          <w:sz w:val="24"/>
          <w:szCs w:val="24"/>
        </w:rPr>
        <w:fldChar w:fldCharType="begin" w:fldLock="1"/>
      </w:r>
      <w:r w:rsidR="008D7AD6">
        <w:rPr>
          <w:rFonts w:ascii="Times New Roman" w:hAnsi="Times New Roman" w:cs="Times New Roman"/>
          <w:color w:val="242021"/>
          <w:sz w:val="24"/>
          <w:szCs w:val="24"/>
        </w:rPr>
        <w:instrText>ADDIN CSL_CITATION {"citationItems":[{"id":"ITEM-1","itemData":{"DOI":"10.1016/S2214-109X(14)70346-8","ISSN":"2214109X","PMID":"25889470","abstract":"Background: The way in which a government chooses to finance a health intervention can affect the uptake of health interventions and consequently the extent of health gains. In addition to health gains, some policies such as public finance can insure against catastrophic health expenditures. We aimed to evaluate the health and financial risk protection benefits of selected interventions that could be publicly financed by the government of Ethiopia. Methods: We used extended cost-effectiveness analysis to assess the health gains (deaths averted) and financial risk protection afforded (cases of poverty averted) by a bundle of nine (among many other) interventions that the Government of Ethiopia aims to make universally available. These nine interventions were measles vaccination, rotavirus vaccination, pneumococcal conjugate vaccination, diarrhoea treatment, malaria treatment, pneumonia treatment, caesarean section surgery, hypertension treatment, and tuberculosis treatment. Findings: Our analysis shows that, per dollar spent by the Ethiopian Government, the interventions that avert the most deaths are measles vaccination (367 deaths averted per $100 000 spent), pneumococcal conjugate vaccination (170 deaths averted per $100 000 spent), and caesarean section surgery (141 deaths averted per $100 000 spent). The interventions that avert the most cases of poverty are caesarean section surgery (98 cases averted per $100 000 spent), tuberculosis treatment (96 cases averted per $100 000 spent), and hypertension treatment (84 cases averted per $100 000 spent). Interpretation: Our approach incorporates financial risk protection into the economic evaluation of health interventions and therefore provides information about the efficiency of attainment of both major objectives of a health system: improved health and financial risk protection. One intervention might rank higher on one or both metrics than another, which shows how intervention choice-the selection of a pathway to universal health coverage-might involve weighing up of sometimes competing objectives. This understanding can help policy makers to select interventions to target specific policy goals (ie, improved health or financial risk protection). It is especially relevant for the design and sequencing of universal health coverage to meet the needs of poor populations. Funding: Bill &amp; Melinda Gates Foundation.","author":[{"dropping-particle":"","family":"Verguet","given":"Stéphane","non-dropping-particle":"","parse-names":false,"suffix":""},{"dropping-particle":"","family":"Olson","given":"Zachary D.","non-dropping-particle":"","parse-names":false,"suffix":""},{"dropping-particle":"","family":"Babigumira","given":"Joseph B.","non-dropping-particle":"","parse-names":false,"suffix":""},{"dropping-particle":"","family":"Desalegn","given":"Dawit","non-dropping-particle":"","parse-names":false,"suffix":""},{"dropping-particle":"","family":"Johansson","given":"Kjell Arne","non-dropping-particle":"","parse-names":false,"suffix":""},{"dropping-particle":"","family":"Kruk","given":"Margaret E.","non-dropping-particle":"","parse-names":false,"suffix":""},{"dropping-particle":"","family":"Levin","given":"Carol E.","non-dropping-particle":"","parse-names":false,"suffix":""},{"dropping-particle":"","family":"Nugent","given":"Rachel A.","non-dropping-particle":"","parse-names":false,"suffix":""},{"dropping-particle":"","family":"Pecenka","given":"Clint","non-dropping-particle":"","parse-names":false,"suffix":""},{"dropping-particle":"","family":"Shrime","given":"Mark G.","non-dropping-particle":"","parse-names":false,"suffix":""},{"dropping-particle":"","family":"Memirie","given":"Solomon Tessema","non-dropping-particle":"","parse-names":false,"suffix":""},{"dropping-particle":"","family":"Watkins","given":"David A.","non-dropping-particle":"","parse-names":false,"suffix":""},{"dropping-particle":"","family":"Jamison","given":"Dean T.","non-dropping-particle":"","parse-names":false,"suffix":""}],"container-title":"The Lancet Global Health","id":"ITEM-1","issue":"5","issued":{"date-parts":[["2015"]]},"page":"e288-e296","title":"Health gains and financial risk protection afforded by public financing of selected interventions in ethiopia: An extended cost-effectiveness analysis","type":"article-journal","volume":"3"},"uris":["http://www.mendeley.com/documents/?uuid=12e403e9-b448-4caf-ad9e-4d7615c01f56"]}],"mendeley":{"formattedCitation":"(Verguet, Olson, et al., 2015)","manualFormatting":"Verguet et al., 2015c","plainTextFormattedCitation":"(Verguet, Olson, et al., 2015)","previouslyFormattedCitation":"(Verguet, Olson, et al., 2015)"},"properties":{"noteIndex":0},"schema":"https://github.com/citation-style-language/schema/raw/master/csl-citation.json"}</w:instrText>
      </w:r>
      <w:r w:rsidR="001F4ECF" w:rsidRPr="002F0887">
        <w:rPr>
          <w:rFonts w:ascii="Times New Roman" w:hAnsi="Times New Roman" w:cs="Times New Roman"/>
          <w:color w:val="242021"/>
          <w:sz w:val="24"/>
          <w:szCs w:val="24"/>
        </w:rPr>
        <w:fldChar w:fldCharType="separate"/>
      </w:r>
      <w:r w:rsidR="001F4ECF" w:rsidRPr="002F0887">
        <w:rPr>
          <w:rFonts w:ascii="Times New Roman" w:hAnsi="Times New Roman" w:cs="Times New Roman"/>
          <w:noProof/>
          <w:color w:val="242021"/>
          <w:sz w:val="24"/>
          <w:szCs w:val="24"/>
        </w:rPr>
        <w:t>Verguet et al.</w:t>
      </w:r>
      <w:r w:rsidR="001F4ECF">
        <w:rPr>
          <w:rFonts w:ascii="Times New Roman" w:hAnsi="Times New Roman" w:cs="Times New Roman"/>
          <w:noProof/>
          <w:color w:val="242021"/>
          <w:sz w:val="24"/>
          <w:szCs w:val="24"/>
        </w:rPr>
        <w:t>,</w:t>
      </w:r>
      <w:r w:rsidR="001F4ECF" w:rsidRPr="002F0887">
        <w:rPr>
          <w:rFonts w:ascii="Times New Roman" w:hAnsi="Times New Roman" w:cs="Times New Roman"/>
          <w:noProof/>
          <w:color w:val="242021"/>
          <w:sz w:val="24"/>
          <w:szCs w:val="24"/>
        </w:rPr>
        <w:t xml:space="preserve"> 2015c</w:t>
      </w:r>
      <w:r w:rsidR="001F4ECF" w:rsidRPr="002F0887">
        <w:rPr>
          <w:rFonts w:ascii="Times New Roman" w:hAnsi="Times New Roman" w:cs="Times New Roman"/>
          <w:color w:val="242021"/>
          <w:sz w:val="24"/>
          <w:szCs w:val="24"/>
        </w:rPr>
        <w:fldChar w:fldCharType="end"/>
      </w:r>
      <w:r w:rsidR="001F4ECF">
        <w:rPr>
          <w:rFonts w:ascii="Times New Roman" w:hAnsi="Times New Roman" w:cs="Times New Roman"/>
          <w:color w:val="242021"/>
          <w:sz w:val="24"/>
          <w:szCs w:val="24"/>
        </w:rPr>
        <w:t>)</w:t>
      </w:r>
      <w:r w:rsidR="00136549">
        <w:rPr>
          <w:rFonts w:ascii="Times New Roman" w:hAnsi="Times New Roman" w:cs="Times New Roman"/>
          <w:color w:val="242021"/>
          <w:sz w:val="24"/>
          <w:szCs w:val="24"/>
        </w:rPr>
        <w:t>.</w:t>
      </w:r>
      <w:r>
        <w:rPr>
          <w:rFonts w:ascii="Times New Roman" w:hAnsi="Times New Roman" w:cs="Times New Roman"/>
          <w:sz w:val="24"/>
          <w:szCs w:val="24"/>
        </w:rPr>
        <w:t xml:space="preserve"> </w:t>
      </w:r>
      <w:r w:rsidRPr="002F0887">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{"citationItems":[{"id":"ITEM-1","itemData":{"author":[{"dropping-particle":"","family":"Kruk ME, Goldmann E","given":"Galea S.","non-dropping-particle":"","parse-names":false,"suffix":""}],"container-title":"Health Affairs","id":"ITEM-1","issue":"4","issued":{"date-parts":[["2009"]]},"page":"1056–1066","title":"Borrowing and selling to pay for health care in low- and middle-income countries.","type":"article-journal","volume":"28"},"uris":["http://www.mendeley.com/documents/?uuid=6ec29523-2e68-486f-b9c1-62a687a240c2"]}],"mendeley":{"formattedCitation":"(Kruk ME, Goldmann E, 2009)","manualFormatting":"Kruk et al. (2009)","plainTextFormattedCitation":"(Kruk ME, Goldmann E, 2009)","previouslyFormattedCitation":"(Kruk ME, Goldmann E, 2009)"},"properties":{"noteIndex":0},"schema":"https://github.com/citation-style-language/schema/raw/master/csl-citation.json"}</w:instrText>
      </w:r>
      <w:r w:rsidRPr="002F0887">
        <w:rPr>
          <w:rFonts w:ascii="Times New Roman" w:hAnsi="Times New Roman" w:cs="Times New Roman"/>
          <w:sz w:val="24"/>
          <w:szCs w:val="24"/>
        </w:rPr>
        <w:fldChar w:fldCharType="separate"/>
      </w:r>
      <w:r w:rsidRPr="002F0887">
        <w:rPr>
          <w:rFonts w:ascii="Times New Roman" w:hAnsi="Times New Roman" w:cs="Times New Roman"/>
          <w:noProof/>
          <w:sz w:val="24"/>
          <w:szCs w:val="24"/>
        </w:rPr>
        <w:t>Kruk et al. (2009)</w:t>
      </w:r>
      <w:r w:rsidRPr="002F0887">
        <w:rPr>
          <w:rFonts w:ascii="Times New Roman" w:hAnsi="Times New Roman" w:cs="Times New Roman"/>
          <w:sz w:val="24"/>
          <w:szCs w:val="24"/>
        </w:rPr>
        <w:fldChar w:fldCharType="end"/>
      </w:r>
      <w:r w:rsidRPr="002F0887">
        <w:rPr>
          <w:rFonts w:ascii="Times New Roman" w:hAnsi="Times New Roman" w:cs="Times New Roman"/>
          <w:sz w:val="24"/>
          <w:szCs w:val="24"/>
        </w:rPr>
        <w:t xml:space="preserve"> surveyed households in 40 LMICs and found that about 25% of those households borrowed money or sold assets to pay for medical care.</w:t>
      </w:r>
      <w:r w:rsidR="00680A9E">
        <w:rPr>
          <w:rFonts w:ascii="Times New Roman" w:hAnsi="Times New Roman" w:cs="Times New Roman"/>
          <w:sz w:val="24"/>
          <w:szCs w:val="24"/>
        </w:rPr>
        <w:t xml:space="preserve"> </w:t>
      </w:r>
      <w:r w:rsidR="00122606">
        <w:rPr>
          <w:rFonts w:ascii="Times New Roman" w:hAnsi="Times New Roman" w:cs="Times New Roman"/>
          <w:color w:val="242021"/>
          <w:sz w:val="24"/>
          <w:szCs w:val="24"/>
        </w:rPr>
        <w:t xml:space="preserve">Averting the number of </w:t>
      </w:r>
      <w:r w:rsidR="00CE4238">
        <w:rPr>
          <w:rFonts w:ascii="Times New Roman" w:hAnsi="Times New Roman" w:cs="Times New Roman"/>
          <w:color w:val="242021"/>
          <w:sz w:val="24"/>
          <w:szCs w:val="24"/>
        </w:rPr>
        <w:t xml:space="preserve">CHE </w:t>
      </w:r>
      <w:r w:rsidR="00122606">
        <w:rPr>
          <w:rFonts w:ascii="Times New Roman" w:hAnsi="Times New Roman" w:cs="Times New Roman"/>
          <w:color w:val="242021"/>
          <w:sz w:val="24"/>
          <w:szCs w:val="24"/>
        </w:rPr>
        <w:t>cases o</w:t>
      </w:r>
      <w:r w:rsidR="00CE4238">
        <w:rPr>
          <w:rFonts w:ascii="Times New Roman" w:hAnsi="Times New Roman" w:cs="Times New Roman"/>
          <w:color w:val="242021"/>
          <w:sz w:val="24"/>
          <w:szCs w:val="24"/>
        </w:rPr>
        <w:t>r</w:t>
      </w:r>
      <w:r w:rsidR="00122606">
        <w:rPr>
          <w:rFonts w:ascii="Times New Roman" w:hAnsi="Times New Roman" w:cs="Times New Roman"/>
          <w:color w:val="242021"/>
          <w:sz w:val="24"/>
          <w:szCs w:val="24"/>
        </w:rPr>
        <w:t xml:space="preserve"> poverty</w:t>
      </w:r>
      <w:r w:rsidR="00CE4238">
        <w:rPr>
          <w:rFonts w:ascii="Times New Roman" w:hAnsi="Times New Roman" w:cs="Times New Roman"/>
          <w:color w:val="242021"/>
          <w:sz w:val="24"/>
          <w:szCs w:val="24"/>
        </w:rPr>
        <w:t xml:space="preserve"> cases</w:t>
      </w:r>
      <w:r w:rsidR="00122606">
        <w:rPr>
          <w:rFonts w:ascii="Times New Roman" w:hAnsi="Times New Roman" w:cs="Times New Roman"/>
          <w:color w:val="242021"/>
          <w:sz w:val="24"/>
          <w:szCs w:val="24"/>
        </w:rPr>
        <w:t xml:space="preserve"> </w:t>
      </w:r>
      <w:r w:rsidR="00CE4238">
        <w:rPr>
          <w:rFonts w:ascii="Times New Roman" w:hAnsi="Times New Roman" w:cs="Times New Roman"/>
          <w:color w:val="242021"/>
          <w:sz w:val="24"/>
          <w:szCs w:val="24"/>
        </w:rPr>
        <w:t>resulting from medical expenditure</w:t>
      </w:r>
      <w:r w:rsidR="00122606">
        <w:rPr>
          <w:rFonts w:ascii="Times New Roman" w:hAnsi="Times New Roman" w:cs="Times New Roman"/>
          <w:color w:val="242021"/>
          <w:sz w:val="24"/>
          <w:szCs w:val="24"/>
        </w:rPr>
        <w:t xml:space="preserve"> is termed as </w:t>
      </w:r>
      <w:r w:rsidR="007A4498">
        <w:rPr>
          <w:rFonts w:ascii="Times New Roman" w:hAnsi="Times New Roman" w:cs="Times New Roman"/>
          <w:color w:val="242021"/>
          <w:sz w:val="24"/>
          <w:szCs w:val="24"/>
        </w:rPr>
        <w:t>FRP</w:t>
      </w:r>
      <w:r w:rsidR="00122606">
        <w:rPr>
          <w:rFonts w:ascii="Times New Roman" w:hAnsi="Times New Roman" w:cs="Times New Roman"/>
          <w:color w:val="242021"/>
          <w:sz w:val="24"/>
          <w:szCs w:val="24"/>
        </w:rPr>
        <w:t xml:space="preserve"> </w:t>
      </w:r>
      <w:r w:rsidR="00122606">
        <w:rPr>
          <w:rFonts w:ascii="Times New Roman" w:hAnsi="Times New Roman" w:cs="Times New Roman"/>
          <w:color w:val="242021"/>
          <w:sz w:val="24"/>
          <w:szCs w:val="24"/>
        </w:rPr>
        <w:t>(</w:t>
      </w:r>
      <w:r w:rsidR="00122606" w:rsidRPr="002F0887">
        <w:rPr>
          <w:rFonts w:ascii="Times New Roman" w:hAnsi="Times New Roman" w:cs="Times New Roman"/>
          <w:color w:val="242021"/>
          <w:sz w:val="24"/>
          <w:szCs w:val="24"/>
        </w:rPr>
        <w:fldChar w:fldCharType="begin" w:fldLock="1"/>
      </w:r>
      <w:r w:rsidR="00122606">
        <w:rPr>
          <w:rFonts w:ascii="Times New Roman" w:hAnsi="Times New Roman" w:cs="Times New Roman"/>
          <w:color w:val="242021"/>
          <w:sz w:val="24"/>
          <w:szCs w:val="24"/>
        </w:rPr>
        <w:instrText>ADDIN CSL_CITATION {"citationItems":[{"id":"ITEM-1","itemData":{"DOI":"10.1016/S2214-109X(14)70346-8","ISSN":"2214109X","PMID":"25889470","abstract":"Background: The way in which a government chooses to finance a health intervention can affect the uptake of health interventions and consequently the extent of health gains. In addition to health gains, some policies such as public finance can insure against catastrophic health expenditures. We aimed to evaluate the health and financial risk protection benefits of selected interventions that could be publicly financed by the government of Ethiopia. Methods: We used extended cost-effectiveness analysis to assess the health gains (deaths averted) and financial risk protection afforded (cases of poverty averted) by a bundle of nine (among many other) interventions that the Government of Ethiopia aims to make universally available. These nine interventions were measles vaccination, rotavirus vaccination, pneumococcal conjugate vaccination, diarrhoea treatment, malaria treatment, pneumonia treatment, caesarean section surgery, hypertension treatment, and tuberculosis treatment. Findings: Our analysis shows that, per dollar spent by the Ethiopian Government, the interventions that avert the most deaths are measles vaccination (367 deaths averted per $100 000 spent), pneumococcal conjugate vaccination (170 deaths averted per $100 000 spent), and caesarean section surgery (141 deaths averted per $100 000 spent). The interventions that avert the most cases of poverty are caesarean section surgery (98 cases averted per $100 000 spent), tuberculosis treatment (96 cases averted per $100 000 spent), and hypertension treatment (84 cases averted per $100 000 spent). Interpretation: Our approach incorporates financial risk protection into the economic evaluation of health interventions and therefore provides information about the efficiency of attainment of both major objectives of a health system: improved health and financial risk protection. One intervention might rank higher on one or both metrics than another, which shows how intervention choice-the selection of a pathway to universal health coverage-might involve weighing up of sometimes competing objectives. This understanding can help policy makers to select interventions to target specific policy goals (ie, improved health or financial risk protection). It is especially relevant for the design and sequencing of universal health coverage to meet the needs of poor populations. Funding: Bill &amp; Melinda Gates Foundation.","author":[{"dropping-particle":"","family":"Verguet","given":"Stéphane","non-dropping-particle":"","parse-names":false,"suffix":""},{"dropping-particle":"","family":"Olson","given":"Zachary D.","non-dropping-particle":"","parse-names":false,"suffix":""},{"dropping-particle":"","family":"Babigumira","given":"Joseph B.","non-dropping-particle":"","parse-names":false,"suffix":""},{"dropping-particle":"","family":"Desalegn","given":"Dawit","non-dropping-particle":"","parse-names":false,"suffix":""},{"dropping-particle":"","family":"Johansson","given":"Kjell Arne","non-dropping-particle":"","parse-names":false,"suffix":""},{"dropping-particle":"","family":"Kruk","given":"Margaret E.","non-dropping-particle":"","parse-names":false,"suffix":""},{"dropping-particle":"","family":"Levin","given":"Carol E.","non-dropping-particle":"","parse-names":false,"suffix":""},{"dropping-particle":"","family":"Nugent","given":"Rachel A.","non-dropping-particle":"","parse-names":false,"suffix":""},{"dropping-particle":"","family":"Pecenka","given":"Clint","non-dropping-particle":"","parse-names":false,"suffix":""},{"dropping-particle":"","family":"Shrime","given":"Mark G.","non-dropping-particle":"","parse-names":false,"suffix":""},{"dropping-particle":"","family":"Memirie","given":"Solomon Tessema","non-dropping-particle":"","parse-names":false,"suffix":""},{"dropping-particle":"","family":"Watkins","given":"David A.","non-dropping-particle":"","parse-names":false,"suffix":""},{"dropping-particle":"","family":"Jamison","given":"Dean T.","non-dropping-particle":"","parse-names":false,"suffix":""}],"container-title":"The Lancet Global Health","id":"ITEM-1","issue":"5","issued":{"date-parts":[["2015"]]},"page":"e288-e296","title":"Health gains and financial risk protection afforded by public financing of selected interventions in ethiopia: An extended cost-effectiveness analysis","type":"article-journal","volume":"3"},"uris":["http://www.mendeley.com/documents/?uuid=12e403e9-b448-4caf-ad9e-4d7615c01f56"]}],"mendeley":{"formattedCitation":"(Verguet, Olson, et al., 2015)","manualFormatting":"Verguet et al., 2015c","plainTextFormattedCitation":"(Verguet, Olson, et al., 2015)","previouslyFormattedCitation":"(Verguet, Olson, et al., 2015)"},"properties":{"noteIndex":0},"schema":"https://github.com/citation-style-language/schema/raw/master/csl-citation.json"}</w:instrText>
      </w:r>
      <w:r w:rsidR="00122606" w:rsidRPr="002F0887">
        <w:rPr>
          <w:rFonts w:ascii="Times New Roman" w:hAnsi="Times New Roman" w:cs="Times New Roman"/>
          <w:color w:val="242021"/>
          <w:sz w:val="24"/>
          <w:szCs w:val="24"/>
        </w:rPr>
        <w:fldChar w:fldCharType="separate"/>
      </w:r>
      <w:r w:rsidR="00122606" w:rsidRPr="002F0887">
        <w:rPr>
          <w:rFonts w:ascii="Times New Roman" w:hAnsi="Times New Roman" w:cs="Times New Roman"/>
          <w:noProof/>
          <w:color w:val="242021"/>
          <w:sz w:val="24"/>
          <w:szCs w:val="24"/>
        </w:rPr>
        <w:t>Verguet et al.</w:t>
      </w:r>
      <w:r w:rsidR="00122606">
        <w:rPr>
          <w:rFonts w:ascii="Times New Roman" w:hAnsi="Times New Roman" w:cs="Times New Roman"/>
          <w:noProof/>
          <w:color w:val="242021"/>
          <w:sz w:val="24"/>
          <w:szCs w:val="24"/>
        </w:rPr>
        <w:t>,</w:t>
      </w:r>
      <w:r w:rsidR="00122606" w:rsidRPr="002F0887">
        <w:rPr>
          <w:rFonts w:ascii="Times New Roman" w:hAnsi="Times New Roman" w:cs="Times New Roman"/>
          <w:noProof/>
          <w:color w:val="242021"/>
          <w:sz w:val="24"/>
          <w:szCs w:val="24"/>
        </w:rPr>
        <w:t xml:space="preserve"> 2015c</w:t>
      </w:r>
      <w:r w:rsidR="00122606" w:rsidRPr="002F0887">
        <w:rPr>
          <w:rFonts w:ascii="Times New Roman" w:hAnsi="Times New Roman" w:cs="Times New Roman"/>
          <w:color w:val="242021"/>
          <w:sz w:val="24"/>
          <w:szCs w:val="24"/>
        </w:rPr>
        <w:fldChar w:fldCharType="end"/>
      </w:r>
      <w:r w:rsidR="00122606">
        <w:rPr>
          <w:rFonts w:ascii="Times New Roman" w:hAnsi="Times New Roman" w:cs="Times New Roman"/>
          <w:color w:val="242021"/>
          <w:sz w:val="24"/>
          <w:szCs w:val="24"/>
        </w:rPr>
        <w:t>)</w:t>
      </w:r>
      <w:r w:rsidR="00122606">
        <w:rPr>
          <w:rFonts w:ascii="Times New Roman" w:hAnsi="Times New Roman" w:cs="Times New Roman"/>
          <w:color w:val="242021"/>
          <w:sz w:val="24"/>
          <w:szCs w:val="24"/>
        </w:rPr>
        <w:t>.</w:t>
      </w:r>
      <w:r w:rsidR="00E978C6">
        <w:rPr>
          <w:rFonts w:ascii="Times New Roman" w:hAnsi="Times New Roman" w:cs="Times New Roman"/>
          <w:color w:val="242021"/>
          <w:sz w:val="24"/>
          <w:szCs w:val="24"/>
        </w:rPr>
        <w:t xml:space="preserve"> </w:t>
      </w:r>
      <w:r w:rsidR="00E978C6">
        <w:rPr>
          <w:rFonts w:ascii="Times New Roman" w:hAnsi="Times New Roman" w:cs="Times New Roman"/>
          <w:color w:val="242021"/>
          <w:sz w:val="24"/>
          <w:szCs w:val="24"/>
        </w:rPr>
        <w:t>A</w:t>
      </w:r>
      <w:r w:rsidR="00E978C6" w:rsidRPr="002F0887">
        <w:rPr>
          <w:rFonts w:ascii="Times New Roman" w:hAnsi="Times New Roman" w:cs="Times New Roman"/>
          <w:color w:val="242021"/>
          <w:sz w:val="24"/>
          <w:szCs w:val="24"/>
        </w:rPr>
        <w:t xml:space="preserve">ccording to </w:t>
      </w:r>
      <w:r w:rsidR="00E978C6" w:rsidRPr="002F0887">
        <w:rPr>
          <w:rFonts w:ascii="Times New Roman" w:hAnsi="Times New Roman" w:cs="Times New Roman"/>
          <w:color w:val="242021"/>
          <w:sz w:val="24"/>
          <w:szCs w:val="24"/>
        </w:rPr>
        <w:fldChar w:fldCharType="begin" w:fldLock="1"/>
      </w:r>
      <w:r w:rsidR="00E978C6" w:rsidRPr="002F0887">
        <w:rPr>
          <w:rFonts w:ascii="Times New Roman" w:hAnsi="Times New Roman" w:cs="Times New Roman"/>
          <w:color w:val="242021"/>
          <w:sz w:val="24"/>
          <w:szCs w:val="24"/>
        </w:rPr>
        <w:instrText>ADDIN CSL_CITATION {"citationItems":[{"id":"ITEM-1","itemData":{"DOI":"10.1016/S2214-109X(14)70346-8","ISSN":"2214109X","PMID":"25889470","abstract":"Background: The way in which a government chooses to finance a health intervention can affect the uptake of health interventions and consequently the extent of health gains. In addition to health gains, some policies such as public finance can insure against catastrophic health expenditures. We aimed to evaluate the health and financial risk protection benefits of selected interventions that could be publicly financed by the government of Ethiopia. Methods: We used extended cost-effectiveness analysis to assess the health gains (deaths averted) and financial risk protection afforded (cases of poverty averted) by a bundle of nine (among many other) interventions that the Government of Ethiopia aims to make universally available. These nine interventions were measles vaccination, rotavirus vaccination, pneumococcal conjugate vaccination, diarrhoea treatment, malaria treatment, pneumonia treatment, caesarean section surgery, hypertension treatment, and tuberculosis treatment. Findings: Our analysis shows that, per dollar spent by the Ethiopian Government, the interventions that avert the most deaths are measles vaccination (367 deaths averted per $100 000 spent), pneumococcal conjugate vaccination (170 deaths averted per $100 000 spent), and caesarean section surgery (141 deaths averted per $100 000 spent). The interventions that avert the most cases of poverty are caesarean section surgery (98 cases averted per $100 000 spent), tuberculosis treatment (96 cases averted per $100 000 spent), and hypertension treatment (84 cases averted per $100 000 spent). Interpretation: Our approach incorporates financial risk protection into the economic evaluation of health interventions and therefore provides information about the efficiency of attainment of both major objectives of a health system: improved health and financial risk protection. One intervention might rank higher on one or both metrics than another, which shows how intervention choice-the selection of a pathway to universal health coverage-might involve weighing up of sometimes competing objectives. This understanding can help policy makers to select interventions to target specific policy goals (ie, improved health or financial risk protection). It is especially relevant for the design and sequencing of universal health coverage to meet the needs of poor populations. Funding: Bill &amp; Melinda Gates Foundation.","author":[{"dropping-particle":"","family":"Verguet","given":"Stéphane","non-dropping-particle":"","parse-names":false,"suffix":""},{"dropping-particle":"","family":"Olson","given":"Zachary D.","non-dropping-particle":"","parse-names":false,"suffix":""},{"dropping-particle":"","family":"Babigumira","given":"Joseph B.","non-dropping-particle":"","parse-names":false,"suffix":""},{"dropping-particle":"","family":"Desalegn","given":"Dawit","non-dropping-particle":"","parse-names":false,"suffix":""},{"dropping-particle":"","family":"Johansson","given":"Kjell Arne","non-dropping-particle":"","parse-names":false,"suffix":""},{"dropping-particle":"","family":"Kruk","given":"Margaret E.","non-dropping-particle":"","parse-names":false,"suffix":""},{"dropping-particle":"","family":"Levin","given":"Carol E.","non-dropping-particle":"","parse-names":false,"suffix":""},{"dropping-particle":"","family":"Nugent","given":"Rachel A.","non-dropping-particle":"","parse-names":false,"suffix":""},{"dropping-particle":"","family":"Pecenka","given":"Clint","non-dropping-particle":"","parse-names":false,"suffix":""},{"dropping-particle":"","family":"Shrime","given":"Mark G.","non-dropping-particle":"","parse-names":false,"suffix":""},{"dropping-particle":"","family":"Memirie","given":"Solomon Tessema","non-dropping-particle":"","parse-names":false,"suffix":""},{"dropping-particle":"","family":"Watkins","given":"David A.","non-dropping-particle":"","parse-names":false,"suffix":""},{"dropping-particle":"","family":"Jamison","given":"Dean T.","non-dropping-particle":"","parse-names":false,"suffix":""}],"container-title":"The Lancet Global Health","id":"ITEM-1","issue":"5","issued":{"date-parts":[["2015"]]},"page":"e288-e296","title":"Health gains and financial risk protection afforded by public financing of selected interventions in ethiopia: An extended cost-effectiveness analysis","type":"article-journal","volume":"3"},"uris":["http://www.mendeley.com/documents/?uuid=12e403e9-b448-4caf-ad9e-4d7615c01f56"]}],"mendeley":{"formattedCitation":"(Verguet, Olson, et al., 2015)","manualFormatting":"Verguet et al. (2015c)","plainTextFormattedCitation":"(Verguet, Olson, et al., 2015)","previouslyFormattedCitation":"(Verguet, Olson, et al., 2015)"},"properties":{"noteIndex":0},"schema":"https://github.com/citation-style-language/schema/raw/master/csl-citation.json"}</w:instrText>
      </w:r>
      <w:r w:rsidR="00E978C6" w:rsidRPr="002F0887">
        <w:rPr>
          <w:rFonts w:ascii="Times New Roman" w:hAnsi="Times New Roman" w:cs="Times New Roman"/>
          <w:color w:val="242021"/>
          <w:sz w:val="24"/>
          <w:szCs w:val="24"/>
        </w:rPr>
        <w:fldChar w:fldCharType="separate"/>
      </w:r>
      <w:r w:rsidR="00E978C6" w:rsidRPr="002F0887">
        <w:rPr>
          <w:rFonts w:ascii="Times New Roman" w:hAnsi="Times New Roman" w:cs="Times New Roman"/>
          <w:noProof/>
          <w:color w:val="242021"/>
          <w:sz w:val="24"/>
          <w:szCs w:val="24"/>
        </w:rPr>
        <w:t>Verguet et al. (2015c)</w:t>
      </w:r>
      <w:r w:rsidR="00E978C6" w:rsidRPr="002F0887">
        <w:rPr>
          <w:rFonts w:ascii="Times New Roman" w:hAnsi="Times New Roman" w:cs="Times New Roman"/>
          <w:color w:val="242021"/>
          <w:sz w:val="24"/>
          <w:szCs w:val="24"/>
        </w:rPr>
        <w:fldChar w:fldCharType="end"/>
      </w:r>
      <w:r w:rsidR="00E978C6" w:rsidRPr="002F0887">
        <w:rPr>
          <w:rFonts w:ascii="Times New Roman" w:hAnsi="Times New Roman" w:cs="Times New Roman"/>
          <w:color w:val="242021"/>
          <w:sz w:val="24"/>
          <w:szCs w:val="24"/>
        </w:rPr>
        <w:t xml:space="preserve">, </w:t>
      </w:r>
      <w:r w:rsidR="00E978C6">
        <w:rPr>
          <w:rFonts w:ascii="Times New Roman" w:hAnsi="Times New Roman" w:cs="Times New Roman"/>
          <w:color w:val="242021"/>
          <w:sz w:val="24"/>
          <w:szCs w:val="24"/>
        </w:rPr>
        <w:t>FRP</w:t>
      </w:r>
      <w:r w:rsidR="00E978C6" w:rsidRPr="002F0887">
        <w:rPr>
          <w:rFonts w:ascii="Times New Roman" w:hAnsi="Times New Roman" w:cs="Times New Roman"/>
          <w:color w:val="242021"/>
          <w:sz w:val="24"/>
          <w:szCs w:val="24"/>
        </w:rPr>
        <w:t xml:space="preserve"> is emerging as a relevant component of national health strategies in LMICs.</w:t>
      </w:r>
      <w:r w:rsidR="00515E73">
        <w:rPr>
          <w:rFonts w:ascii="Times New Roman" w:hAnsi="Times New Roman" w:cs="Times New Roman"/>
          <w:color w:val="242021"/>
          <w:sz w:val="24"/>
          <w:szCs w:val="24"/>
        </w:rPr>
        <w:t xml:space="preserve"> E</w:t>
      </w:r>
      <w:r w:rsidR="00E978C6" w:rsidRPr="002F0887">
        <w:rPr>
          <w:rFonts w:ascii="Times New Roman" w:hAnsi="Times New Roman" w:cs="Times New Roman"/>
          <w:color w:val="242021"/>
          <w:sz w:val="24"/>
          <w:szCs w:val="24"/>
        </w:rPr>
        <w:t>liminating financial barriers to access would position universal public finance</w:t>
      </w:r>
      <w:r w:rsidR="00E978C6">
        <w:rPr>
          <w:rFonts w:ascii="Times New Roman" w:hAnsi="Times New Roman" w:cs="Times New Roman"/>
          <w:color w:val="242021"/>
          <w:sz w:val="24"/>
          <w:szCs w:val="24"/>
        </w:rPr>
        <w:t xml:space="preserve"> (UPF)</w:t>
      </w:r>
      <w:r w:rsidR="00E978C6">
        <w:rPr>
          <w:rStyle w:val="FootnoteReference"/>
          <w:rFonts w:ascii="Times New Roman" w:hAnsi="Times New Roman" w:cs="Times New Roman"/>
          <w:color w:val="242021"/>
          <w:sz w:val="24"/>
          <w:szCs w:val="24"/>
        </w:rPr>
        <w:footnoteReference w:id="1"/>
      </w:r>
      <w:r w:rsidR="00E978C6" w:rsidRPr="002F0887">
        <w:rPr>
          <w:rFonts w:ascii="Times New Roman" w:hAnsi="Times New Roman" w:cs="Times New Roman"/>
          <w:color w:val="242021"/>
          <w:sz w:val="24"/>
          <w:szCs w:val="24"/>
        </w:rPr>
        <w:t xml:space="preserve"> as a crucial policy device </w:t>
      </w:r>
      <w:r w:rsidR="00E2453F">
        <w:rPr>
          <w:rFonts w:ascii="Times New Roman" w:hAnsi="Times New Roman" w:cs="Times New Roman"/>
          <w:color w:val="242021"/>
          <w:sz w:val="24"/>
          <w:szCs w:val="24"/>
        </w:rPr>
        <w:t xml:space="preserve">for </w:t>
      </w:r>
      <w:r w:rsidR="00E978C6" w:rsidRPr="002F0887">
        <w:rPr>
          <w:rFonts w:ascii="Times New Roman" w:hAnsi="Times New Roman" w:cs="Times New Roman"/>
          <w:color w:val="242021"/>
          <w:sz w:val="24"/>
          <w:szCs w:val="24"/>
        </w:rPr>
        <w:t>attain</w:t>
      </w:r>
      <w:r w:rsidR="003B40AE">
        <w:rPr>
          <w:rFonts w:ascii="Times New Roman" w:hAnsi="Times New Roman" w:cs="Times New Roman"/>
          <w:color w:val="242021"/>
          <w:sz w:val="24"/>
          <w:szCs w:val="24"/>
        </w:rPr>
        <w:t>ing</w:t>
      </w:r>
      <w:r w:rsidR="00E978C6" w:rsidRPr="002F0887">
        <w:rPr>
          <w:rFonts w:ascii="Times New Roman" w:hAnsi="Times New Roman" w:cs="Times New Roman"/>
          <w:color w:val="242021"/>
          <w:sz w:val="24"/>
          <w:szCs w:val="24"/>
        </w:rPr>
        <w:t xml:space="preserve"> </w:t>
      </w:r>
      <w:r w:rsidR="00E978C6">
        <w:rPr>
          <w:rFonts w:ascii="Times New Roman" w:hAnsi="Times New Roman" w:cs="Times New Roman"/>
          <w:color w:val="242021"/>
          <w:sz w:val="24"/>
          <w:szCs w:val="24"/>
        </w:rPr>
        <w:t>UHC</w:t>
      </w:r>
      <w:r w:rsidR="00544FA1">
        <w:rPr>
          <w:rStyle w:val="FootnoteReference"/>
          <w:rFonts w:ascii="Times New Roman" w:hAnsi="Times New Roman" w:cs="Times New Roman"/>
          <w:color w:val="242021"/>
          <w:sz w:val="24"/>
          <w:szCs w:val="24"/>
        </w:rPr>
        <w:footnoteReference w:id="2"/>
      </w:r>
      <w:r w:rsidR="00515E73">
        <w:rPr>
          <w:rFonts w:ascii="Times New Roman" w:hAnsi="Times New Roman" w:cs="Times New Roman"/>
          <w:color w:val="242021"/>
          <w:sz w:val="24"/>
          <w:szCs w:val="24"/>
        </w:rPr>
        <w:t xml:space="preserve"> (</w:t>
      </w:r>
      <w:r w:rsidR="00515E73" w:rsidRPr="002F0887">
        <w:rPr>
          <w:rFonts w:ascii="Times New Roman" w:hAnsi="Times New Roman" w:cs="Times New Roman"/>
          <w:color w:val="242021"/>
          <w:sz w:val="24"/>
          <w:szCs w:val="24"/>
        </w:rPr>
        <w:fldChar w:fldCharType="begin" w:fldLock="1"/>
      </w:r>
      <w:r w:rsidR="00515E73">
        <w:rPr>
          <w:rFonts w:ascii="Times New Roman" w:hAnsi="Times New Roman" w:cs="Times New Roman"/>
          <w:color w:val="242021"/>
          <w:sz w:val="24"/>
          <w:szCs w:val="24"/>
        </w:rPr>
        <w:instrText>ADDIN CSL_CITATION {"citationItems":[{"id":"ITEM-1","itemData":{"DOI":"10.1016/S2214-109X(14)70346-8","ISSN":"2214109X","PMID":"25889470","abstract":"Background: The way in which a government chooses to finance a health intervention can affect the uptake of health interventions and consequently the extent of health gains. In addition to health gains, some policies such as public finance can insure against catastrophic health expenditures. We aimed to evaluate the health and financial risk protection benefits of selected interventions that could be publicly financed by the government of Ethiopia. Methods: We used extended cost-effectiveness analysis to assess the health gains (deaths averted) and financial risk protection afforded (cases of poverty averted) by a bundle of nine (among many other) interventions that the Government of Ethiopia aims to make universally available. These nine interventions were measles vaccination, rotavirus vaccination, pneumococcal conjugate vaccination, diarrhoea treatment, malaria treatment, pneumonia treatment, caesarean section surgery, hypertension treatment, and tuberculosis treatment. Findings: Our analysis shows that, per dollar spent by the Ethiopian Government, the interventions that avert the most deaths are measles vaccination (367 deaths averted per $100 000 spent), pneumococcal conjugate vaccination (170 deaths averted per $100 000 spent), and caesarean section surgery (141 deaths averted per $100 000 spent). The interventions that avert the most cases of poverty are caesarean section surgery (98 cases averted per $100 000 spent), tuberculosis treatment (96 cases averted per $100 000 spent), and hypertension treatment (84 cases averted per $100 000 spent). Interpretation: Our approach incorporates financial risk protection into the economic evaluation of health interventions and therefore provides information about the efficiency of attainment of both major objectives of a health system: improved health and financial risk protection. One intervention might rank higher on one or both metrics than another, which shows how intervention choice-the selection of a pathway to universal health coverage-might involve weighing up of sometimes competing objectives. This understanding can help policy makers to select interventions to target specific policy goals (ie, improved health or financial risk protection). It is especially relevant for the design and sequencing of universal health coverage to meet the needs of poor populations. Funding: Bill &amp; Melinda Gates Foundation.","author":[{"dropping-particle":"","family":"Verguet","given":"Stéphane","non-dropping-particle":"","parse-names":false,"suffix":""},{"dropping-particle":"","family":"Olson","given":"Zachary D.","non-dropping-particle":"","parse-names":false,"suffix":""},{"dropping-particle":"","family":"Babigumira","given":"Joseph B.","non-dropping-particle":"","parse-names":false,"suffix":""},{"dropping-particle":"","family":"Desalegn","given":"Dawit","non-dropping-particle":"","parse-names":false,"suffix":""},{"dropping-particle":"","family":"Johansson","given":"Kjell Arne","non-dropping-particle":"","parse-names":false,"suffix":""},{"dropping-particle":"","family":"Kruk","given":"Margaret E.","non-dropping-particle":"","parse-names":false,"suffix":""},{"dropping-particle":"","family":"Levin","given":"Carol E.","non-dropping-particle":"","parse-names":false,"suffix":""},{"dropping-particle":"","family":"Nugent","given":"Rachel A.","non-dropping-particle":"","parse-names":false,"suffix":""},{"dropping-particle":"","family":"Pecenka","given":"Clint","non-dropping-particle":"","parse-names":false,"suffix":""},{"dropping-particle":"","family":"Shrime","given":"Mark G.","non-dropping-particle":"","parse-names":false,"suffix":""},{"dropping-particle":"","family":"Memirie","given":"Solomon Tessema","non-dropping-particle":"","parse-names":false,"suffix":""},{"dropping-particle":"","family":"Watkins","given":"David A.","non-dropping-particle":"","parse-names":false,"suffix":""},{"dropping-particle":"","family":"Jamison","given":"Dean T.","non-dropping-particle":"","parse-names":false,"suffix":""}],"container-title":"The Lancet Global Health","id":"ITEM-1","issue":"5","issued":{"date-parts":[["2015"]]},"page":"e288-e296","title":"Health gains and financial risk protection afforded by public financing of selected interventions in ethiopia: An extended cost-effectiveness analysis","type":"article-journal","volume":"3"},"uris":["http://www.mendeley.com/documents/?uuid=12e403e9-b448-4caf-ad9e-4d7615c01f56"]}],"mendeley":{"formattedCitation":"(Verguet, Olson, et al., 2015)","manualFormatting":"Verguet et al., 2015c)","plainTextFormattedCitation":"(Verguet, Olson, et al., 2015)","previouslyFormattedCitation":"(Verguet, Olson, et al., 2015)"},"properties":{"noteIndex":0},"schema":"https://github.com/citation-style-language/schema/raw/master/csl-citation.json"}</w:instrText>
      </w:r>
      <w:r w:rsidR="00515E73" w:rsidRPr="002F0887">
        <w:rPr>
          <w:rFonts w:ascii="Times New Roman" w:hAnsi="Times New Roman" w:cs="Times New Roman"/>
          <w:color w:val="242021"/>
          <w:sz w:val="24"/>
          <w:szCs w:val="24"/>
        </w:rPr>
        <w:fldChar w:fldCharType="separate"/>
      </w:r>
      <w:r w:rsidR="00515E73" w:rsidRPr="002F0887">
        <w:rPr>
          <w:rFonts w:ascii="Times New Roman" w:hAnsi="Times New Roman" w:cs="Times New Roman"/>
          <w:noProof/>
          <w:color w:val="242021"/>
          <w:sz w:val="24"/>
          <w:szCs w:val="24"/>
        </w:rPr>
        <w:t>Verguet et al.</w:t>
      </w:r>
      <w:r w:rsidR="00515E73">
        <w:rPr>
          <w:rFonts w:ascii="Times New Roman" w:hAnsi="Times New Roman" w:cs="Times New Roman"/>
          <w:noProof/>
          <w:color w:val="242021"/>
          <w:sz w:val="24"/>
          <w:szCs w:val="24"/>
        </w:rPr>
        <w:t xml:space="preserve">, </w:t>
      </w:r>
      <w:r w:rsidR="00515E73" w:rsidRPr="002F0887">
        <w:rPr>
          <w:rFonts w:ascii="Times New Roman" w:hAnsi="Times New Roman" w:cs="Times New Roman"/>
          <w:noProof/>
          <w:color w:val="242021"/>
          <w:sz w:val="24"/>
          <w:szCs w:val="24"/>
        </w:rPr>
        <w:t>2015c)</w:t>
      </w:r>
      <w:r w:rsidR="00515E73" w:rsidRPr="002F0887">
        <w:rPr>
          <w:rFonts w:ascii="Times New Roman" w:hAnsi="Times New Roman" w:cs="Times New Roman"/>
          <w:color w:val="242021"/>
          <w:sz w:val="24"/>
          <w:szCs w:val="24"/>
        </w:rPr>
        <w:fldChar w:fldCharType="end"/>
      </w:r>
      <w:r w:rsidR="008F10F5">
        <w:rPr>
          <w:rFonts w:ascii="Times New Roman" w:hAnsi="Times New Roman" w:cs="Times New Roman"/>
          <w:color w:val="242021"/>
          <w:sz w:val="24"/>
          <w:szCs w:val="24"/>
        </w:rPr>
        <w:t>, which</w:t>
      </w:r>
      <w:r w:rsidR="008A0554" w:rsidRPr="002F0887">
        <w:rPr>
          <w:rFonts w:ascii="Times New Roman" w:hAnsi="Times New Roman" w:cs="Times New Roman"/>
          <w:sz w:val="24"/>
          <w:szCs w:val="24"/>
        </w:rPr>
        <w:t xml:space="preserve"> </w:t>
      </w:r>
      <w:r w:rsidR="008A0554" w:rsidRPr="002F0887">
        <w:rPr>
          <w:rFonts w:ascii="Times New Roman" w:hAnsi="Times New Roman" w:cs="Times New Roman"/>
          <w:sz w:val="24"/>
          <w:szCs w:val="24"/>
        </w:rPr>
        <w:t xml:space="preserve">is necessary </w:t>
      </w:r>
      <w:r w:rsidR="008A0554">
        <w:rPr>
          <w:rFonts w:ascii="Times New Roman" w:hAnsi="Times New Roman" w:cs="Times New Roman"/>
          <w:sz w:val="24"/>
          <w:szCs w:val="24"/>
        </w:rPr>
        <w:t>for</w:t>
      </w:r>
      <w:r w:rsidR="008A0554" w:rsidRPr="002F0887">
        <w:rPr>
          <w:rFonts w:ascii="Times New Roman" w:hAnsi="Times New Roman" w:cs="Times New Roman"/>
          <w:sz w:val="24"/>
          <w:szCs w:val="24"/>
        </w:rPr>
        <w:t xml:space="preserve"> reducing morbidity and mortality across populations and countries</w:t>
      </w:r>
      <w:r w:rsidR="008A0554">
        <w:rPr>
          <w:rFonts w:ascii="Times New Roman" w:hAnsi="Times New Roman" w:cs="Times New Roman"/>
          <w:sz w:val="24"/>
          <w:szCs w:val="24"/>
        </w:rPr>
        <w:t>,</w:t>
      </w:r>
      <w:r w:rsidR="008A0554" w:rsidRPr="002F0887">
        <w:rPr>
          <w:rFonts w:ascii="Times New Roman" w:hAnsi="Times New Roman" w:cs="Times New Roman"/>
          <w:sz w:val="24"/>
          <w:szCs w:val="24"/>
        </w:rPr>
        <w:t xml:space="preserve"> especially in LMICs</w:t>
      </w:r>
      <w:r w:rsidR="008A0554">
        <w:rPr>
          <w:rFonts w:ascii="Times New Roman" w:hAnsi="Times New Roman" w:cs="Times New Roman"/>
          <w:color w:val="242021"/>
          <w:sz w:val="24"/>
          <w:szCs w:val="24"/>
        </w:rPr>
        <w:t xml:space="preserve">. </w:t>
      </w:r>
      <w:r w:rsidR="000B4AB9">
        <w:rPr>
          <w:rFonts w:ascii="Times New Roman" w:hAnsi="Times New Roman" w:cs="Times New Roman"/>
          <w:color w:val="242021"/>
          <w:sz w:val="24"/>
          <w:szCs w:val="24"/>
        </w:rPr>
        <w:t xml:space="preserve">Thus, </w:t>
      </w:r>
      <w:r w:rsidR="002D24C1">
        <w:rPr>
          <w:rFonts w:ascii="Times New Roman" w:hAnsi="Times New Roman" w:cs="Times New Roman"/>
          <w:color w:val="242021"/>
          <w:sz w:val="24"/>
          <w:szCs w:val="24"/>
        </w:rPr>
        <w:t>evaluati</w:t>
      </w:r>
      <w:r w:rsidR="00380419">
        <w:rPr>
          <w:rFonts w:ascii="Times New Roman" w:hAnsi="Times New Roman" w:cs="Times New Roman"/>
          <w:color w:val="242021"/>
          <w:sz w:val="24"/>
          <w:szCs w:val="24"/>
        </w:rPr>
        <w:t>ng</w:t>
      </w:r>
      <w:r w:rsidR="002D24C1">
        <w:rPr>
          <w:rFonts w:ascii="Times New Roman" w:hAnsi="Times New Roman" w:cs="Times New Roman"/>
          <w:color w:val="242021"/>
          <w:sz w:val="24"/>
          <w:szCs w:val="24"/>
        </w:rPr>
        <w:t xml:space="preserve"> </w:t>
      </w:r>
      <w:r w:rsidR="00BC5E5E">
        <w:rPr>
          <w:rFonts w:ascii="Times New Roman" w:hAnsi="Times New Roman" w:cs="Times New Roman"/>
          <w:color w:val="242021"/>
          <w:sz w:val="24"/>
          <w:szCs w:val="24"/>
        </w:rPr>
        <w:t>health polic</w:t>
      </w:r>
      <w:r w:rsidR="00E27145">
        <w:rPr>
          <w:rFonts w:ascii="Times New Roman" w:hAnsi="Times New Roman" w:cs="Times New Roman"/>
          <w:color w:val="242021"/>
          <w:sz w:val="24"/>
          <w:szCs w:val="24"/>
        </w:rPr>
        <w:t>y interventions</w:t>
      </w:r>
      <w:r w:rsidR="000B4AB9">
        <w:rPr>
          <w:rFonts w:ascii="Times New Roman" w:hAnsi="Times New Roman" w:cs="Times New Roman"/>
          <w:color w:val="242021"/>
          <w:sz w:val="24"/>
          <w:szCs w:val="24"/>
        </w:rPr>
        <w:t xml:space="preserve"> </w:t>
      </w:r>
      <w:r w:rsidR="00BC5E5E">
        <w:rPr>
          <w:rFonts w:ascii="Times New Roman" w:hAnsi="Times New Roman" w:cs="Times New Roman"/>
          <w:color w:val="242021"/>
          <w:sz w:val="24"/>
          <w:szCs w:val="24"/>
        </w:rPr>
        <w:t>based on health and non-</w:t>
      </w:r>
      <w:r w:rsidR="00274CA4">
        <w:rPr>
          <w:rFonts w:ascii="Times New Roman" w:hAnsi="Times New Roman" w:cs="Times New Roman"/>
          <w:color w:val="242021"/>
          <w:sz w:val="24"/>
          <w:szCs w:val="24"/>
        </w:rPr>
        <w:t>h</w:t>
      </w:r>
      <w:r w:rsidR="00BC5E5E">
        <w:rPr>
          <w:rFonts w:ascii="Times New Roman" w:hAnsi="Times New Roman" w:cs="Times New Roman"/>
          <w:color w:val="242021"/>
          <w:sz w:val="24"/>
          <w:szCs w:val="24"/>
        </w:rPr>
        <w:t>ealth (i.e.</w:t>
      </w:r>
      <w:r w:rsidR="004B5B37">
        <w:rPr>
          <w:rFonts w:ascii="Times New Roman" w:hAnsi="Times New Roman" w:cs="Times New Roman"/>
          <w:color w:val="242021"/>
          <w:sz w:val="24"/>
          <w:szCs w:val="24"/>
        </w:rPr>
        <w:t>,</w:t>
      </w:r>
      <w:r w:rsidR="00BC5E5E">
        <w:rPr>
          <w:rFonts w:ascii="Times New Roman" w:hAnsi="Times New Roman" w:cs="Times New Roman"/>
          <w:color w:val="242021"/>
          <w:sz w:val="24"/>
          <w:szCs w:val="24"/>
        </w:rPr>
        <w:t xml:space="preserve"> </w:t>
      </w:r>
      <w:r w:rsidR="0023215E">
        <w:rPr>
          <w:rFonts w:ascii="Times New Roman" w:hAnsi="Times New Roman" w:cs="Times New Roman"/>
          <w:color w:val="242021"/>
          <w:sz w:val="24"/>
          <w:szCs w:val="24"/>
        </w:rPr>
        <w:t>FC</w:t>
      </w:r>
      <w:r w:rsidR="00BC5E5E">
        <w:rPr>
          <w:rFonts w:ascii="Times New Roman" w:hAnsi="Times New Roman" w:cs="Times New Roman"/>
          <w:color w:val="242021"/>
          <w:sz w:val="24"/>
          <w:szCs w:val="24"/>
        </w:rPr>
        <w:t xml:space="preserve"> and </w:t>
      </w:r>
      <w:r w:rsidR="002D24C1">
        <w:rPr>
          <w:rFonts w:ascii="Times New Roman" w:hAnsi="Times New Roman" w:cs="Times New Roman"/>
          <w:color w:val="242021"/>
          <w:sz w:val="24"/>
          <w:szCs w:val="24"/>
        </w:rPr>
        <w:t>FRP</w:t>
      </w:r>
      <w:r w:rsidR="00BC5E5E">
        <w:rPr>
          <w:rFonts w:ascii="Times New Roman" w:hAnsi="Times New Roman" w:cs="Times New Roman"/>
          <w:color w:val="242021"/>
          <w:sz w:val="24"/>
          <w:szCs w:val="24"/>
        </w:rPr>
        <w:t>)</w:t>
      </w:r>
      <w:r w:rsidR="004603BF">
        <w:rPr>
          <w:rFonts w:ascii="Times New Roman" w:hAnsi="Times New Roman" w:cs="Times New Roman"/>
          <w:color w:val="242021"/>
          <w:sz w:val="24"/>
          <w:szCs w:val="24"/>
        </w:rPr>
        <w:t xml:space="preserve"> impacts</w:t>
      </w:r>
      <w:r w:rsidR="0001322A">
        <w:rPr>
          <w:rFonts w:ascii="Times New Roman" w:hAnsi="Times New Roman" w:cs="Times New Roman"/>
          <w:color w:val="242021"/>
          <w:sz w:val="24"/>
          <w:szCs w:val="24"/>
        </w:rPr>
        <w:t xml:space="preserve"> and distributional consequences</w:t>
      </w:r>
      <w:r w:rsidR="002D24C1">
        <w:rPr>
          <w:rFonts w:ascii="Times New Roman" w:hAnsi="Times New Roman" w:cs="Times New Roman"/>
          <w:color w:val="242021"/>
          <w:sz w:val="24"/>
          <w:szCs w:val="24"/>
        </w:rPr>
        <w:t xml:space="preserve"> </w:t>
      </w:r>
      <w:r w:rsidR="002D24C1">
        <w:rPr>
          <w:rFonts w:ascii="Times New Roman" w:hAnsi="Times New Roman" w:cs="Times New Roman"/>
          <w:sz w:val="24"/>
          <w:szCs w:val="24"/>
        </w:rPr>
        <w:t xml:space="preserve">is </w:t>
      </w:r>
      <w:r w:rsidR="00417BE9">
        <w:rPr>
          <w:rFonts w:ascii="Times New Roman" w:hAnsi="Times New Roman" w:cs="Times New Roman"/>
          <w:sz w:val="24"/>
          <w:szCs w:val="24"/>
        </w:rPr>
        <w:t>relevant</w:t>
      </w:r>
      <w:r w:rsidR="000B4AB9">
        <w:rPr>
          <w:rFonts w:ascii="Times New Roman" w:hAnsi="Times New Roman" w:cs="Times New Roman"/>
          <w:sz w:val="24"/>
          <w:szCs w:val="24"/>
        </w:rPr>
        <w:t xml:space="preserve"> </w:t>
      </w:r>
      <w:r w:rsidR="0076079B">
        <w:rPr>
          <w:rFonts w:ascii="Times New Roman" w:hAnsi="Times New Roman" w:cs="Times New Roman"/>
          <w:sz w:val="24"/>
          <w:szCs w:val="24"/>
        </w:rPr>
        <w:t>in</w:t>
      </w:r>
      <w:r w:rsidR="000B4AB9">
        <w:rPr>
          <w:rFonts w:ascii="Times New Roman" w:hAnsi="Times New Roman" w:cs="Times New Roman"/>
          <w:sz w:val="24"/>
          <w:szCs w:val="24"/>
        </w:rPr>
        <w:t xml:space="preserve"> attain</w:t>
      </w:r>
      <w:r w:rsidR="0076079B">
        <w:rPr>
          <w:rFonts w:ascii="Times New Roman" w:hAnsi="Times New Roman" w:cs="Times New Roman"/>
          <w:sz w:val="24"/>
          <w:szCs w:val="24"/>
        </w:rPr>
        <w:t>ing</w:t>
      </w:r>
      <w:r w:rsidR="000B4AB9">
        <w:rPr>
          <w:rFonts w:ascii="Times New Roman" w:hAnsi="Times New Roman" w:cs="Times New Roman"/>
          <w:sz w:val="24"/>
          <w:szCs w:val="24"/>
        </w:rPr>
        <w:t xml:space="preserve"> UHC </w:t>
      </w:r>
      <w:r w:rsidR="000B4AB9">
        <w:rPr>
          <w:rFonts w:ascii="Times New Roman" w:hAnsi="Times New Roman" w:cs="Times New Roman"/>
          <w:sz w:val="24"/>
          <w:szCs w:val="24"/>
        </w:rPr>
        <w:lastRenderedPageBreak/>
        <w:t>in LMICs</w:t>
      </w:r>
      <w:r w:rsidR="00E27145">
        <w:rPr>
          <w:rFonts w:ascii="Times New Roman" w:hAnsi="Times New Roman" w:cs="Times New Roman"/>
          <w:sz w:val="24"/>
          <w:szCs w:val="24"/>
        </w:rPr>
        <w:t xml:space="preserve"> and </w:t>
      </w:r>
      <w:r w:rsidR="0076079B">
        <w:rPr>
          <w:rFonts w:ascii="Times New Roman" w:hAnsi="Times New Roman" w:cs="Times New Roman"/>
          <w:sz w:val="24"/>
          <w:szCs w:val="24"/>
        </w:rPr>
        <w:t xml:space="preserve">in </w:t>
      </w:r>
      <w:r w:rsidR="00E27145">
        <w:rPr>
          <w:rFonts w:ascii="Times New Roman" w:hAnsi="Times New Roman" w:cs="Times New Roman"/>
          <w:sz w:val="24"/>
          <w:szCs w:val="24"/>
        </w:rPr>
        <w:t>guid</w:t>
      </w:r>
      <w:r w:rsidR="0076079B">
        <w:rPr>
          <w:rFonts w:ascii="Times New Roman" w:hAnsi="Times New Roman" w:cs="Times New Roman"/>
          <w:sz w:val="24"/>
          <w:szCs w:val="24"/>
        </w:rPr>
        <w:t>ing</w:t>
      </w:r>
      <w:r w:rsidR="00E27145">
        <w:rPr>
          <w:rFonts w:ascii="Times New Roman" w:hAnsi="Times New Roman" w:cs="Times New Roman"/>
          <w:sz w:val="24"/>
          <w:szCs w:val="24"/>
        </w:rPr>
        <w:t xml:space="preserve"> policy </w:t>
      </w:r>
      <w:r w:rsidR="00F1655B">
        <w:rPr>
          <w:rFonts w:ascii="Times New Roman" w:hAnsi="Times New Roman" w:cs="Times New Roman"/>
          <w:sz w:val="24"/>
          <w:szCs w:val="24"/>
        </w:rPr>
        <w:t xml:space="preserve">formulation and </w:t>
      </w:r>
      <w:r w:rsidR="00E27145">
        <w:rPr>
          <w:rFonts w:ascii="Times New Roman" w:hAnsi="Times New Roman" w:cs="Times New Roman"/>
          <w:sz w:val="24"/>
          <w:szCs w:val="24"/>
        </w:rPr>
        <w:t>decision-making</w:t>
      </w:r>
      <w:r w:rsidR="002D24C1">
        <w:rPr>
          <w:rFonts w:ascii="Times New Roman" w:hAnsi="Times New Roman" w:cs="Times New Roman"/>
          <w:sz w:val="24"/>
          <w:szCs w:val="24"/>
        </w:rPr>
        <w:t>.</w:t>
      </w:r>
      <w:r w:rsidR="00347704">
        <w:rPr>
          <w:rFonts w:ascii="Times New Roman" w:hAnsi="Times New Roman" w:cs="Times New Roman"/>
          <w:sz w:val="24"/>
          <w:szCs w:val="24"/>
        </w:rPr>
        <w:t xml:space="preserve"> </w:t>
      </w:r>
      <w:r w:rsidR="00274CA4">
        <w:rPr>
          <w:rFonts w:ascii="Times New Roman" w:hAnsi="Times New Roman" w:cs="Times New Roman"/>
          <w:color w:val="242021"/>
          <w:sz w:val="24"/>
          <w:szCs w:val="24"/>
        </w:rPr>
        <w:t>T</w:t>
      </w:r>
      <w:r w:rsidR="00274CA4" w:rsidRPr="002F0887">
        <w:rPr>
          <w:rFonts w:ascii="Times New Roman" w:hAnsi="Times New Roman" w:cs="Times New Roman"/>
          <w:color w:val="242021"/>
          <w:sz w:val="24"/>
          <w:szCs w:val="24"/>
        </w:rPr>
        <w:t xml:space="preserve">he World Bank’s Flagship course in health finance included provision for </w:t>
      </w:r>
      <w:r w:rsidR="00274CA4">
        <w:rPr>
          <w:rFonts w:ascii="Times New Roman" w:hAnsi="Times New Roman" w:cs="Times New Roman"/>
          <w:color w:val="242021"/>
          <w:sz w:val="24"/>
          <w:szCs w:val="24"/>
        </w:rPr>
        <w:t>FRP</w:t>
      </w:r>
      <w:r w:rsidR="00274CA4" w:rsidRPr="002F0887">
        <w:rPr>
          <w:rFonts w:ascii="Times New Roman" w:hAnsi="Times New Roman" w:cs="Times New Roman"/>
          <w:color w:val="242021"/>
          <w:sz w:val="24"/>
          <w:szCs w:val="24"/>
        </w:rPr>
        <w:t xml:space="preserve"> as one criterion of good performance for health systems</w:t>
      </w:r>
      <w:r w:rsidR="00935EAF">
        <w:rPr>
          <w:rFonts w:ascii="Times New Roman" w:hAnsi="Times New Roman" w:cs="Times New Roman"/>
          <w:color w:val="242021"/>
          <w:sz w:val="24"/>
          <w:szCs w:val="24"/>
        </w:rPr>
        <w:t xml:space="preserve"> </w:t>
      </w:r>
      <w:r w:rsidR="00935EAF">
        <w:rPr>
          <w:rFonts w:ascii="Times New Roman" w:hAnsi="Times New Roman" w:cs="Times New Roman"/>
          <w:color w:val="242021"/>
          <w:sz w:val="24"/>
          <w:szCs w:val="24"/>
        </w:rPr>
        <w:t>(</w:t>
      </w:r>
      <w:r w:rsidR="00935EAF" w:rsidRPr="002F0887">
        <w:rPr>
          <w:rFonts w:ascii="Times New Roman" w:hAnsi="Times New Roman" w:cs="Times New Roman"/>
          <w:color w:val="242021"/>
          <w:sz w:val="24"/>
          <w:szCs w:val="24"/>
        </w:rPr>
        <w:fldChar w:fldCharType="begin" w:fldLock="1"/>
      </w:r>
      <w:r w:rsidR="00935EAF">
        <w:rPr>
          <w:rFonts w:ascii="Times New Roman" w:hAnsi="Times New Roman" w:cs="Times New Roman"/>
          <w:color w:val="242021"/>
          <w:sz w:val="24"/>
          <w:szCs w:val="24"/>
        </w:rPr>
        <w:instrText>ADDIN CSL_CITATION {"citationItems":[{"id":"ITEM-1","itemData":{"DOI":"10.1016/S2214-109X(14)70346-8","ISSN":"2214109X","PMID":"25889470","abstract":"Background: The way in which a government chooses to finance a health intervention can affect the uptake of health interventions and consequently the extent of health gains. In addition to health gains, some policies such as public finance can insure against catastrophic health expenditures. We aimed to evaluate the health and financial risk protection benefits of selected interventions that could be publicly financed by the government of Ethiopia. Methods: We used extended cost-effectiveness analysis to assess the health gains (deaths averted) and financial risk protection afforded (cases of poverty averted) by a bundle of nine (among many other) interventions that the Government of Ethiopia aims to make universally available. These nine interventions were measles vaccination, rotavirus vaccination, pneumococcal conjugate vaccination, diarrhoea treatment, malaria treatment, pneumonia treatment, caesarean section surgery, hypertension treatment, and tuberculosis treatment. Findings: Our analysis shows that, per dollar spent by the Ethiopian Government, the interventions that avert the most deaths are measles vaccination (367 deaths averted per $100 000 spent), pneumococcal conjugate vaccination (170 deaths averted per $100 000 spent), and caesarean section surgery (141 deaths averted per $100 000 spent). The interventions that avert the most cases of poverty are caesarean section surgery (98 cases averted per $100 000 spent), tuberculosis treatment (96 cases averted per $100 000 spent), and hypertension treatment (84 cases averted per $100 000 spent). Interpretation: Our approach incorporates financial risk protection into the economic evaluation of health interventions and therefore provides information about the efficiency of attainment of both major objectives of a health system: improved health and financial risk protection. One intervention might rank higher on one or both metrics than another, which shows how intervention choice-the selection of a pathway to universal health coverage-might involve weighing up of sometimes competing objectives. This understanding can help policy makers to select interventions to target specific policy goals (ie, improved health or financial risk protection). It is especially relevant for the design and sequencing of universal health coverage to meet the needs of poor populations. Funding: Bill &amp; Melinda Gates Foundation.","author":[{"dropping-particle":"","family":"Verguet","given":"Stéphane","non-dropping-particle":"","parse-names":false,"suffix":""},{"dropping-particle":"","family":"Olson","given":"Zachary D.","non-dropping-particle":"","parse-names":false,"suffix":""},{"dropping-particle":"","family":"Babigumira","given":"Joseph B.","non-dropping-particle":"","parse-names":false,"suffix":""},{"dropping-particle":"","family":"Desalegn","given":"Dawit","non-dropping-particle":"","parse-names":false,"suffix":""},{"dropping-particle":"","family":"Johansson","given":"Kjell Arne","non-dropping-particle":"","parse-names":false,"suffix":""},{"dropping-particle":"","family":"Kruk","given":"Margaret E.","non-dropping-particle":"","parse-names":false,"suffix":""},{"dropping-particle":"","family":"Levin","given":"Carol E.","non-dropping-particle":"","parse-names":false,"suffix":""},{"dropping-particle":"","family":"Nugent","given":"Rachel A.","non-dropping-particle":"","parse-names":false,"suffix":""},{"dropping-particle":"","family":"Pecenka","given":"Clint","non-dropping-particle":"","parse-names":false,"suffix":""},{"dropping-particle":"","family":"Shrime","given":"Mark G.","non-dropping-particle":"","parse-names":false,"suffix":""},{"dropping-particle":"","family":"Memirie","given":"Solomon Tessema","non-dropping-particle":"","parse-names":false,"suffix":""},{"dropping-particle":"","family":"Watkins","given":"David A.","non-dropping-particle":"","parse-names":false,"suffix":""},{"dropping-particle":"","family":"Jamison","given":"Dean T.","non-dropping-particle":"","parse-names":false,"suffix":""}],"container-title":"The Lancet Global Health","id":"ITEM-1","issue":"5","issued":{"date-parts":[["2015"]]},"page":"e288-e296","title":"Health gains and financial risk protection afforded by public financing of selected interventions in ethiopia: An extended cost-effectiveness analysis","type":"article-journal","volume":"3"},"uris":["http://www.mendeley.com/documents/?uuid=12e403e9-b448-4caf-ad9e-4d7615c01f56"]}],"mendeley":{"formattedCitation":"(Verguet, Olson, et al., 2015)","manualFormatting":"Verguet et al., 2015c)","plainTextFormattedCitation":"(Verguet, Olson, et al., 2015)","previouslyFormattedCitation":"(Verguet, Olson, et al., 2015)"},"properties":{"noteIndex":0},"schema":"https://github.com/citation-style-language/schema/raw/master/csl-citation.json"}</w:instrText>
      </w:r>
      <w:r w:rsidR="00935EAF" w:rsidRPr="002F0887">
        <w:rPr>
          <w:rFonts w:ascii="Times New Roman" w:hAnsi="Times New Roman" w:cs="Times New Roman"/>
          <w:color w:val="242021"/>
          <w:sz w:val="24"/>
          <w:szCs w:val="24"/>
        </w:rPr>
        <w:fldChar w:fldCharType="separate"/>
      </w:r>
      <w:r w:rsidR="00935EAF" w:rsidRPr="002F0887">
        <w:rPr>
          <w:rFonts w:ascii="Times New Roman" w:hAnsi="Times New Roman" w:cs="Times New Roman"/>
          <w:noProof/>
          <w:color w:val="242021"/>
          <w:sz w:val="24"/>
          <w:szCs w:val="24"/>
        </w:rPr>
        <w:t>Verguet et al.</w:t>
      </w:r>
      <w:r w:rsidR="00935EAF">
        <w:rPr>
          <w:rFonts w:ascii="Times New Roman" w:hAnsi="Times New Roman" w:cs="Times New Roman"/>
          <w:noProof/>
          <w:color w:val="242021"/>
          <w:sz w:val="24"/>
          <w:szCs w:val="24"/>
        </w:rPr>
        <w:t xml:space="preserve">, </w:t>
      </w:r>
      <w:r w:rsidR="00935EAF" w:rsidRPr="002F0887">
        <w:rPr>
          <w:rFonts w:ascii="Times New Roman" w:hAnsi="Times New Roman" w:cs="Times New Roman"/>
          <w:noProof/>
          <w:color w:val="242021"/>
          <w:sz w:val="24"/>
          <w:szCs w:val="24"/>
        </w:rPr>
        <w:t>2015c)</w:t>
      </w:r>
      <w:r w:rsidR="00935EAF" w:rsidRPr="002F0887">
        <w:rPr>
          <w:rFonts w:ascii="Times New Roman" w:hAnsi="Times New Roman" w:cs="Times New Roman"/>
          <w:color w:val="242021"/>
          <w:sz w:val="24"/>
          <w:szCs w:val="24"/>
        </w:rPr>
        <w:fldChar w:fldCharType="end"/>
      </w:r>
      <w:r w:rsidR="00274CA4">
        <w:rPr>
          <w:rFonts w:ascii="Times New Roman" w:hAnsi="Times New Roman" w:cs="Times New Roman"/>
          <w:color w:val="242021"/>
          <w:sz w:val="24"/>
          <w:szCs w:val="24"/>
        </w:rPr>
        <w:t xml:space="preserve"> because it leads to increase in the demand for healthcare and many positive outcomes</w:t>
      </w:r>
      <w:r w:rsidR="00757935">
        <w:rPr>
          <w:rFonts w:ascii="Times New Roman" w:hAnsi="Times New Roman" w:cs="Times New Roman"/>
          <w:color w:val="242021"/>
          <w:sz w:val="24"/>
          <w:szCs w:val="24"/>
        </w:rPr>
        <w:t xml:space="preserve"> for the population</w:t>
      </w:r>
      <w:r w:rsidR="00274CA4">
        <w:rPr>
          <w:rFonts w:ascii="Times New Roman" w:hAnsi="Times New Roman" w:cs="Times New Roman"/>
          <w:color w:val="242021"/>
          <w:sz w:val="24"/>
          <w:szCs w:val="24"/>
        </w:rPr>
        <w:t>.</w:t>
      </w:r>
    </w:p>
    <w:p w14:paraId="12251E7B" w14:textId="19ADA9BF" w:rsidR="007318D1" w:rsidRDefault="00DD1C84" w:rsidP="002F088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Driven by the importance of </w:t>
      </w:r>
      <w:r w:rsidR="00920B15">
        <w:rPr>
          <w:rFonts w:ascii="Times New Roman" w:hAnsi="Times New Roman" w:cs="Times New Roman"/>
          <w:sz w:val="24"/>
          <w:szCs w:val="24"/>
        </w:rPr>
        <w:t xml:space="preserve">equity and </w:t>
      </w:r>
      <w:r>
        <w:rPr>
          <w:rFonts w:ascii="Times New Roman" w:hAnsi="Times New Roman" w:cs="Times New Roman"/>
          <w:sz w:val="24"/>
          <w:szCs w:val="24"/>
        </w:rPr>
        <w:t>non-health benefits of polic</w:t>
      </w:r>
      <w:r w:rsidR="00077058">
        <w:rPr>
          <w:rFonts w:ascii="Times New Roman" w:hAnsi="Times New Roman" w:cs="Times New Roman"/>
          <w:sz w:val="24"/>
          <w:szCs w:val="24"/>
        </w:rPr>
        <w:t>y interventions</w:t>
      </w:r>
      <w:r>
        <w:rPr>
          <w:rFonts w:ascii="Times New Roman" w:hAnsi="Times New Roman" w:cs="Times New Roman"/>
          <w:sz w:val="24"/>
          <w:szCs w:val="24"/>
        </w:rPr>
        <w:t>, economists have developed strategies to measure them</w:t>
      </w:r>
      <w:r w:rsidR="00920B15">
        <w:rPr>
          <w:rFonts w:ascii="Times New Roman" w:hAnsi="Times New Roman" w:cs="Times New Roman"/>
          <w:sz w:val="24"/>
          <w:szCs w:val="24"/>
        </w:rPr>
        <w:t xml:space="preserve"> categorized </w:t>
      </w:r>
      <w:r w:rsidR="00145408">
        <w:rPr>
          <w:rFonts w:ascii="Times New Roman" w:hAnsi="Times New Roman" w:cs="Times New Roman"/>
          <w:sz w:val="24"/>
          <w:szCs w:val="24"/>
        </w:rPr>
        <w:t>into</w:t>
      </w:r>
      <w:r w:rsidR="00920B15">
        <w:rPr>
          <w:rFonts w:ascii="Times New Roman" w:hAnsi="Times New Roman" w:cs="Times New Roman"/>
          <w:sz w:val="24"/>
          <w:szCs w:val="24"/>
        </w:rPr>
        <w:t xml:space="preserve"> </w:t>
      </w:r>
      <w:r w:rsidR="00DA2C8F">
        <w:rPr>
          <w:rFonts w:ascii="Times New Roman" w:hAnsi="Times New Roman" w:cs="Times New Roman"/>
          <w:sz w:val="24"/>
          <w:szCs w:val="24"/>
        </w:rPr>
        <w:t>Equity trade-off analysis (ETA)</w:t>
      </w:r>
      <w:r w:rsidR="00DA2C8F">
        <w:rPr>
          <w:rFonts w:ascii="Times New Roman" w:hAnsi="Times New Roman" w:cs="Times New Roman"/>
          <w:sz w:val="24"/>
          <w:szCs w:val="24"/>
        </w:rPr>
        <w:t xml:space="preserve"> </w:t>
      </w:r>
      <w:r w:rsidR="00920B15">
        <w:rPr>
          <w:rFonts w:ascii="Times New Roman" w:hAnsi="Times New Roman" w:cs="Times New Roman"/>
          <w:sz w:val="24"/>
          <w:szCs w:val="24"/>
        </w:rPr>
        <w:t xml:space="preserve">and </w:t>
      </w:r>
      <w:r w:rsidR="00DA2C8F">
        <w:rPr>
          <w:rFonts w:ascii="Times New Roman" w:hAnsi="Times New Roman" w:cs="Times New Roman"/>
          <w:sz w:val="24"/>
          <w:szCs w:val="24"/>
        </w:rPr>
        <w:t>Equity impact analysis (EIA)</w:t>
      </w:r>
      <w:r>
        <w:rPr>
          <w:rFonts w:ascii="Times New Roman" w:hAnsi="Times New Roman" w:cs="Times New Roman"/>
          <w:sz w:val="24"/>
          <w:szCs w:val="24"/>
        </w:rPr>
        <w:t>.</w:t>
      </w:r>
      <w:r w:rsidR="00AB774C">
        <w:rPr>
          <w:rFonts w:ascii="Times New Roman" w:hAnsi="Times New Roman" w:cs="Times New Roman"/>
          <w:sz w:val="24"/>
          <w:szCs w:val="24"/>
        </w:rPr>
        <w:t xml:space="preserve"> </w:t>
      </w:r>
      <w:r w:rsidR="00DA2C8F">
        <w:rPr>
          <w:rFonts w:ascii="Times New Roman" w:hAnsi="Times New Roman" w:cs="Times New Roman"/>
          <w:sz w:val="24"/>
          <w:szCs w:val="24"/>
        </w:rPr>
        <w:t xml:space="preserve">ETA employs the health equity trade-off technique, which highlights the trade-off between potential cost-effectiveness and an alternative health equity objective such as reducing inequality in lifetime health or prioritizing those who are currently severely ill </w:t>
      </w:r>
      <w:r w:rsidR="00DA2C8F">
        <w:rPr>
          <w:rFonts w:ascii="Times New Roman" w:hAnsi="Times New Roman" w:cs="Times New Roman"/>
          <w:color w:val="242021"/>
          <w:sz w:val="24"/>
          <w:szCs w:val="24"/>
        </w:rPr>
        <w:fldChar w:fldCharType="begin" w:fldLock="1"/>
      </w:r>
      <w:r w:rsidR="00DA2C8F">
        <w:rPr>
          <w:rFonts w:ascii="Times New Roman" w:hAnsi="Times New Roman" w:cs="Times New Roman"/>
          <w:color w:val="242021"/>
          <w:sz w:val="24"/>
          <w:szCs w:val="24"/>
        </w:rPr>
        <w:instrText>ADDIN CSL_CITATION {"citationItems":[{"id":"ITEM-1","itemData":{"DOI":"10.1016/j.jval.2016.11.027","ISSN":"15244733","PMID":"28237196","abstract":"This articles serves as a guide to using cost-effectiveness analysis (CEA) to address health equity concerns. We first introduce the “equity impact plane,” a tool for considering trade-offs between improving total health—the objective underpinning conventional CEA—and equity objectives, such as reducing social inequality in health or prioritizing the severely ill. Improving total health may clash with reducing social inequality in health, for example, when effective delivery of services to disadvantaged communities requires additional costs. Who gains and who loses from a cost-increasing health program depends on differences among people in terms of health risks, uptake, quality, adherence, capacity to benefit, and—crucially—who bears the opportunity costs of diverting scarce resources from other uses. We describe two main ways of using CEA to address health equity concerns: 1) equity impact analysis, which quantifies the distribution of costs and effects by equity-relevant variables, such as socioeconomic status, location, ethnicity, sex, and severity of illness; and 2) equity trade-off analysis, which quantifies trade-offs between improving total health and other equity objectives. One way to analyze equity trade-offs is to count the cost of fairer but less cost-effective options in terms of health forgone. Another method is to explore how much concern for equity is required to choose fairer but less cost-effective options using equity weights or parameters. We hope this article will help the health technology assessment community navigate the practical options now available for conducting equity-informative CEA that gives policymakers a better understanding of equity impacts and trade-offs.","author":[{"dropping-particle":"","family":"Cookson","given":"Richard","non-dropping-particle":"","parse-names":false,"suffix":""},{"dropping-particle":"","family":"Mirelman","given":"Andrew J.","non-dropping-particle":"","parse-names":false,"suffix":""},{"dropping-particle":"","family":"Griffin","given":"Susan","non-dropping-particle":"","parse-names":false,"suffix":""},{"dropping-particle":"","family":"Asaria","given":"Miqdad","non-dropping-particle":"","parse-names":false,"suffix":""},{"dropping-particle":"","family":"Dawkins","given":"Bryony","non-dropping-particle":"","parse-names":false,"suffix":""},{"dropping-particle":"","family":"Norheim","given":"Ole Frithjof","non-dropping-particle":"","parse-names":false,"suffix":""},{"dropping-particle":"","family":"Verguet","given":"Stéphane","non-dropping-particle":"","parse-names":false,"suffix":""},{"dropping-particle":"","family":"J. Culyer","given":"Anthony","non-dropping-particle":"","parse-names":false,"suffix":""}],"container-title":"Value in Health","id":"ITEM-1","issue":"2","issued":{"date-parts":[["2017"]]},"page":"206-212","title":"Using Cost-Effectiveness Analysis to Address Health Equity Concerns","type":"article-journal","volume":"20"},"uris":["http://www.mendeley.com/documents/?uuid=0fd5dd28-fde7-4331-bbd0-4eda18d05030"]}],"mendeley":{"formattedCitation":"(Cookson et al., 2017)","plainTextFormattedCitation":"(Cookson et al., 2017)","previouslyFormattedCitation":"(Cookson et al., 2017)"},"properties":{"noteIndex":0},"schema":"https://github.com/citation-style-language/schema/raw/master/csl-citation.json"}</w:instrText>
      </w:r>
      <w:r w:rsidR="00DA2C8F">
        <w:rPr>
          <w:rFonts w:ascii="Times New Roman" w:hAnsi="Times New Roman" w:cs="Times New Roman"/>
          <w:color w:val="242021"/>
          <w:sz w:val="24"/>
          <w:szCs w:val="24"/>
        </w:rPr>
        <w:fldChar w:fldCharType="separate"/>
      </w:r>
      <w:r w:rsidR="00DA2C8F" w:rsidRPr="00701BF7">
        <w:rPr>
          <w:rFonts w:ascii="Times New Roman" w:hAnsi="Times New Roman" w:cs="Times New Roman"/>
          <w:noProof/>
          <w:color w:val="242021"/>
          <w:sz w:val="24"/>
          <w:szCs w:val="24"/>
        </w:rPr>
        <w:t>(Cookson et al., 2017)</w:t>
      </w:r>
      <w:r w:rsidR="00DA2C8F">
        <w:rPr>
          <w:rFonts w:ascii="Times New Roman" w:hAnsi="Times New Roman" w:cs="Times New Roman"/>
          <w:color w:val="242021"/>
          <w:sz w:val="24"/>
          <w:szCs w:val="24"/>
        </w:rPr>
        <w:fldChar w:fldCharType="end"/>
      </w:r>
      <w:r w:rsidR="00DA2C8F">
        <w:rPr>
          <w:rFonts w:ascii="Times New Roman" w:hAnsi="Times New Roman" w:cs="Times New Roman"/>
          <w:sz w:val="24"/>
          <w:szCs w:val="24"/>
        </w:rPr>
        <w:t xml:space="preserve">. </w:t>
      </w:r>
      <w:r w:rsidR="00DA2C8F">
        <w:rPr>
          <w:rFonts w:ascii="Times New Roman" w:hAnsi="Times New Roman" w:cs="Times New Roman"/>
          <w:sz w:val="24"/>
          <w:szCs w:val="24"/>
        </w:rPr>
        <w:t>It</w:t>
      </w:r>
      <w:r w:rsidR="00DA2C8F">
        <w:rPr>
          <w:rFonts w:ascii="Times New Roman" w:hAnsi="Times New Roman" w:cs="Times New Roman"/>
          <w:sz w:val="24"/>
          <w:szCs w:val="24"/>
        </w:rPr>
        <w:t xml:space="preserve"> is sub-divided into Equity constraint analysis (ECA) and Equity-weighting analysis (EWA).</w:t>
      </w:r>
      <w:r w:rsidR="00DA2C8F">
        <w:rPr>
          <w:rFonts w:ascii="Times New Roman" w:hAnsi="Times New Roman" w:cs="Times New Roman"/>
          <w:sz w:val="24"/>
          <w:szCs w:val="24"/>
        </w:rPr>
        <w:t xml:space="preserve"> </w:t>
      </w:r>
      <w:r w:rsidR="002313D0">
        <w:rPr>
          <w:rFonts w:ascii="Times New Roman" w:hAnsi="Times New Roman" w:cs="Times New Roman"/>
          <w:sz w:val="24"/>
          <w:szCs w:val="24"/>
        </w:rPr>
        <w:t>EIA</w:t>
      </w:r>
      <w:r w:rsidR="00BC59DE">
        <w:rPr>
          <w:rFonts w:ascii="Times New Roman" w:hAnsi="Times New Roman" w:cs="Times New Roman"/>
          <w:sz w:val="24"/>
          <w:szCs w:val="24"/>
        </w:rPr>
        <w:t>, on the other hand,</w:t>
      </w:r>
      <w:r w:rsidR="00AB774C">
        <w:rPr>
          <w:rFonts w:ascii="Times New Roman" w:hAnsi="Times New Roman" w:cs="Times New Roman"/>
          <w:sz w:val="24"/>
          <w:szCs w:val="24"/>
        </w:rPr>
        <w:t xml:space="preserve"> employs the net equity impacts techniques</w:t>
      </w:r>
      <w:r w:rsidR="004013C7">
        <w:rPr>
          <w:rFonts w:ascii="Times New Roman" w:hAnsi="Times New Roman" w:cs="Times New Roman"/>
          <w:sz w:val="24"/>
          <w:szCs w:val="24"/>
        </w:rPr>
        <w:t>,</w:t>
      </w:r>
      <w:r w:rsidR="00AB774C">
        <w:rPr>
          <w:rFonts w:ascii="Times New Roman" w:hAnsi="Times New Roman" w:cs="Times New Roman"/>
          <w:sz w:val="24"/>
          <w:szCs w:val="24"/>
        </w:rPr>
        <w:t xml:space="preserve"> which highlight the importance of the distribution of benefits and opportunity costs.</w:t>
      </w:r>
      <w:r w:rsidR="002313D0">
        <w:rPr>
          <w:rFonts w:ascii="Times New Roman" w:hAnsi="Times New Roman" w:cs="Times New Roman"/>
          <w:sz w:val="24"/>
          <w:szCs w:val="24"/>
        </w:rPr>
        <w:t xml:space="preserve"> </w:t>
      </w:r>
      <w:r w:rsidR="00BC59DE">
        <w:rPr>
          <w:rFonts w:ascii="Times New Roman" w:hAnsi="Times New Roman" w:cs="Times New Roman"/>
          <w:sz w:val="24"/>
          <w:szCs w:val="24"/>
        </w:rPr>
        <w:t>It</w:t>
      </w:r>
      <w:r w:rsidR="00145408">
        <w:rPr>
          <w:rFonts w:ascii="Times New Roman" w:hAnsi="Times New Roman" w:cs="Times New Roman"/>
          <w:sz w:val="24"/>
          <w:szCs w:val="24"/>
        </w:rPr>
        <w:t xml:space="preserve"> is </w:t>
      </w:r>
      <w:r w:rsidR="00BC59DE">
        <w:rPr>
          <w:rFonts w:ascii="Times New Roman" w:hAnsi="Times New Roman" w:cs="Times New Roman"/>
          <w:sz w:val="24"/>
          <w:szCs w:val="24"/>
        </w:rPr>
        <w:t xml:space="preserve">also </w:t>
      </w:r>
      <w:r w:rsidR="00145408">
        <w:rPr>
          <w:rFonts w:ascii="Times New Roman" w:hAnsi="Times New Roman" w:cs="Times New Roman"/>
          <w:sz w:val="24"/>
          <w:szCs w:val="24"/>
        </w:rPr>
        <w:t>sub-divided into Extended cost-effectiveness analysis (ECEA) and Distributional cost-effectiveness analysis</w:t>
      </w:r>
      <w:r w:rsidR="00BC047B">
        <w:rPr>
          <w:rFonts w:ascii="Times New Roman" w:hAnsi="Times New Roman" w:cs="Times New Roman"/>
          <w:sz w:val="24"/>
          <w:szCs w:val="24"/>
        </w:rPr>
        <w:t xml:space="preserve"> (DCEA)</w:t>
      </w:r>
      <w:r w:rsidR="00145408">
        <w:rPr>
          <w:rFonts w:ascii="Times New Roman" w:hAnsi="Times New Roman" w:cs="Times New Roman"/>
          <w:sz w:val="24"/>
          <w:szCs w:val="24"/>
        </w:rPr>
        <w:t xml:space="preserve">. </w:t>
      </w:r>
      <w:r w:rsidR="00142FC1" w:rsidRPr="002F0887">
        <w:rPr>
          <w:rFonts w:ascii="Times New Roman" w:hAnsi="Times New Roman" w:cs="Times New Roman"/>
          <w:sz w:val="24"/>
          <w:szCs w:val="24"/>
        </w:rPr>
        <w:t>DCEA</w:t>
      </w:r>
      <w:r w:rsidR="00451E18" w:rsidRPr="002F0887">
        <w:rPr>
          <w:rFonts w:ascii="Times New Roman" w:hAnsi="Times New Roman" w:cs="Times New Roman"/>
          <w:sz w:val="24"/>
          <w:szCs w:val="24"/>
        </w:rPr>
        <w:t xml:space="preserve"> is an economic assessment tool used to </w:t>
      </w:r>
      <w:r w:rsidR="00216214">
        <w:rPr>
          <w:rFonts w:ascii="Times New Roman" w:hAnsi="Times New Roman" w:cs="Times New Roman"/>
          <w:sz w:val="24"/>
          <w:szCs w:val="24"/>
        </w:rPr>
        <w:t xml:space="preserve">model, </w:t>
      </w:r>
      <w:r w:rsidR="00030EA2" w:rsidRPr="002F0887">
        <w:rPr>
          <w:rFonts w:ascii="Times New Roman" w:hAnsi="Times New Roman" w:cs="Times New Roman"/>
          <w:sz w:val="24"/>
          <w:szCs w:val="24"/>
        </w:rPr>
        <w:t>analyze,</w:t>
      </w:r>
      <w:r w:rsidR="00216214">
        <w:rPr>
          <w:rFonts w:ascii="Times New Roman" w:hAnsi="Times New Roman" w:cs="Times New Roman"/>
          <w:sz w:val="24"/>
          <w:szCs w:val="24"/>
        </w:rPr>
        <w:t xml:space="preserve"> and estimate</w:t>
      </w:r>
      <w:r w:rsidR="00451E18" w:rsidRPr="002F0887">
        <w:rPr>
          <w:rFonts w:ascii="Times New Roman" w:hAnsi="Times New Roman" w:cs="Times New Roman"/>
          <w:sz w:val="24"/>
          <w:szCs w:val="24"/>
        </w:rPr>
        <w:t xml:space="preserve"> the expected social distributions of costs and health benefits and the plausible trade-offs between total health and </w:t>
      </w:r>
      <w:r w:rsidR="00781FE0" w:rsidRPr="002F0887">
        <w:rPr>
          <w:rFonts w:ascii="Times New Roman" w:hAnsi="Times New Roman" w:cs="Times New Roman"/>
          <w:sz w:val="24"/>
          <w:szCs w:val="24"/>
        </w:rPr>
        <w:t>reduction in</w:t>
      </w:r>
      <w:r w:rsidR="00451E18" w:rsidRPr="002F0887">
        <w:rPr>
          <w:rFonts w:ascii="Times New Roman" w:hAnsi="Times New Roman" w:cs="Times New Roman"/>
          <w:sz w:val="24"/>
          <w:szCs w:val="24"/>
        </w:rPr>
        <w:t xml:space="preserve"> health inequality.</w:t>
      </w:r>
      <w:r w:rsidR="00CA4C5D" w:rsidRPr="002F0887">
        <w:rPr>
          <w:rFonts w:ascii="Times New Roman" w:hAnsi="Times New Roman" w:cs="Times New Roman"/>
          <w:sz w:val="24"/>
          <w:szCs w:val="24"/>
        </w:rPr>
        <w:t xml:space="preserve"> </w:t>
      </w:r>
      <w:r w:rsidR="00142FC1" w:rsidRPr="002F0887">
        <w:rPr>
          <w:rFonts w:ascii="Times New Roman" w:hAnsi="Times New Roman" w:cs="Times New Roman"/>
          <w:sz w:val="24"/>
          <w:szCs w:val="24"/>
        </w:rPr>
        <w:t>ECEA</w:t>
      </w:r>
      <w:r w:rsidR="00D06E37">
        <w:rPr>
          <w:rFonts w:ascii="Times New Roman" w:hAnsi="Times New Roman" w:cs="Times New Roman"/>
          <w:sz w:val="24"/>
          <w:szCs w:val="24"/>
        </w:rPr>
        <w:t>,</w:t>
      </w:r>
      <w:r w:rsidR="00142FC1" w:rsidRPr="002F0887">
        <w:rPr>
          <w:rFonts w:ascii="Times New Roman" w:hAnsi="Times New Roman" w:cs="Times New Roman"/>
          <w:sz w:val="24"/>
          <w:szCs w:val="24"/>
        </w:rPr>
        <w:t xml:space="preserve"> </w:t>
      </w:r>
      <w:r w:rsidR="00D06E37">
        <w:rPr>
          <w:rFonts w:ascii="Times New Roman" w:hAnsi="Times New Roman" w:cs="Times New Roman"/>
          <w:sz w:val="24"/>
          <w:szCs w:val="24"/>
        </w:rPr>
        <w:t xml:space="preserve">which is </w:t>
      </w:r>
      <w:r w:rsidR="00C13929">
        <w:rPr>
          <w:rFonts w:ascii="Times New Roman" w:hAnsi="Times New Roman" w:cs="Times New Roman"/>
          <w:sz w:val="24"/>
          <w:szCs w:val="24"/>
        </w:rPr>
        <w:t>typically</w:t>
      </w:r>
      <w:r w:rsidR="00D06E37">
        <w:rPr>
          <w:rFonts w:ascii="Times New Roman" w:hAnsi="Times New Roman" w:cs="Times New Roman"/>
          <w:sz w:val="24"/>
          <w:szCs w:val="24"/>
        </w:rPr>
        <w:t xml:space="preserve"> </w:t>
      </w:r>
      <w:r w:rsidR="00D40D41">
        <w:rPr>
          <w:rFonts w:ascii="Times New Roman" w:hAnsi="Times New Roman" w:cs="Times New Roman"/>
          <w:sz w:val="24"/>
          <w:szCs w:val="24"/>
        </w:rPr>
        <w:t>employed by HPA studies</w:t>
      </w:r>
      <w:r w:rsidR="00D06E37">
        <w:rPr>
          <w:rFonts w:ascii="Times New Roman" w:hAnsi="Times New Roman" w:cs="Times New Roman"/>
          <w:sz w:val="24"/>
          <w:szCs w:val="24"/>
        </w:rPr>
        <w:t xml:space="preserve"> in LMICs, </w:t>
      </w:r>
      <w:r w:rsidR="00781FE0" w:rsidRPr="002F0887">
        <w:rPr>
          <w:rFonts w:ascii="Times New Roman" w:hAnsi="Times New Roman" w:cs="Times New Roman"/>
          <w:sz w:val="24"/>
          <w:szCs w:val="24"/>
        </w:rPr>
        <w:t xml:space="preserve">assesses </w:t>
      </w:r>
      <w:r w:rsidR="00EA3920" w:rsidRPr="002F0887">
        <w:rPr>
          <w:rFonts w:ascii="Times New Roman" w:hAnsi="Times New Roman" w:cs="Times New Roman"/>
          <w:sz w:val="24"/>
          <w:szCs w:val="24"/>
        </w:rPr>
        <w:t>both the (aggregate) health and non-health outcomes (</w:t>
      </w:r>
      <w:r w:rsidR="00633BC7">
        <w:rPr>
          <w:rFonts w:ascii="Times New Roman" w:hAnsi="Times New Roman" w:cs="Times New Roman"/>
          <w:sz w:val="24"/>
          <w:szCs w:val="24"/>
        </w:rPr>
        <w:t>i.e.,</w:t>
      </w:r>
      <w:r w:rsidR="00EA3920" w:rsidRPr="002F0887">
        <w:rPr>
          <w:rFonts w:ascii="Times New Roman" w:hAnsi="Times New Roman" w:cs="Times New Roman"/>
          <w:sz w:val="24"/>
          <w:szCs w:val="24"/>
        </w:rPr>
        <w:t xml:space="preserve"> </w:t>
      </w:r>
      <w:r w:rsidR="00512DC9">
        <w:rPr>
          <w:rFonts w:ascii="Times New Roman" w:hAnsi="Times New Roman" w:cs="Times New Roman"/>
          <w:sz w:val="24"/>
          <w:szCs w:val="24"/>
        </w:rPr>
        <w:t>FRP</w:t>
      </w:r>
      <w:r w:rsidR="00EA3920" w:rsidRPr="002F0887">
        <w:rPr>
          <w:rFonts w:ascii="Times New Roman" w:hAnsi="Times New Roman" w:cs="Times New Roman"/>
          <w:sz w:val="24"/>
          <w:szCs w:val="24"/>
        </w:rPr>
        <w:t xml:space="preserve"> and </w:t>
      </w:r>
      <w:r w:rsidR="00BC4530">
        <w:rPr>
          <w:rFonts w:ascii="Times New Roman" w:hAnsi="Times New Roman" w:cs="Times New Roman"/>
          <w:sz w:val="24"/>
          <w:szCs w:val="24"/>
        </w:rPr>
        <w:t>FC</w:t>
      </w:r>
      <w:r w:rsidR="00EA3920" w:rsidRPr="002F0887">
        <w:rPr>
          <w:rFonts w:ascii="Times New Roman" w:hAnsi="Times New Roman" w:cs="Times New Roman"/>
          <w:sz w:val="24"/>
          <w:szCs w:val="24"/>
        </w:rPr>
        <w:t>)</w:t>
      </w:r>
      <w:r w:rsidR="00AC2C0C">
        <w:rPr>
          <w:rFonts w:ascii="Times New Roman" w:hAnsi="Times New Roman" w:cs="Times New Roman"/>
          <w:sz w:val="24"/>
          <w:szCs w:val="24"/>
        </w:rPr>
        <w:t xml:space="preserve"> </w:t>
      </w:r>
      <w:r w:rsidR="007D1899">
        <w:rPr>
          <w:rFonts w:ascii="Times New Roman" w:hAnsi="Times New Roman" w:cs="Times New Roman"/>
          <w:sz w:val="24"/>
          <w:szCs w:val="24"/>
        </w:rPr>
        <w:t xml:space="preserve">of </w:t>
      </w:r>
      <w:r w:rsidR="007D1899">
        <w:rPr>
          <w:rFonts w:ascii="Times New Roman" w:hAnsi="Times New Roman" w:cs="Times New Roman"/>
          <w:sz w:val="24"/>
          <w:szCs w:val="24"/>
        </w:rPr>
        <w:t>public</w:t>
      </w:r>
      <w:r w:rsidR="007D1899">
        <w:rPr>
          <w:rFonts w:ascii="Times New Roman" w:hAnsi="Times New Roman" w:cs="Times New Roman"/>
          <w:sz w:val="24"/>
          <w:szCs w:val="24"/>
        </w:rPr>
        <w:t xml:space="preserve"> interventions </w:t>
      </w:r>
      <w:r w:rsidR="00AC2C0C">
        <w:rPr>
          <w:rFonts w:ascii="Times New Roman" w:hAnsi="Times New Roman" w:cs="Times New Roman"/>
          <w:sz w:val="24"/>
          <w:szCs w:val="24"/>
        </w:rPr>
        <w:t xml:space="preserve">and </w:t>
      </w:r>
      <w:r w:rsidR="0090031C">
        <w:rPr>
          <w:rFonts w:ascii="Times New Roman" w:hAnsi="Times New Roman" w:cs="Times New Roman"/>
          <w:sz w:val="24"/>
          <w:szCs w:val="24"/>
        </w:rPr>
        <w:t xml:space="preserve">the distributional consequences of the impacts </w:t>
      </w:r>
      <w:r w:rsidR="00D62399">
        <w:rPr>
          <w:rFonts w:ascii="Times New Roman" w:hAnsi="Times New Roman" w:cs="Times New Roman"/>
          <w:sz w:val="24"/>
          <w:szCs w:val="24"/>
        </w:rPr>
        <w:t>stratified by income quintile, sex, or region</w:t>
      </w:r>
      <w:r w:rsidR="00EA3920" w:rsidRPr="002F0887">
        <w:rPr>
          <w:rFonts w:ascii="Times New Roman" w:hAnsi="Times New Roman" w:cs="Times New Roman"/>
          <w:sz w:val="24"/>
          <w:szCs w:val="24"/>
        </w:rPr>
        <w:t>.</w:t>
      </w:r>
      <w:r w:rsidR="00464AD3" w:rsidRPr="002F0887">
        <w:rPr>
          <w:rFonts w:ascii="Times New Roman" w:hAnsi="Times New Roman" w:cs="Times New Roman"/>
          <w:sz w:val="24"/>
          <w:szCs w:val="24"/>
        </w:rPr>
        <w:t xml:space="preserve"> </w:t>
      </w:r>
      <w:r w:rsidR="00667ABB">
        <w:rPr>
          <w:rFonts w:ascii="Times New Roman" w:hAnsi="Times New Roman" w:cs="Times New Roman"/>
          <w:sz w:val="24"/>
          <w:szCs w:val="24"/>
        </w:rPr>
        <w:t>DCEA does not estimate FRP</w:t>
      </w:r>
      <w:r w:rsidR="00C126FC">
        <w:rPr>
          <w:rFonts w:ascii="Times New Roman" w:hAnsi="Times New Roman" w:cs="Times New Roman"/>
          <w:sz w:val="24"/>
          <w:szCs w:val="24"/>
        </w:rPr>
        <w:t xml:space="preserve"> which is a central focus of the study</w:t>
      </w:r>
      <w:r w:rsidR="00044AF3">
        <w:rPr>
          <w:rFonts w:ascii="Times New Roman" w:hAnsi="Times New Roman" w:cs="Times New Roman"/>
          <w:sz w:val="24"/>
          <w:szCs w:val="24"/>
        </w:rPr>
        <w:t xml:space="preserve"> hence </w:t>
      </w:r>
      <w:r w:rsidR="005B4BA3">
        <w:rPr>
          <w:rFonts w:ascii="Times New Roman" w:hAnsi="Times New Roman" w:cs="Times New Roman"/>
          <w:sz w:val="24"/>
          <w:szCs w:val="24"/>
        </w:rPr>
        <w:t>the review</w:t>
      </w:r>
      <w:r w:rsidR="00044AF3">
        <w:rPr>
          <w:rFonts w:ascii="Times New Roman" w:hAnsi="Times New Roman" w:cs="Times New Roman"/>
          <w:sz w:val="24"/>
          <w:szCs w:val="24"/>
        </w:rPr>
        <w:t xml:space="preserve"> will focus on ECEA</w:t>
      </w:r>
      <w:r w:rsidR="00667ABB">
        <w:rPr>
          <w:rFonts w:ascii="Times New Roman" w:hAnsi="Times New Roman" w:cs="Times New Roman"/>
          <w:sz w:val="24"/>
          <w:szCs w:val="24"/>
        </w:rPr>
        <w:t>.</w:t>
      </w:r>
    </w:p>
    <w:p w14:paraId="05F90F9A" w14:textId="61F10803" w:rsidR="003661C8" w:rsidRPr="00862665" w:rsidRDefault="00330336" w:rsidP="002F0887">
      <w:pPr>
        <w:spacing w:line="480" w:lineRule="auto"/>
        <w:jc w:val="both"/>
        <w:rPr>
          <w:rFonts w:ascii="Times New Roman" w:hAnsi="Times New Roman" w:cs="Times New Roman"/>
          <w:sz w:val="24"/>
          <w:szCs w:val="24"/>
        </w:rPr>
      </w:pPr>
      <w:r>
        <w:rPr>
          <w:rFonts w:ascii="Times New Roman" w:hAnsi="Times New Roman" w:cs="Times New Roman"/>
          <w:sz w:val="24"/>
          <w:szCs w:val="24"/>
        </w:rPr>
        <w:t>To the best of my knowledge, there is no current or thorough synthesis o</w:t>
      </w:r>
      <w:r w:rsidR="007F268E">
        <w:rPr>
          <w:rFonts w:ascii="Times New Roman" w:hAnsi="Times New Roman" w:cs="Times New Roman"/>
          <w:sz w:val="24"/>
          <w:szCs w:val="24"/>
        </w:rPr>
        <w:t>f</w:t>
      </w:r>
      <w:r w:rsidR="00FA3AD5">
        <w:rPr>
          <w:rFonts w:ascii="Times New Roman" w:hAnsi="Times New Roman" w:cs="Times New Roman"/>
          <w:sz w:val="24"/>
          <w:szCs w:val="24"/>
        </w:rPr>
        <w:t xml:space="preserve"> HPA</w:t>
      </w:r>
      <w:r>
        <w:rPr>
          <w:rFonts w:ascii="Times New Roman" w:hAnsi="Times New Roman" w:cs="Times New Roman"/>
          <w:sz w:val="24"/>
          <w:szCs w:val="24"/>
        </w:rPr>
        <w:t xml:space="preserve"> studies </w:t>
      </w:r>
      <w:r w:rsidR="00F92975">
        <w:rPr>
          <w:rFonts w:ascii="Times New Roman" w:hAnsi="Times New Roman" w:cs="Times New Roman"/>
          <w:sz w:val="24"/>
          <w:szCs w:val="24"/>
        </w:rPr>
        <w:t>based on</w:t>
      </w:r>
      <w:r>
        <w:rPr>
          <w:rFonts w:ascii="Times New Roman" w:hAnsi="Times New Roman" w:cs="Times New Roman"/>
          <w:sz w:val="24"/>
          <w:szCs w:val="24"/>
        </w:rPr>
        <w:t xml:space="preserve"> non-health benefits and </w:t>
      </w:r>
      <w:r w:rsidR="00396983">
        <w:rPr>
          <w:rFonts w:ascii="Times New Roman" w:hAnsi="Times New Roman" w:cs="Times New Roman"/>
          <w:sz w:val="24"/>
          <w:szCs w:val="24"/>
        </w:rPr>
        <w:t>distributional consequences</w:t>
      </w:r>
      <w:r w:rsidR="007F268E">
        <w:rPr>
          <w:rFonts w:ascii="Times New Roman" w:hAnsi="Times New Roman" w:cs="Times New Roman"/>
          <w:sz w:val="24"/>
          <w:szCs w:val="24"/>
        </w:rPr>
        <w:t xml:space="preserve"> of health policy interventions</w:t>
      </w:r>
      <w:r w:rsidR="00396983">
        <w:rPr>
          <w:rFonts w:ascii="Times New Roman" w:hAnsi="Times New Roman" w:cs="Times New Roman"/>
          <w:sz w:val="24"/>
          <w:szCs w:val="24"/>
        </w:rPr>
        <w:t xml:space="preserve"> in LMICs</w:t>
      </w:r>
      <w:r>
        <w:rPr>
          <w:rFonts w:ascii="Times New Roman" w:hAnsi="Times New Roman" w:cs="Times New Roman"/>
          <w:sz w:val="24"/>
          <w:szCs w:val="24"/>
        </w:rPr>
        <w:t xml:space="preserve">, emerging </w:t>
      </w:r>
      <w:r w:rsidR="002E6CEF">
        <w:rPr>
          <w:rFonts w:ascii="Times New Roman" w:hAnsi="Times New Roman" w:cs="Times New Roman"/>
          <w:sz w:val="24"/>
          <w:szCs w:val="24"/>
        </w:rPr>
        <w:t xml:space="preserve">and relevant </w:t>
      </w:r>
      <w:r>
        <w:rPr>
          <w:rFonts w:ascii="Times New Roman" w:hAnsi="Times New Roman" w:cs="Times New Roman"/>
          <w:sz w:val="24"/>
          <w:szCs w:val="24"/>
        </w:rPr>
        <w:t>healthcare issue</w:t>
      </w:r>
      <w:r w:rsidR="006B2C3E">
        <w:rPr>
          <w:rFonts w:ascii="Times New Roman" w:hAnsi="Times New Roman" w:cs="Times New Roman"/>
          <w:sz w:val="24"/>
          <w:szCs w:val="24"/>
        </w:rPr>
        <w:t>s</w:t>
      </w:r>
      <w:r w:rsidR="008202C2">
        <w:rPr>
          <w:rFonts w:ascii="Times New Roman" w:hAnsi="Times New Roman" w:cs="Times New Roman"/>
          <w:sz w:val="24"/>
          <w:szCs w:val="24"/>
        </w:rPr>
        <w:t xml:space="preserve"> and untapped source of knowledge to address this gap</w:t>
      </w:r>
      <w:r>
        <w:rPr>
          <w:rFonts w:ascii="Times New Roman" w:hAnsi="Times New Roman" w:cs="Times New Roman"/>
          <w:sz w:val="24"/>
          <w:szCs w:val="24"/>
        </w:rPr>
        <w:t xml:space="preserve">. </w:t>
      </w:r>
      <w:r w:rsidR="008202C2" w:rsidRPr="00862665">
        <w:rPr>
          <w:rFonts w:ascii="Times New Roman" w:hAnsi="Times New Roman" w:cs="Times New Roman"/>
          <w:sz w:val="24"/>
          <w:szCs w:val="24"/>
        </w:rPr>
        <w:lastRenderedPageBreak/>
        <w:t xml:space="preserve">This study attempts to </w:t>
      </w:r>
      <w:r w:rsidR="00C52FF1">
        <w:rPr>
          <w:rFonts w:ascii="Times New Roman" w:hAnsi="Times New Roman" w:cs="Times New Roman"/>
          <w:sz w:val="24"/>
          <w:szCs w:val="24"/>
        </w:rPr>
        <w:t xml:space="preserve">synthesize published </w:t>
      </w:r>
      <w:r w:rsidR="00C2762C" w:rsidRPr="00CD5CC8">
        <w:rPr>
          <w:rFonts w:ascii="Times New Roman" w:hAnsi="Times New Roman" w:cs="Times New Roman"/>
          <w:sz w:val="24"/>
          <w:szCs w:val="24"/>
        </w:rPr>
        <w:t>Health Policy Assessment (HPA) studies that stratify policy intervention outcomes by equity-relevant variables such as income quintile or sex or region</w:t>
      </w:r>
      <w:r w:rsidR="00C2762C" w:rsidRPr="00CD5CC8">
        <w:rPr>
          <w:rFonts w:ascii="Times New Roman" w:hAnsi="Times New Roman" w:cs="Times New Roman"/>
          <w:sz w:val="24"/>
          <w:szCs w:val="24"/>
        </w:rPr>
        <w:t xml:space="preserve"> </w:t>
      </w:r>
      <w:r w:rsidR="00C52FF1" w:rsidRPr="00CD5CC8">
        <w:rPr>
          <w:rFonts w:ascii="Times New Roman" w:hAnsi="Times New Roman" w:cs="Times New Roman"/>
          <w:sz w:val="24"/>
          <w:szCs w:val="24"/>
        </w:rPr>
        <w:t xml:space="preserve">and identify knowledge </w:t>
      </w:r>
      <w:r w:rsidR="008202C2" w:rsidRPr="00CD5CC8">
        <w:rPr>
          <w:rFonts w:ascii="Times New Roman" w:hAnsi="Times New Roman" w:cs="Times New Roman"/>
          <w:sz w:val="24"/>
          <w:szCs w:val="24"/>
        </w:rPr>
        <w:t>that</w:t>
      </w:r>
      <w:r w:rsidR="00C52FF1" w:rsidRPr="00CD5CC8">
        <w:rPr>
          <w:rFonts w:ascii="Times New Roman" w:hAnsi="Times New Roman" w:cs="Times New Roman"/>
          <w:sz w:val="24"/>
          <w:szCs w:val="24"/>
        </w:rPr>
        <w:t xml:space="preserve"> could potentially be applied in policy </w:t>
      </w:r>
      <w:r w:rsidR="0033329D">
        <w:rPr>
          <w:rFonts w:ascii="Times New Roman" w:hAnsi="Times New Roman" w:cs="Times New Roman"/>
          <w:sz w:val="24"/>
          <w:szCs w:val="24"/>
        </w:rPr>
        <w:t xml:space="preserve">formulation and </w:t>
      </w:r>
      <w:r w:rsidR="00C52FF1" w:rsidRPr="00CD5CC8">
        <w:rPr>
          <w:rFonts w:ascii="Times New Roman" w:hAnsi="Times New Roman" w:cs="Times New Roman"/>
          <w:sz w:val="24"/>
          <w:szCs w:val="24"/>
        </w:rPr>
        <w:t>decision-making</w:t>
      </w:r>
      <w:r w:rsidR="00CD5CC8" w:rsidRPr="00CD5CC8">
        <w:rPr>
          <w:rFonts w:ascii="Times New Roman" w:hAnsi="Times New Roman" w:cs="Times New Roman"/>
          <w:sz w:val="24"/>
          <w:szCs w:val="24"/>
        </w:rPr>
        <w:t xml:space="preserve"> in LMICs.</w:t>
      </w:r>
    </w:p>
    <w:p w14:paraId="12B80065" w14:textId="78D93D2B" w:rsidR="00117471" w:rsidRDefault="00117471" w:rsidP="008050DB">
      <w:pPr>
        <w:pStyle w:val="ListParagraph"/>
        <w:numPr>
          <w:ilvl w:val="0"/>
          <w:numId w:val="8"/>
        </w:numPr>
        <w:spacing w:line="480" w:lineRule="auto"/>
        <w:rPr>
          <w:rFonts w:ascii="Times New Roman" w:hAnsi="Times New Roman" w:cs="Times New Roman"/>
          <w:b/>
          <w:bCs/>
          <w:sz w:val="24"/>
          <w:szCs w:val="24"/>
        </w:rPr>
      </w:pPr>
      <w:r w:rsidRPr="008050DB">
        <w:rPr>
          <w:rFonts w:ascii="Times New Roman" w:hAnsi="Times New Roman" w:cs="Times New Roman"/>
          <w:b/>
          <w:bCs/>
          <w:sz w:val="24"/>
          <w:szCs w:val="24"/>
        </w:rPr>
        <w:t>M</w:t>
      </w:r>
      <w:r w:rsidR="0085458F" w:rsidRPr="008050DB">
        <w:rPr>
          <w:rFonts w:ascii="Times New Roman" w:hAnsi="Times New Roman" w:cs="Times New Roman"/>
          <w:b/>
          <w:bCs/>
          <w:sz w:val="24"/>
          <w:szCs w:val="24"/>
        </w:rPr>
        <w:t>ethods</w:t>
      </w:r>
    </w:p>
    <w:p w14:paraId="410C83AC" w14:textId="58392CEF" w:rsidR="007417EE" w:rsidRPr="007417EE" w:rsidRDefault="007417EE" w:rsidP="007417EE">
      <w:pPr>
        <w:spacing w:line="480" w:lineRule="auto"/>
        <w:rPr>
          <w:rFonts w:ascii="Times New Roman" w:hAnsi="Times New Roman" w:cs="Times New Roman"/>
          <w:b/>
          <w:bCs/>
          <w:sz w:val="24"/>
          <w:szCs w:val="24"/>
        </w:rPr>
      </w:pPr>
      <w:r w:rsidRPr="007417EE">
        <w:rPr>
          <w:rFonts w:ascii="Times New Roman" w:hAnsi="Times New Roman" w:cs="Times New Roman"/>
          <w:sz w:val="24"/>
          <w:szCs w:val="24"/>
        </w:rPr>
        <w:t>Using a scoping review approach, I searched five databases (i.e., MEDLINE, EMBASE, APA PsycInfo, Google scholar and ScienceDirect) for studies that assessed the health and non-health benefits of health policy interventions in LMICs and reported study features, and intervention characteristics and outcomes.</w:t>
      </w:r>
    </w:p>
    <w:p w14:paraId="48D5FD31" w14:textId="141AC45A" w:rsidR="008050DB" w:rsidRPr="008050DB" w:rsidRDefault="008050DB" w:rsidP="008050DB">
      <w:pPr>
        <w:spacing w:line="480" w:lineRule="auto"/>
        <w:ind w:left="360"/>
        <w:rPr>
          <w:rFonts w:ascii="Times New Roman" w:hAnsi="Times New Roman" w:cs="Times New Roman"/>
          <w:b/>
          <w:bCs/>
          <w:sz w:val="24"/>
          <w:szCs w:val="24"/>
        </w:rPr>
      </w:pPr>
      <w:r>
        <w:rPr>
          <w:rFonts w:ascii="Times New Roman" w:hAnsi="Times New Roman" w:cs="Times New Roman"/>
          <w:b/>
          <w:bCs/>
          <w:sz w:val="24"/>
          <w:szCs w:val="24"/>
        </w:rPr>
        <w:t>2.1 Approach</w:t>
      </w:r>
    </w:p>
    <w:p w14:paraId="1EFF3EB1" w14:textId="14797091" w:rsidR="00377788" w:rsidRPr="002F0887" w:rsidRDefault="001E72A4" w:rsidP="001F70FD">
      <w:pPr>
        <w:spacing w:line="480" w:lineRule="auto"/>
        <w:jc w:val="both"/>
        <w:rPr>
          <w:rStyle w:val="fontstyle01"/>
          <w:rFonts w:ascii="Times New Roman" w:hAnsi="Times New Roman" w:cs="Times New Roman"/>
          <w:sz w:val="24"/>
          <w:szCs w:val="24"/>
        </w:rPr>
      </w:pPr>
      <w:r w:rsidRPr="002F0887">
        <w:rPr>
          <w:rStyle w:val="fontstyle01"/>
          <w:rFonts w:ascii="Times New Roman" w:hAnsi="Times New Roman" w:cs="Times New Roman"/>
          <w:sz w:val="24"/>
          <w:szCs w:val="24"/>
        </w:rPr>
        <w:t>The study followed</w:t>
      </w:r>
      <w:r w:rsidR="008D7AD6">
        <w:rPr>
          <w:rStyle w:val="fontstyle01"/>
          <w:rFonts w:ascii="Times New Roman" w:hAnsi="Times New Roman" w:cs="Times New Roman"/>
          <w:sz w:val="24"/>
          <w:szCs w:val="24"/>
        </w:rPr>
        <w:t xml:space="preserve"> </w:t>
      </w:r>
      <w:r w:rsidR="008D7AD6">
        <w:rPr>
          <w:rStyle w:val="fontstyle01"/>
          <w:rFonts w:ascii="Times New Roman" w:hAnsi="Times New Roman" w:cs="Times New Roman"/>
          <w:sz w:val="24"/>
          <w:szCs w:val="24"/>
        </w:rPr>
        <w:fldChar w:fldCharType="begin" w:fldLock="1"/>
      </w:r>
      <w:r w:rsidR="00965B3E">
        <w:rPr>
          <w:rStyle w:val="fontstyle01"/>
          <w:rFonts w:ascii="Times New Roman" w:hAnsi="Times New Roman" w:cs="Times New Roman"/>
          <w:sz w:val="24"/>
          <w:szCs w:val="24"/>
        </w:rPr>
        <w:instrText>ADDIN CSL_CITATION {"citationItems":[{"id":"ITEM-1","itemData":{"DOI":"10.1080/1364557032000119616","ISSN":"13645579","abstract":"This paper focuses on scoping studies, an approach to reviewing the literature which to date has received little attention in the research methods literature. We distinguish between different types of scoping studies and indicate where these stand in relation to full systematic reviews. We outline a framework for conducting a scoping study based on our recent experiences of reviewing the literature on services for carers for people with mental health problems. Where appropriate, our approach to scoping the field is contrasted with the procedures followed in systematic reviews. We emphasize how including a consultation exercise in this sort of study may enhance the results, making them more useful to policy makers, practitioners and service users. Finally, we consider the advantages and limitations of the approach and suggest that a wider debate is called for about the role of the scoping study in relation to other types of literature reviews. © 2005 Taylor &amp; Francis Group Ltd.","author":[{"dropping-particle":"","family":"Arksey","given":"Hilary","non-dropping-particle":"","parse-names":false,"suffix":""},{"dropping-particle":"","family":"O'Malley","given":"Lisa","non-dropping-particle":"","parse-names":false,"suffix":""}],"container-title":"International Journal of Social Research Methodology: Theory and Practice","id":"ITEM-1","issue":"1","issued":{"date-parts":[["2005"]]},"page":"19-32","title":"Scoping studies: Towards a methodological framework","type":"article-journal","volume":"8"},"uris":["http://www.mendeley.com/documents/?uuid=48df3ed2-e3a4-47db-be06-4e5174c73816"]}],"mendeley":{"formattedCitation":"(Arksey &amp; O’Malley, 2005)","manualFormatting":"Arksey and O’Malley (2005)","plainTextFormattedCitation":"(Arksey &amp; O’Malley, 2005)","previouslyFormattedCitation":"(Arksey &amp; O’Malley, 2005)"},"properties":{"noteIndex":0},"schema":"https://github.com/citation-style-language/schema/raw/master/csl-citation.json"}</w:instrText>
      </w:r>
      <w:r w:rsidR="008D7AD6">
        <w:rPr>
          <w:rStyle w:val="fontstyle01"/>
          <w:rFonts w:ascii="Times New Roman" w:hAnsi="Times New Roman" w:cs="Times New Roman"/>
          <w:sz w:val="24"/>
          <w:szCs w:val="24"/>
        </w:rPr>
        <w:fldChar w:fldCharType="separate"/>
      </w:r>
      <w:r w:rsidR="008D7AD6" w:rsidRPr="008D7AD6">
        <w:rPr>
          <w:rStyle w:val="fontstyle01"/>
          <w:rFonts w:ascii="Times New Roman" w:hAnsi="Times New Roman" w:cs="Times New Roman"/>
          <w:noProof/>
          <w:sz w:val="24"/>
          <w:szCs w:val="24"/>
        </w:rPr>
        <w:t xml:space="preserve">Arksey </w:t>
      </w:r>
      <w:r w:rsidR="008D7AD6">
        <w:rPr>
          <w:rStyle w:val="fontstyle01"/>
          <w:rFonts w:ascii="Times New Roman" w:hAnsi="Times New Roman" w:cs="Times New Roman"/>
          <w:noProof/>
          <w:sz w:val="24"/>
          <w:szCs w:val="24"/>
        </w:rPr>
        <w:t>and</w:t>
      </w:r>
      <w:r w:rsidR="008D7AD6" w:rsidRPr="008D7AD6">
        <w:rPr>
          <w:rStyle w:val="fontstyle01"/>
          <w:rFonts w:ascii="Times New Roman" w:hAnsi="Times New Roman" w:cs="Times New Roman"/>
          <w:noProof/>
          <w:sz w:val="24"/>
          <w:szCs w:val="24"/>
        </w:rPr>
        <w:t xml:space="preserve"> O’Malley </w:t>
      </w:r>
      <w:r w:rsidR="008D7AD6">
        <w:rPr>
          <w:rStyle w:val="fontstyle01"/>
          <w:rFonts w:ascii="Times New Roman" w:hAnsi="Times New Roman" w:cs="Times New Roman"/>
          <w:noProof/>
          <w:sz w:val="24"/>
          <w:szCs w:val="24"/>
        </w:rPr>
        <w:t>(</w:t>
      </w:r>
      <w:r w:rsidR="008D7AD6" w:rsidRPr="008D7AD6">
        <w:rPr>
          <w:rStyle w:val="fontstyle01"/>
          <w:rFonts w:ascii="Times New Roman" w:hAnsi="Times New Roman" w:cs="Times New Roman"/>
          <w:noProof/>
          <w:sz w:val="24"/>
          <w:szCs w:val="24"/>
        </w:rPr>
        <w:t>2005)</w:t>
      </w:r>
      <w:r w:rsidR="008D7AD6">
        <w:rPr>
          <w:rStyle w:val="fontstyle01"/>
          <w:rFonts w:ascii="Times New Roman" w:hAnsi="Times New Roman" w:cs="Times New Roman"/>
          <w:sz w:val="24"/>
          <w:szCs w:val="24"/>
        </w:rPr>
        <w:fldChar w:fldCharType="end"/>
      </w:r>
      <w:r w:rsidR="0087141E">
        <w:rPr>
          <w:rStyle w:val="fontstyle01"/>
          <w:rFonts w:ascii="Times New Roman" w:hAnsi="Times New Roman" w:cs="Times New Roman"/>
          <w:sz w:val="24"/>
          <w:szCs w:val="24"/>
        </w:rPr>
        <w:t xml:space="preserve"> </w:t>
      </w:r>
      <w:r w:rsidRPr="002F0887">
        <w:rPr>
          <w:rStyle w:val="fontstyle01"/>
          <w:rFonts w:ascii="Times New Roman" w:hAnsi="Times New Roman" w:cs="Times New Roman"/>
          <w:sz w:val="24"/>
          <w:szCs w:val="24"/>
        </w:rPr>
        <w:t>framework and presented the scoping review in five stages</w:t>
      </w:r>
      <w:r w:rsidR="00117471" w:rsidRPr="002F0887">
        <w:rPr>
          <w:rStyle w:val="fontstyle01"/>
          <w:rFonts w:ascii="Times New Roman" w:hAnsi="Times New Roman" w:cs="Times New Roman"/>
          <w:sz w:val="24"/>
          <w:szCs w:val="24"/>
        </w:rPr>
        <w:t xml:space="preserve">: (1) Identifying the research question; (2) </w:t>
      </w:r>
      <w:r w:rsidR="00DD5845" w:rsidRPr="002F0887">
        <w:rPr>
          <w:rStyle w:val="fontstyle01"/>
          <w:rFonts w:ascii="Times New Roman" w:hAnsi="Times New Roman" w:cs="Times New Roman"/>
          <w:sz w:val="24"/>
          <w:szCs w:val="24"/>
        </w:rPr>
        <w:t>Identifying relevant articles (3) Study selection</w:t>
      </w:r>
      <w:r w:rsidR="00117471" w:rsidRPr="002F0887">
        <w:rPr>
          <w:rStyle w:val="fontstyle01"/>
          <w:rFonts w:ascii="Times New Roman" w:hAnsi="Times New Roman" w:cs="Times New Roman"/>
          <w:sz w:val="24"/>
          <w:szCs w:val="24"/>
        </w:rPr>
        <w:t xml:space="preserve"> (3) Data </w:t>
      </w:r>
      <w:r w:rsidR="00DD5845" w:rsidRPr="002F0887">
        <w:rPr>
          <w:rStyle w:val="fontstyle01"/>
          <w:rFonts w:ascii="Times New Roman" w:hAnsi="Times New Roman" w:cs="Times New Roman"/>
          <w:sz w:val="24"/>
          <w:szCs w:val="24"/>
        </w:rPr>
        <w:t>c</w:t>
      </w:r>
      <w:r w:rsidRPr="002F0887">
        <w:rPr>
          <w:rStyle w:val="fontstyle01"/>
          <w:rFonts w:ascii="Times New Roman" w:hAnsi="Times New Roman" w:cs="Times New Roman"/>
          <w:sz w:val="24"/>
          <w:szCs w:val="24"/>
        </w:rPr>
        <w:t>harting</w:t>
      </w:r>
      <w:r w:rsidR="00117471" w:rsidRPr="002F0887">
        <w:rPr>
          <w:rStyle w:val="fontstyle01"/>
          <w:rFonts w:ascii="Times New Roman" w:hAnsi="Times New Roman" w:cs="Times New Roman"/>
          <w:sz w:val="24"/>
          <w:szCs w:val="24"/>
        </w:rPr>
        <w:t xml:space="preserve">; and (5) </w:t>
      </w:r>
      <w:r w:rsidR="006011C9" w:rsidRPr="002F0887">
        <w:rPr>
          <w:rStyle w:val="fontstyle01"/>
          <w:rFonts w:ascii="Times New Roman" w:hAnsi="Times New Roman" w:cs="Times New Roman"/>
          <w:sz w:val="24"/>
          <w:szCs w:val="24"/>
        </w:rPr>
        <w:t xml:space="preserve">Collating, </w:t>
      </w:r>
      <w:r w:rsidR="00252901" w:rsidRPr="002F0887">
        <w:rPr>
          <w:rStyle w:val="fontstyle01"/>
          <w:rFonts w:ascii="Times New Roman" w:hAnsi="Times New Roman" w:cs="Times New Roman"/>
          <w:sz w:val="24"/>
          <w:szCs w:val="24"/>
        </w:rPr>
        <w:t>summarizing,</w:t>
      </w:r>
      <w:r w:rsidR="00117471" w:rsidRPr="002F0887">
        <w:rPr>
          <w:rStyle w:val="fontstyle01"/>
          <w:rFonts w:ascii="Times New Roman" w:hAnsi="Times New Roman" w:cs="Times New Roman"/>
          <w:sz w:val="24"/>
          <w:szCs w:val="24"/>
        </w:rPr>
        <w:t xml:space="preserve"> and reporting the</w:t>
      </w:r>
      <w:r w:rsidR="006011C9" w:rsidRPr="002F0887">
        <w:rPr>
          <w:rStyle w:val="fontstyle01"/>
          <w:rFonts w:ascii="Times New Roman" w:hAnsi="Times New Roman" w:cs="Times New Roman"/>
          <w:sz w:val="24"/>
          <w:szCs w:val="24"/>
        </w:rPr>
        <w:t xml:space="preserve"> </w:t>
      </w:r>
      <w:r w:rsidR="00117471" w:rsidRPr="002F0887">
        <w:rPr>
          <w:rStyle w:val="fontstyle01"/>
          <w:rFonts w:ascii="Times New Roman" w:hAnsi="Times New Roman" w:cs="Times New Roman"/>
          <w:sz w:val="24"/>
          <w:szCs w:val="24"/>
        </w:rPr>
        <w:t>results.</w:t>
      </w:r>
      <w:r w:rsidR="0072792C" w:rsidRPr="002F0887">
        <w:rPr>
          <w:rStyle w:val="fontstyle01"/>
          <w:rFonts w:ascii="Times New Roman" w:hAnsi="Times New Roman" w:cs="Times New Roman"/>
          <w:sz w:val="24"/>
          <w:szCs w:val="24"/>
        </w:rPr>
        <w:t xml:space="preserve"> </w:t>
      </w:r>
      <w:r w:rsidR="005F4C8D">
        <w:rPr>
          <w:rStyle w:val="fontstyle01"/>
          <w:rFonts w:ascii="Times New Roman" w:hAnsi="Times New Roman" w:cs="Times New Roman"/>
          <w:sz w:val="24"/>
          <w:szCs w:val="24"/>
        </w:rPr>
        <w:t xml:space="preserve">A scoping review is chosen because, though it is similar in rigour to a systematic review, it comprises of a range of study designs and outcomes that reveals existing knowledge and identify issues requiring further primary study </w:t>
      </w:r>
      <w:r w:rsidR="005F4C8D">
        <w:rPr>
          <w:rStyle w:val="fontstyle01"/>
          <w:rFonts w:ascii="Times New Roman" w:hAnsi="Times New Roman" w:cs="Times New Roman"/>
          <w:sz w:val="24"/>
          <w:szCs w:val="24"/>
        </w:rPr>
        <w:fldChar w:fldCharType="begin" w:fldLock="1"/>
      </w:r>
      <w:r w:rsidR="00093665">
        <w:rPr>
          <w:rStyle w:val="fontstyle01"/>
          <w:rFonts w:ascii="Times New Roman" w:hAnsi="Times New Roman" w:cs="Times New Roman"/>
          <w:sz w:val="24"/>
          <w:szCs w:val="24"/>
        </w:rPr>
        <w:instrText>ADDIN CSL_CITATION {"citationItems":[{"id":"ITEM-1","itemData":{"DOI":"10.1111/hex.13241","ISSN":"13697625","PMID":"33769657","abstract":"Background: Waiting for procedures delayed by COVID-19 may cause anxiety and related adverse consequences. Objective: To synthesize research on the mental health impact of waiting and patient-centred mitigation strategies that could be applied in the COVID-19 context. Methods: Using a scoping review approach, we searched 9 databases for studies on waiting lists and mental health and reported study characteristics, impacts and intervention attributes and outcomes. Results: We included 51 studies that focussed on organ transplant (60.8%), surgery (21.6%) or cancer management (13.7%). Most patients and caregivers reported anxiety, depression and poor quality of life, which deteriorated with increasing wait time. The impact of waiting on mental health was greater among women and new immigrants, and those of younger age, lower socio-economic status, or with less-positive coping ability. Six studies evaluated educational strategies to develop coping skills: 2 reduced depression (2 did not), 1 reduced anxiety (2 did not) and 2 improved quality of life (2 did not). In contrast, patients desired acknowledgement of concerns, peer support, and periodic communication about wait-list position, prioritization criteria and anticipated procedure date. Conclusions: Findings revealed patient-centred strategies to alleviate the mental health impact of waiting for procedures. Ongoing research should explore how to optimize the impact of those strategies for diverse patients and caregivers, particularly in the COVID-19 context. Patient or Public Contribution: Six patients and four caregivers waiting for COVID-19-delayed procedures helped to establish eligibility criteria, plan data extraction and review a draft and final report.","author":[{"dropping-particle":"","family":"Gagliardi","given":"Anna R.","non-dropping-particle":"","parse-names":false,"suffix":""},{"dropping-particle":"","family":"Yip","given":"Cindy Y.Y.","non-dropping-particle":"","parse-names":false,"suffix":""},{"dropping-particle":"","family":"Irish","given":"Jonathan","non-dropping-particle":"","parse-names":false,"suffix":""},{"dropping-particle":"","family":"Wright","given":"Frances C.","non-dropping-particle":"","parse-names":false,"suffix":""},{"dropping-particle":"","family":"Rubin","given":"Barry","non-dropping-particle":"","parse-names":false,"suffix":""},{"dropping-particle":"","family":"Ross","given":"Heather","non-dropping-particle":"","parse-names":false,"suffix":""},{"dropping-particle":"","family":"Green","given":"Robin","non-dropping-particle":"","parse-names":false,"suffix":""},{"dropping-particle":"","family":"Abbey","given":"Susan","non-dropping-particle":"","parse-names":false,"suffix":""},{"dropping-particle":"","family":"McAndrews","given":"Mary Pat","non-dropping-particle":"","parse-names":false,"suffix":""},{"dropping-particle":"","family":"Stewart","given":"Donna E.","non-dropping-particle":"","parse-names":false,"suffix":""}],"container-title":"Health Expectations","id":"ITEM-1","issue":"February","issued":{"date-parts":[["2021"]]},"page":"1-13","title":"The psychological burden of waiting for procedures and patient-centred strategies that could support the mental health of wait-listed patients and caregivers during the COVID-19 pandemic: A scoping review","type":"article-journal"},"uris":["http://www.mendeley.com/documents/?uuid=1b026594-0bd6-4105-be0f-6531bed407e8"]}],"mendeley":{"formattedCitation":"(Gagliardi et al., 2021)","plainTextFormattedCitation":"(Gagliardi et al., 2021)","previouslyFormattedCitation":"(Gagliardi et al., 2021)"},"properties":{"noteIndex":0},"schema":"https://github.com/citation-style-language/schema/raw/master/csl-citation.json"}</w:instrText>
      </w:r>
      <w:r w:rsidR="005F4C8D">
        <w:rPr>
          <w:rStyle w:val="fontstyle01"/>
          <w:rFonts w:ascii="Times New Roman" w:hAnsi="Times New Roman" w:cs="Times New Roman"/>
          <w:sz w:val="24"/>
          <w:szCs w:val="24"/>
        </w:rPr>
        <w:fldChar w:fldCharType="separate"/>
      </w:r>
      <w:r w:rsidR="005F4C8D" w:rsidRPr="005F4C8D">
        <w:rPr>
          <w:rStyle w:val="fontstyle01"/>
          <w:rFonts w:ascii="Times New Roman" w:hAnsi="Times New Roman" w:cs="Times New Roman"/>
          <w:noProof/>
          <w:sz w:val="24"/>
          <w:szCs w:val="24"/>
        </w:rPr>
        <w:t>(Gagliardi et al., 2021)</w:t>
      </w:r>
      <w:r w:rsidR="005F4C8D">
        <w:rPr>
          <w:rStyle w:val="fontstyle01"/>
          <w:rFonts w:ascii="Times New Roman" w:hAnsi="Times New Roman" w:cs="Times New Roman"/>
          <w:sz w:val="24"/>
          <w:szCs w:val="24"/>
        </w:rPr>
        <w:fldChar w:fldCharType="end"/>
      </w:r>
      <w:r w:rsidR="00CA55F4">
        <w:rPr>
          <w:rStyle w:val="fontstyle01"/>
          <w:rFonts w:ascii="Times New Roman" w:hAnsi="Times New Roman" w:cs="Times New Roman"/>
          <w:sz w:val="24"/>
          <w:szCs w:val="24"/>
        </w:rPr>
        <w:t>.</w:t>
      </w:r>
      <w:r w:rsidR="006B3182">
        <w:rPr>
          <w:rStyle w:val="fontstyle01"/>
          <w:rFonts w:ascii="Times New Roman" w:hAnsi="Times New Roman" w:cs="Times New Roman"/>
          <w:sz w:val="24"/>
          <w:szCs w:val="24"/>
        </w:rPr>
        <w:t xml:space="preserve"> Due to limited time or deadline for this work, a rapid review approach was adopted encompassing single language (English), exclusion of grey literature</w:t>
      </w:r>
      <w:r w:rsidR="0090282F">
        <w:rPr>
          <w:rStyle w:val="fontstyle01"/>
          <w:rFonts w:ascii="Times New Roman" w:hAnsi="Times New Roman" w:cs="Times New Roman"/>
          <w:sz w:val="24"/>
          <w:szCs w:val="24"/>
        </w:rPr>
        <w:t>, review of 20 articles</w:t>
      </w:r>
      <w:r w:rsidR="006B3182">
        <w:rPr>
          <w:rStyle w:val="fontstyle01"/>
          <w:rFonts w:ascii="Times New Roman" w:hAnsi="Times New Roman" w:cs="Times New Roman"/>
          <w:sz w:val="24"/>
          <w:szCs w:val="24"/>
        </w:rPr>
        <w:t xml:space="preserve"> and elimination of duplicate articles. </w:t>
      </w:r>
      <w:r w:rsidR="00C75318">
        <w:rPr>
          <w:rStyle w:val="fontstyle01"/>
          <w:rFonts w:ascii="Times New Roman" w:hAnsi="Times New Roman" w:cs="Times New Roman"/>
          <w:sz w:val="24"/>
          <w:szCs w:val="24"/>
        </w:rPr>
        <w:t xml:space="preserve">A </w:t>
      </w:r>
      <w:r w:rsidR="00C75318">
        <w:rPr>
          <w:rStyle w:val="fontstyle01"/>
          <w:rFonts w:ascii="Times New Roman" w:hAnsi="Times New Roman" w:cs="Times New Roman"/>
          <w:sz w:val="24"/>
          <w:szCs w:val="24"/>
        </w:rPr>
        <w:t>short timeframe (last 11 years)</w:t>
      </w:r>
      <w:r w:rsidR="00C75318">
        <w:rPr>
          <w:rStyle w:val="fontstyle01"/>
          <w:rFonts w:ascii="Times New Roman" w:hAnsi="Times New Roman" w:cs="Times New Roman"/>
          <w:sz w:val="24"/>
          <w:szCs w:val="24"/>
        </w:rPr>
        <w:t xml:space="preserve"> was used because the ECEA tool has only recently been applied in the health literature.</w:t>
      </w:r>
      <w:r w:rsidR="00C75318">
        <w:rPr>
          <w:rStyle w:val="fontstyle01"/>
          <w:rFonts w:ascii="Times New Roman" w:hAnsi="Times New Roman" w:cs="Times New Roman"/>
          <w:sz w:val="24"/>
          <w:szCs w:val="24"/>
        </w:rPr>
        <w:t xml:space="preserve"> </w:t>
      </w:r>
      <w:r w:rsidR="006B3182">
        <w:rPr>
          <w:rStyle w:val="fontstyle01"/>
          <w:rFonts w:ascii="Times New Roman" w:hAnsi="Times New Roman" w:cs="Times New Roman"/>
          <w:sz w:val="24"/>
          <w:szCs w:val="24"/>
        </w:rPr>
        <w:t xml:space="preserve">A protocol was not </w:t>
      </w:r>
      <w:r w:rsidR="00D95609">
        <w:rPr>
          <w:rStyle w:val="fontstyle01"/>
          <w:rFonts w:ascii="Times New Roman" w:hAnsi="Times New Roman" w:cs="Times New Roman"/>
          <w:sz w:val="24"/>
          <w:szCs w:val="24"/>
        </w:rPr>
        <w:t>registered,</w:t>
      </w:r>
      <w:r w:rsidR="006B3182">
        <w:rPr>
          <w:rStyle w:val="fontstyle01"/>
          <w:rFonts w:ascii="Times New Roman" w:hAnsi="Times New Roman" w:cs="Times New Roman"/>
          <w:sz w:val="24"/>
          <w:szCs w:val="24"/>
        </w:rPr>
        <w:t xml:space="preserve"> and the study did not require re</w:t>
      </w:r>
      <w:r w:rsidR="00D933CA">
        <w:rPr>
          <w:rStyle w:val="fontstyle01"/>
          <w:rFonts w:ascii="Times New Roman" w:hAnsi="Times New Roman" w:cs="Times New Roman"/>
          <w:sz w:val="24"/>
          <w:szCs w:val="24"/>
        </w:rPr>
        <w:t>search ethics board approval as data were publicly accessible.</w:t>
      </w:r>
      <w:r w:rsidR="00D95609">
        <w:rPr>
          <w:rStyle w:val="fontstyle01"/>
          <w:rFonts w:ascii="Times New Roman" w:hAnsi="Times New Roman" w:cs="Times New Roman"/>
          <w:sz w:val="24"/>
          <w:szCs w:val="24"/>
        </w:rPr>
        <w:t xml:space="preserve"> I did the establishment of eligibility criteria, review of a preliminary summary of extracted data, draft, and final report alone.</w:t>
      </w:r>
    </w:p>
    <w:p w14:paraId="0ECAC68A" w14:textId="71B17941" w:rsidR="006C1EB2" w:rsidRPr="004A0709" w:rsidRDefault="002C7239" w:rsidP="00A86845">
      <w:pPr>
        <w:spacing w:line="480" w:lineRule="auto"/>
        <w:rPr>
          <w:rStyle w:val="fontstyle01"/>
          <w:rFonts w:ascii="Times New Roman" w:hAnsi="Times New Roman" w:cs="Times New Roman"/>
          <w:b/>
          <w:bCs/>
          <w:i/>
          <w:iCs/>
          <w:sz w:val="24"/>
          <w:szCs w:val="24"/>
        </w:rPr>
      </w:pPr>
      <w:r>
        <w:rPr>
          <w:rStyle w:val="fontstyle01"/>
          <w:rFonts w:ascii="Times New Roman" w:hAnsi="Times New Roman" w:cs="Times New Roman"/>
          <w:b/>
          <w:bCs/>
          <w:i/>
          <w:iCs/>
          <w:sz w:val="24"/>
          <w:szCs w:val="24"/>
        </w:rPr>
        <w:lastRenderedPageBreak/>
        <w:t xml:space="preserve">2.1.1 </w:t>
      </w:r>
      <w:r w:rsidR="006C1EB2" w:rsidRPr="004A0709">
        <w:rPr>
          <w:rStyle w:val="fontstyle01"/>
          <w:rFonts w:ascii="Times New Roman" w:hAnsi="Times New Roman" w:cs="Times New Roman"/>
          <w:b/>
          <w:bCs/>
          <w:i/>
          <w:iCs/>
          <w:sz w:val="24"/>
          <w:szCs w:val="24"/>
        </w:rPr>
        <w:t>I</w:t>
      </w:r>
      <w:r w:rsidR="0072792C" w:rsidRPr="004A0709">
        <w:rPr>
          <w:rStyle w:val="fontstyle01"/>
          <w:rFonts w:ascii="Times New Roman" w:hAnsi="Times New Roman" w:cs="Times New Roman"/>
          <w:b/>
          <w:bCs/>
          <w:i/>
          <w:iCs/>
          <w:sz w:val="24"/>
          <w:szCs w:val="24"/>
        </w:rPr>
        <w:t>denti</w:t>
      </w:r>
      <w:r w:rsidR="006C1EB2" w:rsidRPr="004A0709">
        <w:rPr>
          <w:rStyle w:val="fontstyle01"/>
          <w:rFonts w:ascii="Times New Roman" w:hAnsi="Times New Roman" w:cs="Times New Roman"/>
          <w:b/>
          <w:bCs/>
          <w:i/>
          <w:iCs/>
          <w:sz w:val="24"/>
          <w:szCs w:val="24"/>
        </w:rPr>
        <w:t>fying the research question</w:t>
      </w:r>
      <w:r w:rsidR="002D4807">
        <w:rPr>
          <w:rStyle w:val="fontstyle01"/>
          <w:rFonts w:ascii="Times New Roman" w:hAnsi="Times New Roman" w:cs="Times New Roman"/>
          <w:b/>
          <w:bCs/>
          <w:i/>
          <w:iCs/>
          <w:sz w:val="24"/>
          <w:szCs w:val="24"/>
        </w:rPr>
        <w:t>s</w:t>
      </w:r>
    </w:p>
    <w:p w14:paraId="78698A2F" w14:textId="7BDFBE27" w:rsidR="006C1EB2" w:rsidRDefault="001D64FB" w:rsidP="001F70FD">
      <w:pPr>
        <w:spacing w:line="480" w:lineRule="auto"/>
        <w:jc w:val="both"/>
        <w:rPr>
          <w:rFonts w:ascii="Times New Roman" w:hAnsi="Times New Roman" w:cs="Times New Roman"/>
          <w:sz w:val="24"/>
          <w:szCs w:val="24"/>
        </w:rPr>
      </w:pPr>
      <w:r>
        <w:rPr>
          <w:rStyle w:val="fontstyle01"/>
          <w:rFonts w:ascii="Times New Roman" w:hAnsi="Times New Roman" w:cs="Times New Roman"/>
          <w:sz w:val="24"/>
          <w:szCs w:val="24"/>
        </w:rPr>
        <w:t>Many</w:t>
      </w:r>
      <w:r w:rsidR="00310A26" w:rsidRPr="002F0887">
        <w:rPr>
          <w:rStyle w:val="fontstyle01"/>
          <w:rFonts w:ascii="Times New Roman" w:hAnsi="Times New Roman" w:cs="Times New Roman"/>
          <w:sz w:val="24"/>
          <w:szCs w:val="24"/>
        </w:rPr>
        <w:t xml:space="preserve"> </w:t>
      </w:r>
      <w:r w:rsidR="00C41D5A">
        <w:rPr>
          <w:rStyle w:val="fontstyle01"/>
          <w:rFonts w:ascii="Times New Roman" w:hAnsi="Times New Roman" w:cs="Times New Roman"/>
          <w:sz w:val="24"/>
          <w:szCs w:val="24"/>
        </w:rPr>
        <w:t xml:space="preserve">articles </w:t>
      </w:r>
      <w:r>
        <w:rPr>
          <w:rStyle w:val="fontstyle01"/>
          <w:rFonts w:ascii="Times New Roman" w:hAnsi="Times New Roman" w:cs="Times New Roman"/>
          <w:sz w:val="24"/>
          <w:szCs w:val="24"/>
        </w:rPr>
        <w:t xml:space="preserve">were </w:t>
      </w:r>
      <w:r w:rsidRPr="002F0887">
        <w:rPr>
          <w:rStyle w:val="fontstyle01"/>
          <w:rFonts w:ascii="Times New Roman" w:hAnsi="Times New Roman" w:cs="Times New Roman"/>
          <w:sz w:val="24"/>
          <w:szCs w:val="24"/>
        </w:rPr>
        <w:t>identified in the literature</w:t>
      </w:r>
      <w:r>
        <w:rPr>
          <w:rStyle w:val="fontstyle01"/>
          <w:rFonts w:ascii="Times New Roman" w:hAnsi="Times New Roman" w:cs="Times New Roman"/>
          <w:sz w:val="24"/>
          <w:szCs w:val="24"/>
        </w:rPr>
        <w:t xml:space="preserve"> </w:t>
      </w:r>
      <w:r w:rsidR="00C41D5A">
        <w:rPr>
          <w:rStyle w:val="fontstyle01"/>
          <w:rFonts w:ascii="Times New Roman" w:hAnsi="Times New Roman" w:cs="Times New Roman"/>
          <w:sz w:val="24"/>
          <w:szCs w:val="24"/>
        </w:rPr>
        <w:t>that evaluate</w:t>
      </w:r>
      <w:r>
        <w:rPr>
          <w:rStyle w:val="fontstyle01"/>
          <w:rFonts w:ascii="Times New Roman" w:hAnsi="Times New Roman" w:cs="Times New Roman"/>
          <w:sz w:val="24"/>
          <w:szCs w:val="24"/>
        </w:rPr>
        <w:t>d</w:t>
      </w:r>
      <w:r w:rsidR="00C41D5A">
        <w:rPr>
          <w:rStyle w:val="fontstyle01"/>
          <w:rFonts w:ascii="Times New Roman" w:hAnsi="Times New Roman" w:cs="Times New Roman"/>
          <w:sz w:val="24"/>
          <w:szCs w:val="24"/>
        </w:rPr>
        <w:t xml:space="preserve"> health policy interventions</w:t>
      </w:r>
      <w:r w:rsidR="00FB3B95">
        <w:rPr>
          <w:rStyle w:val="fontstyle01"/>
          <w:rFonts w:ascii="Times New Roman" w:hAnsi="Times New Roman" w:cs="Times New Roman"/>
          <w:sz w:val="24"/>
          <w:szCs w:val="24"/>
        </w:rPr>
        <w:t xml:space="preserve"> including UPF programs</w:t>
      </w:r>
      <w:r w:rsidR="002D1E93">
        <w:rPr>
          <w:rStyle w:val="fontstyle01"/>
          <w:rFonts w:ascii="Times New Roman" w:hAnsi="Times New Roman" w:cs="Times New Roman"/>
          <w:sz w:val="24"/>
          <w:szCs w:val="24"/>
        </w:rPr>
        <w:t xml:space="preserve">. However, the study </w:t>
      </w:r>
      <w:r w:rsidR="00C41D5A">
        <w:rPr>
          <w:rStyle w:val="fontstyle01"/>
          <w:rFonts w:ascii="Times New Roman" w:hAnsi="Times New Roman" w:cs="Times New Roman"/>
          <w:sz w:val="24"/>
          <w:szCs w:val="24"/>
        </w:rPr>
        <w:t>intend</w:t>
      </w:r>
      <w:r w:rsidR="00DE547E">
        <w:rPr>
          <w:rStyle w:val="fontstyle01"/>
          <w:rFonts w:ascii="Times New Roman" w:hAnsi="Times New Roman" w:cs="Times New Roman"/>
          <w:sz w:val="24"/>
          <w:szCs w:val="24"/>
        </w:rPr>
        <w:t>ed</w:t>
      </w:r>
      <w:r w:rsidR="00C41D5A">
        <w:rPr>
          <w:rStyle w:val="fontstyle01"/>
          <w:rFonts w:ascii="Times New Roman" w:hAnsi="Times New Roman" w:cs="Times New Roman"/>
          <w:sz w:val="24"/>
          <w:szCs w:val="24"/>
        </w:rPr>
        <w:t xml:space="preserve"> to </w:t>
      </w:r>
      <w:r w:rsidR="007C1C95">
        <w:rPr>
          <w:rStyle w:val="fontstyle01"/>
          <w:rFonts w:ascii="Times New Roman" w:hAnsi="Times New Roman" w:cs="Times New Roman"/>
          <w:sz w:val="24"/>
          <w:szCs w:val="24"/>
        </w:rPr>
        <w:t xml:space="preserve">review articles and </w:t>
      </w:r>
      <w:r w:rsidR="00C41D5A">
        <w:rPr>
          <w:rStyle w:val="fontstyle01"/>
          <w:rFonts w:ascii="Times New Roman" w:hAnsi="Times New Roman" w:cs="Times New Roman"/>
          <w:sz w:val="24"/>
          <w:szCs w:val="24"/>
        </w:rPr>
        <w:t xml:space="preserve">answer the question: </w:t>
      </w:r>
      <w:r w:rsidR="00E726F4">
        <w:rPr>
          <w:rStyle w:val="fontstyle01"/>
          <w:rFonts w:ascii="Times New Roman" w:hAnsi="Times New Roman" w:cs="Times New Roman"/>
          <w:sz w:val="24"/>
          <w:szCs w:val="24"/>
        </w:rPr>
        <w:t>W</w:t>
      </w:r>
      <w:r w:rsidR="00DC6618" w:rsidRPr="00166439">
        <w:rPr>
          <w:rFonts w:ascii="Times New Roman" w:hAnsi="Times New Roman" w:cs="Times New Roman"/>
          <w:sz w:val="24"/>
          <w:szCs w:val="24"/>
        </w:rPr>
        <w:t>hy</w:t>
      </w:r>
      <w:r w:rsidR="00E45400" w:rsidRPr="00166439">
        <w:rPr>
          <w:rFonts w:ascii="Times New Roman" w:hAnsi="Times New Roman" w:cs="Times New Roman"/>
          <w:sz w:val="24"/>
          <w:szCs w:val="24"/>
        </w:rPr>
        <w:t xml:space="preserve"> </w:t>
      </w:r>
      <w:r w:rsidR="00DE547E">
        <w:rPr>
          <w:rFonts w:ascii="Times New Roman" w:hAnsi="Times New Roman" w:cs="Times New Roman"/>
          <w:sz w:val="24"/>
          <w:szCs w:val="24"/>
        </w:rPr>
        <w:t xml:space="preserve">is stratification of health and </w:t>
      </w:r>
      <w:r w:rsidR="008E44C7">
        <w:rPr>
          <w:rFonts w:ascii="Times New Roman" w:hAnsi="Times New Roman" w:cs="Times New Roman"/>
          <w:sz w:val="24"/>
          <w:szCs w:val="24"/>
        </w:rPr>
        <w:t>non-health benefits</w:t>
      </w:r>
      <w:r w:rsidR="00AD0370">
        <w:rPr>
          <w:rFonts w:ascii="Times New Roman" w:hAnsi="Times New Roman" w:cs="Times New Roman"/>
          <w:sz w:val="24"/>
          <w:szCs w:val="24"/>
        </w:rPr>
        <w:t xml:space="preserve"> </w:t>
      </w:r>
      <w:r w:rsidR="00DE547E">
        <w:rPr>
          <w:rFonts w:ascii="Times New Roman" w:hAnsi="Times New Roman" w:cs="Times New Roman"/>
          <w:sz w:val="24"/>
          <w:szCs w:val="24"/>
        </w:rPr>
        <w:t xml:space="preserve">across </w:t>
      </w:r>
      <w:r w:rsidR="00DE547E">
        <w:rPr>
          <w:rStyle w:val="fontstyle01"/>
          <w:rFonts w:ascii="Times New Roman" w:hAnsi="Times New Roman" w:cs="Times New Roman"/>
          <w:sz w:val="24"/>
          <w:szCs w:val="24"/>
        </w:rPr>
        <w:t>equity-relevant variables</w:t>
      </w:r>
      <w:r w:rsidR="00DE547E">
        <w:rPr>
          <w:rFonts w:ascii="Times New Roman" w:hAnsi="Times New Roman" w:cs="Times New Roman"/>
          <w:sz w:val="24"/>
          <w:szCs w:val="24"/>
        </w:rPr>
        <w:t xml:space="preserve"> </w:t>
      </w:r>
      <w:r w:rsidR="00750C2B">
        <w:rPr>
          <w:rFonts w:ascii="Times New Roman" w:hAnsi="Times New Roman" w:cs="Times New Roman"/>
          <w:sz w:val="24"/>
          <w:szCs w:val="24"/>
        </w:rPr>
        <w:t>important</w:t>
      </w:r>
      <w:r w:rsidR="00DE547E">
        <w:rPr>
          <w:rFonts w:ascii="Times New Roman" w:hAnsi="Times New Roman" w:cs="Times New Roman"/>
          <w:sz w:val="24"/>
          <w:szCs w:val="24"/>
        </w:rPr>
        <w:t xml:space="preserve"> </w:t>
      </w:r>
      <w:r w:rsidR="00E45400" w:rsidRPr="00166439">
        <w:rPr>
          <w:rFonts w:ascii="Times New Roman" w:hAnsi="Times New Roman" w:cs="Times New Roman"/>
          <w:sz w:val="24"/>
          <w:szCs w:val="24"/>
        </w:rPr>
        <w:t xml:space="preserve">in </w:t>
      </w:r>
      <w:r w:rsidR="0007714A">
        <w:rPr>
          <w:rFonts w:ascii="Times New Roman" w:hAnsi="Times New Roman" w:cs="Times New Roman"/>
          <w:sz w:val="24"/>
          <w:szCs w:val="24"/>
        </w:rPr>
        <w:t xml:space="preserve">an </w:t>
      </w:r>
      <w:r w:rsidR="00E45400" w:rsidRPr="00166439">
        <w:rPr>
          <w:rFonts w:ascii="Times New Roman" w:hAnsi="Times New Roman" w:cs="Times New Roman"/>
          <w:sz w:val="24"/>
          <w:szCs w:val="24"/>
        </w:rPr>
        <w:t>economic evaluation</w:t>
      </w:r>
      <w:r w:rsidR="00A0384E">
        <w:rPr>
          <w:rFonts w:ascii="Times New Roman" w:hAnsi="Times New Roman" w:cs="Times New Roman"/>
          <w:sz w:val="24"/>
          <w:szCs w:val="24"/>
        </w:rPr>
        <w:t xml:space="preserve"> of </w:t>
      </w:r>
      <w:r w:rsidR="00DE547E">
        <w:rPr>
          <w:rFonts w:ascii="Times New Roman" w:hAnsi="Times New Roman" w:cs="Times New Roman"/>
          <w:sz w:val="24"/>
          <w:szCs w:val="24"/>
        </w:rPr>
        <w:t xml:space="preserve">health </w:t>
      </w:r>
      <w:r w:rsidR="00A0384E">
        <w:rPr>
          <w:rFonts w:ascii="Times New Roman" w:hAnsi="Times New Roman" w:cs="Times New Roman"/>
          <w:sz w:val="24"/>
          <w:szCs w:val="24"/>
        </w:rPr>
        <w:t>policy interventions</w:t>
      </w:r>
      <w:r w:rsidR="00166439">
        <w:rPr>
          <w:rFonts w:ascii="Times New Roman" w:hAnsi="Times New Roman" w:cs="Times New Roman"/>
          <w:sz w:val="24"/>
          <w:szCs w:val="24"/>
        </w:rPr>
        <w:t xml:space="preserve"> in LMICs</w:t>
      </w:r>
      <w:r w:rsidR="00E45400" w:rsidRPr="00166439">
        <w:rPr>
          <w:rFonts w:ascii="Times New Roman" w:hAnsi="Times New Roman" w:cs="Times New Roman"/>
          <w:sz w:val="24"/>
          <w:szCs w:val="24"/>
        </w:rPr>
        <w:t>?</w:t>
      </w:r>
      <w:r w:rsidR="00DE547E">
        <w:rPr>
          <w:rFonts w:ascii="Times New Roman" w:hAnsi="Times New Roman" w:cs="Times New Roman"/>
          <w:sz w:val="24"/>
          <w:szCs w:val="24"/>
        </w:rPr>
        <w:t xml:space="preserve"> </w:t>
      </w:r>
    </w:p>
    <w:p w14:paraId="518ED275" w14:textId="2F5A01E6" w:rsidR="007948ED" w:rsidRPr="00166439" w:rsidRDefault="007948ED" w:rsidP="001F70FD">
      <w:pPr>
        <w:spacing w:line="480" w:lineRule="auto"/>
        <w:jc w:val="both"/>
        <w:rPr>
          <w:rStyle w:val="fontstyle01"/>
          <w:rFonts w:ascii="Times New Roman" w:hAnsi="Times New Roman" w:cs="Times New Roman"/>
          <w:color w:val="auto"/>
          <w:sz w:val="24"/>
          <w:szCs w:val="24"/>
        </w:rPr>
      </w:pPr>
      <w:r>
        <w:rPr>
          <w:rFonts w:ascii="Times New Roman" w:hAnsi="Times New Roman" w:cs="Times New Roman"/>
          <w:sz w:val="24"/>
          <w:szCs w:val="24"/>
        </w:rPr>
        <w:t xml:space="preserve">The research question is chosen against the backdrop that </w:t>
      </w:r>
      <w:r>
        <w:rPr>
          <w:rStyle w:val="fontstyle01"/>
          <w:rFonts w:ascii="Times New Roman" w:hAnsi="Times New Roman" w:cs="Times New Roman"/>
          <w:sz w:val="24"/>
          <w:szCs w:val="24"/>
        </w:rPr>
        <w:t>a</w:t>
      </w:r>
      <w:r>
        <w:rPr>
          <w:rStyle w:val="fontstyle01"/>
          <w:rFonts w:ascii="Times New Roman" w:hAnsi="Times New Roman" w:cs="Times New Roman"/>
          <w:sz w:val="24"/>
          <w:szCs w:val="24"/>
        </w:rPr>
        <w:t>bout a fourth of households in LMICs are at financial risk of CHE (</w:t>
      </w:r>
      <w:r w:rsidRPr="002F0887">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{"citationItems":[{"id":"ITEM-1","itemData":{"author":[{"dropping-particle":"","family":"Kruk ME, Goldmann E","given":"Galea S.","non-dropping-particle":"","parse-names":false,"suffix":""}],"container-title":"Health Affairs","id":"ITEM-1","issue":"4","issued":{"date-parts":[["2009"]]},"page":"1056–1066","title":"Borrowing and selling to pay for health care in low- and middle-income countries.","type":"article-journal","volume":"28"},"uris":["http://www.mendeley.com/documents/?uuid=6ec29523-2e68-486f-b9c1-62a687a240c2"]}],"mendeley":{"formattedCitation":"(Kruk ME, Goldmann E, 2009)","manualFormatting":"Kruk et al., 2009)","plainTextFormattedCitation":"(Kruk ME, Goldmann E, 2009)","previouslyFormattedCitation":"(Kruk ME, Goldmann E, 2009)"},"properties":{"noteIndex":0},"schema":"https://github.com/citation-style-language/schema/raw/master/csl-citation.json"}</w:instrText>
      </w:r>
      <w:r w:rsidRPr="002F0887">
        <w:rPr>
          <w:rFonts w:ascii="Times New Roman" w:hAnsi="Times New Roman" w:cs="Times New Roman"/>
          <w:sz w:val="24"/>
          <w:szCs w:val="24"/>
        </w:rPr>
        <w:fldChar w:fldCharType="separate"/>
      </w:r>
      <w:r w:rsidRPr="002F0887">
        <w:rPr>
          <w:rFonts w:ascii="Times New Roman" w:hAnsi="Times New Roman" w:cs="Times New Roman"/>
          <w:noProof/>
          <w:sz w:val="24"/>
          <w:szCs w:val="24"/>
        </w:rPr>
        <w:t>Kruk et al.</w:t>
      </w:r>
      <w:r>
        <w:rPr>
          <w:rFonts w:ascii="Times New Roman" w:hAnsi="Times New Roman" w:cs="Times New Roman"/>
          <w:noProof/>
          <w:sz w:val="24"/>
          <w:szCs w:val="24"/>
        </w:rPr>
        <w:t xml:space="preserve">, </w:t>
      </w:r>
      <w:r w:rsidRPr="002F0887">
        <w:rPr>
          <w:rFonts w:ascii="Times New Roman" w:hAnsi="Times New Roman" w:cs="Times New Roman"/>
          <w:noProof/>
          <w:sz w:val="24"/>
          <w:szCs w:val="24"/>
        </w:rPr>
        <w:t>2009)</w:t>
      </w:r>
      <w:r w:rsidRPr="002F0887">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t>which may also vary</w:t>
      </w:r>
      <w:r w:rsidR="00015580">
        <w:rPr>
          <w:rFonts w:ascii="Times New Roman" w:hAnsi="Times New Roman" w:cs="Times New Roman"/>
          <w:sz w:val="24"/>
          <w:szCs w:val="24"/>
        </w:rPr>
        <w:t xml:space="preserve"> by</w:t>
      </w:r>
      <w:r>
        <w:rPr>
          <w:rFonts w:ascii="Times New Roman" w:hAnsi="Times New Roman" w:cs="Times New Roman"/>
          <w:sz w:val="24"/>
          <w:szCs w:val="24"/>
        </w:rPr>
        <w:t xml:space="preserve"> sex or region or any other equity-relevant variables.</w:t>
      </w:r>
    </w:p>
    <w:p w14:paraId="7C347B8D" w14:textId="1CCB36A7" w:rsidR="008C26B9" w:rsidRPr="004A0709" w:rsidRDefault="002C7239" w:rsidP="00A86845">
      <w:pPr>
        <w:spacing w:line="480" w:lineRule="auto"/>
        <w:rPr>
          <w:rStyle w:val="fontstyle01"/>
          <w:rFonts w:ascii="Times New Roman" w:hAnsi="Times New Roman" w:cs="Times New Roman"/>
          <w:b/>
          <w:bCs/>
          <w:i/>
          <w:iCs/>
          <w:sz w:val="24"/>
          <w:szCs w:val="24"/>
        </w:rPr>
      </w:pPr>
      <w:r>
        <w:rPr>
          <w:rStyle w:val="fontstyle01"/>
          <w:rFonts w:ascii="Times New Roman" w:hAnsi="Times New Roman" w:cs="Times New Roman"/>
          <w:b/>
          <w:bCs/>
          <w:i/>
          <w:iCs/>
          <w:sz w:val="24"/>
          <w:szCs w:val="24"/>
        </w:rPr>
        <w:t>2.1.</w:t>
      </w:r>
      <w:r>
        <w:rPr>
          <w:rStyle w:val="fontstyle01"/>
          <w:rFonts w:ascii="Times New Roman" w:hAnsi="Times New Roman" w:cs="Times New Roman"/>
          <w:b/>
          <w:bCs/>
          <w:i/>
          <w:iCs/>
          <w:sz w:val="24"/>
          <w:szCs w:val="24"/>
        </w:rPr>
        <w:t>2</w:t>
      </w:r>
      <w:r>
        <w:rPr>
          <w:rStyle w:val="fontstyle01"/>
          <w:rFonts w:ascii="Times New Roman" w:hAnsi="Times New Roman" w:cs="Times New Roman"/>
          <w:b/>
          <w:bCs/>
          <w:i/>
          <w:iCs/>
          <w:sz w:val="24"/>
          <w:szCs w:val="24"/>
        </w:rPr>
        <w:t xml:space="preserve"> </w:t>
      </w:r>
      <w:r w:rsidR="008C26B9" w:rsidRPr="004A0709">
        <w:rPr>
          <w:rStyle w:val="fontstyle01"/>
          <w:rFonts w:ascii="Times New Roman" w:hAnsi="Times New Roman" w:cs="Times New Roman"/>
          <w:b/>
          <w:bCs/>
          <w:i/>
          <w:iCs/>
          <w:sz w:val="24"/>
          <w:szCs w:val="24"/>
        </w:rPr>
        <w:t>Identifying relevant studies</w:t>
      </w:r>
    </w:p>
    <w:p w14:paraId="5812CDBD" w14:textId="3FE0BDBA" w:rsidR="008C26B9" w:rsidRDefault="00F6012A" w:rsidP="003674C2">
      <w:pPr>
        <w:spacing w:line="480" w:lineRule="auto"/>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Table </w:t>
      </w:r>
      <w:r w:rsidR="000A64CE">
        <w:rPr>
          <w:rStyle w:val="fontstyle01"/>
          <w:rFonts w:ascii="Times New Roman" w:hAnsi="Times New Roman" w:cs="Times New Roman"/>
          <w:sz w:val="24"/>
          <w:szCs w:val="24"/>
        </w:rPr>
        <w:t>2</w:t>
      </w:r>
      <w:r>
        <w:rPr>
          <w:rStyle w:val="fontstyle01"/>
          <w:rFonts w:ascii="Times New Roman" w:hAnsi="Times New Roman" w:cs="Times New Roman"/>
          <w:sz w:val="24"/>
          <w:szCs w:val="24"/>
        </w:rPr>
        <w:t xml:space="preserve"> (see Appendix) specifies inclusion criteria. </w:t>
      </w:r>
      <w:r w:rsidR="008C26B9" w:rsidRPr="002F0887">
        <w:rPr>
          <w:rStyle w:val="fontstyle01"/>
          <w:rFonts w:ascii="Times New Roman" w:hAnsi="Times New Roman" w:cs="Times New Roman"/>
          <w:sz w:val="24"/>
          <w:szCs w:val="24"/>
        </w:rPr>
        <w:t>The study included</w:t>
      </w:r>
      <w:r w:rsidR="0048487F">
        <w:rPr>
          <w:rStyle w:val="fontstyle01"/>
          <w:rFonts w:ascii="Times New Roman" w:hAnsi="Times New Roman" w:cs="Times New Roman"/>
          <w:sz w:val="24"/>
          <w:szCs w:val="24"/>
        </w:rPr>
        <w:t xml:space="preserve"> </w:t>
      </w:r>
      <w:r w:rsidR="003A6A8C" w:rsidRPr="002F0887">
        <w:rPr>
          <w:rStyle w:val="fontstyle01"/>
          <w:rFonts w:ascii="Times New Roman" w:hAnsi="Times New Roman" w:cs="Times New Roman"/>
          <w:sz w:val="24"/>
          <w:szCs w:val="24"/>
        </w:rPr>
        <w:t>peer-</w:t>
      </w:r>
      <w:r w:rsidR="003A6A8C">
        <w:rPr>
          <w:rStyle w:val="fontstyle01"/>
          <w:rFonts w:ascii="Times New Roman" w:hAnsi="Times New Roman" w:cs="Times New Roman"/>
          <w:sz w:val="24"/>
          <w:szCs w:val="24"/>
        </w:rPr>
        <w:t>r</w:t>
      </w:r>
      <w:r w:rsidR="003A6A8C" w:rsidRPr="002F0887">
        <w:rPr>
          <w:rStyle w:val="fontstyle01"/>
          <w:rFonts w:ascii="Times New Roman" w:hAnsi="Times New Roman" w:cs="Times New Roman"/>
          <w:sz w:val="24"/>
          <w:szCs w:val="24"/>
        </w:rPr>
        <w:t>eviewed journal articles</w:t>
      </w:r>
      <w:r w:rsidR="0048487F">
        <w:rPr>
          <w:rStyle w:val="fontstyle01"/>
          <w:rFonts w:ascii="Times New Roman" w:hAnsi="Times New Roman" w:cs="Times New Roman"/>
          <w:sz w:val="24"/>
          <w:szCs w:val="24"/>
        </w:rPr>
        <w:t xml:space="preserve"> that evaluated the health and non-health impact of </w:t>
      </w:r>
      <w:r w:rsidR="004700E2">
        <w:rPr>
          <w:rStyle w:val="fontstyle01"/>
          <w:rFonts w:ascii="Times New Roman" w:hAnsi="Times New Roman" w:cs="Times New Roman"/>
          <w:sz w:val="24"/>
          <w:szCs w:val="24"/>
        </w:rPr>
        <w:t xml:space="preserve">any health </w:t>
      </w:r>
      <w:r w:rsidR="0048487F">
        <w:rPr>
          <w:rStyle w:val="fontstyle01"/>
          <w:rFonts w:ascii="Times New Roman" w:hAnsi="Times New Roman" w:cs="Times New Roman"/>
          <w:sz w:val="24"/>
          <w:szCs w:val="24"/>
        </w:rPr>
        <w:t>policy interventions</w:t>
      </w:r>
      <w:r w:rsidR="004700E2">
        <w:rPr>
          <w:rStyle w:val="fontstyle01"/>
          <w:rFonts w:ascii="Times New Roman" w:hAnsi="Times New Roman" w:cs="Times New Roman"/>
          <w:sz w:val="24"/>
          <w:szCs w:val="24"/>
        </w:rPr>
        <w:t xml:space="preserve"> (e.g., UPF programs and public interventions)</w:t>
      </w:r>
      <w:r w:rsidR="0048487F">
        <w:rPr>
          <w:rStyle w:val="fontstyle01"/>
          <w:rFonts w:ascii="Times New Roman" w:hAnsi="Times New Roman" w:cs="Times New Roman"/>
          <w:sz w:val="24"/>
          <w:szCs w:val="24"/>
        </w:rPr>
        <w:t xml:space="preserve"> stratified across equity-relevant variables (e.</w:t>
      </w:r>
      <w:r w:rsidR="004700E2">
        <w:rPr>
          <w:rStyle w:val="fontstyle01"/>
          <w:rFonts w:ascii="Times New Roman" w:hAnsi="Times New Roman" w:cs="Times New Roman"/>
          <w:sz w:val="24"/>
          <w:szCs w:val="24"/>
        </w:rPr>
        <w:t>g.</w:t>
      </w:r>
      <w:r w:rsidR="0048487F">
        <w:rPr>
          <w:rStyle w:val="fontstyle01"/>
          <w:rFonts w:ascii="Times New Roman" w:hAnsi="Times New Roman" w:cs="Times New Roman"/>
          <w:sz w:val="24"/>
          <w:szCs w:val="24"/>
        </w:rPr>
        <w:t>, income quintile</w:t>
      </w:r>
      <w:r w:rsidR="004700E2">
        <w:rPr>
          <w:rStyle w:val="fontstyle01"/>
          <w:rFonts w:ascii="Times New Roman" w:hAnsi="Times New Roman" w:cs="Times New Roman"/>
          <w:sz w:val="24"/>
          <w:szCs w:val="24"/>
        </w:rPr>
        <w:t>,</w:t>
      </w:r>
      <w:r w:rsidR="0048487F">
        <w:rPr>
          <w:rStyle w:val="fontstyle01"/>
          <w:rFonts w:ascii="Times New Roman" w:hAnsi="Times New Roman" w:cs="Times New Roman"/>
          <w:sz w:val="24"/>
          <w:szCs w:val="24"/>
        </w:rPr>
        <w:t xml:space="preserve"> sex</w:t>
      </w:r>
      <w:r w:rsidR="004700E2">
        <w:rPr>
          <w:rStyle w:val="fontstyle01"/>
          <w:rFonts w:ascii="Times New Roman" w:hAnsi="Times New Roman" w:cs="Times New Roman"/>
          <w:sz w:val="24"/>
          <w:szCs w:val="24"/>
        </w:rPr>
        <w:t>,</w:t>
      </w:r>
      <w:r w:rsidR="0048487F">
        <w:rPr>
          <w:rStyle w:val="fontstyle01"/>
          <w:rFonts w:ascii="Times New Roman" w:hAnsi="Times New Roman" w:cs="Times New Roman"/>
          <w:sz w:val="24"/>
          <w:szCs w:val="24"/>
        </w:rPr>
        <w:t xml:space="preserve"> region</w:t>
      </w:r>
      <w:r w:rsidR="004700E2">
        <w:rPr>
          <w:rStyle w:val="fontstyle01"/>
          <w:rFonts w:ascii="Times New Roman" w:hAnsi="Times New Roman" w:cs="Times New Roman"/>
          <w:sz w:val="24"/>
          <w:szCs w:val="24"/>
        </w:rPr>
        <w:t>, district, county</w:t>
      </w:r>
      <w:r w:rsidR="005E540A">
        <w:rPr>
          <w:rStyle w:val="fontstyle01"/>
          <w:rFonts w:ascii="Times New Roman" w:hAnsi="Times New Roman" w:cs="Times New Roman"/>
          <w:sz w:val="24"/>
          <w:szCs w:val="24"/>
        </w:rPr>
        <w:t>, province</w:t>
      </w:r>
      <w:r w:rsidR="00EA41BA">
        <w:rPr>
          <w:rStyle w:val="fontstyle01"/>
          <w:rFonts w:ascii="Times New Roman" w:hAnsi="Times New Roman" w:cs="Times New Roman"/>
          <w:sz w:val="24"/>
          <w:szCs w:val="24"/>
        </w:rPr>
        <w:t>, severity of disease</w:t>
      </w:r>
      <w:r w:rsidR="00603E13">
        <w:rPr>
          <w:rStyle w:val="fontstyle01"/>
          <w:rFonts w:ascii="Times New Roman" w:hAnsi="Times New Roman" w:cs="Times New Roman"/>
          <w:sz w:val="24"/>
          <w:szCs w:val="24"/>
        </w:rPr>
        <w:t xml:space="preserve"> etc.</w:t>
      </w:r>
      <w:r w:rsidR="0048487F">
        <w:rPr>
          <w:rStyle w:val="fontstyle01"/>
          <w:rFonts w:ascii="Times New Roman" w:hAnsi="Times New Roman" w:cs="Times New Roman"/>
          <w:sz w:val="24"/>
          <w:szCs w:val="24"/>
        </w:rPr>
        <w:t>).</w:t>
      </w:r>
      <w:r w:rsidR="004747F0">
        <w:rPr>
          <w:rStyle w:val="fontstyle01"/>
          <w:rFonts w:ascii="Times New Roman" w:hAnsi="Times New Roman" w:cs="Times New Roman"/>
          <w:sz w:val="24"/>
          <w:szCs w:val="24"/>
        </w:rPr>
        <w:t xml:space="preserve"> Study design encompassed qualitative, quantitative</w:t>
      </w:r>
      <w:r w:rsidR="001A783C">
        <w:rPr>
          <w:rStyle w:val="fontstyle01"/>
          <w:rFonts w:ascii="Times New Roman" w:hAnsi="Times New Roman" w:cs="Times New Roman"/>
          <w:sz w:val="24"/>
          <w:szCs w:val="24"/>
        </w:rPr>
        <w:t>,</w:t>
      </w:r>
      <w:r w:rsidR="004747F0">
        <w:rPr>
          <w:rStyle w:val="fontstyle01"/>
          <w:rFonts w:ascii="Times New Roman" w:hAnsi="Times New Roman" w:cs="Times New Roman"/>
          <w:sz w:val="24"/>
          <w:szCs w:val="24"/>
        </w:rPr>
        <w:t xml:space="preserve"> or mixed methods.</w:t>
      </w:r>
      <w:r w:rsidR="001A783C">
        <w:rPr>
          <w:rStyle w:val="fontstyle01"/>
          <w:rFonts w:ascii="Times New Roman" w:hAnsi="Times New Roman" w:cs="Times New Roman"/>
          <w:sz w:val="24"/>
          <w:szCs w:val="24"/>
        </w:rPr>
        <w:t xml:space="preserve"> </w:t>
      </w:r>
      <w:r w:rsidR="007948ED">
        <w:rPr>
          <w:rFonts w:ascii="Times New Roman" w:hAnsi="Times New Roman" w:cs="Times New Roman"/>
          <w:sz w:val="24"/>
          <w:szCs w:val="24"/>
        </w:rPr>
        <w:t>I</w:t>
      </w:r>
      <w:r w:rsidR="001A783C">
        <w:rPr>
          <w:rFonts w:ascii="Times New Roman" w:hAnsi="Times New Roman" w:cs="Times New Roman"/>
          <w:sz w:val="24"/>
          <w:szCs w:val="24"/>
        </w:rPr>
        <w:t xml:space="preserve"> excluded studies that evaluated only the health benefits</w:t>
      </w:r>
      <w:r w:rsidR="001F2A6B">
        <w:rPr>
          <w:rFonts w:ascii="Times New Roman" w:hAnsi="Times New Roman" w:cs="Times New Roman"/>
          <w:sz w:val="24"/>
          <w:szCs w:val="24"/>
        </w:rPr>
        <w:t xml:space="preserve"> </w:t>
      </w:r>
      <w:r w:rsidR="001A783C">
        <w:rPr>
          <w:rFonts w:ascii="Times New Roman" w:hAnsi="Times New Roman" w:cs="Times New Roman"/>
          <w:sz w:val="24"/>
          <w:szCs w:val="24"/>
        </w:rPr>
        <w:t>of policy interventions so that the findings will reflect the relevance and impact of FRP in HPA in LMICs.</w:t>
      </w:r>
      <w:r w:rsidR="003A6A8C">
        <w:rPr>
          <w:rFonts w:ascii="Times New Roman" w:hAnsi="Times New Roman" w:cs="Times New Roman"/>
          <w:sz w:val="24"/>
          <w:szCs w:val="24"/>
        </w:rPr>
        <w:t xml:space="preserve"> Studies that </w:t>
      </w:r>
      <w:r w:rsidR="006527D1">
        <w:rPr>
          <w:rFonts w:ascii="Times New Roman" w:hAnsi="Times New Roman" w:cs="Times New Roman"/>
          <w:sz w:val="24"/>
          <w:szCs w:val="24"/>
        </w:rPr>
        <w:t>focused only on CEA, DCEA or any forms of ETA were excluded.</w:t>
      </w:r>
      <w:r w:rsidR="00FD2B61">
        <w:rPr>
          <w:rStyle w:val="fontstyle01"/>
          <w:rFonts w:ascii="Times New Roman" w:hAnsi="Times New Roman" w:cs="Times New Roman"/>
          <w:sz w:val="24"/>
          <w:szCs w:val="24"/>
        </w:rPr>
        <w:t xml:space="preserve"> </w:t>
      </w:r>
      <w:r w:rsidR="007D670F">
        <w:rPr>
          <w:rStyle w:val="fontstyle01"/>
          <w:rFonts w:ascii="Times New Roman" w:hAnsi="Times New Roman" w:cs="Times New Roman"/>
          <w:sz w:val="24"/>
          <w:szCs w:val="24"/>
        </w:rPr>
        <w:t>Publications in the form of c</w:t>
      </w:r>
      <w:r w:rsidR="00607B8D" w:rsidRPr="002F0887">
        <w:rPr>
          <w:rStyle w:val="fontstyle01"/>
          <w:rFonts w:ascii="Times New Roman" w:hAnsi="Times New Roman" w:cs="Times New Roman"/>
          <w:sz w:val="24"/>
          <w:szCs w:val="24"/>
        </w:rPr>
        <w:t>ommentaries,</w:t>
      </w:r>
      <w:r w:rsidR="007D670F">
        <w:rPr>
          <w:rStyle w:val="fontstyle01"/>
          <w:rFonts w:ascii="Times New Roman" w:hAnsi="Times New Roman" w:cs="Times New Roman"/>
          <w:sz w:val="24"/>
          <w:szCs w:val="24"/>
        </w:rPr>
        <w:t xml:space="preserve"> abstracts,</w:t>
      </w:r>
      <w:r w:rsidR="00607B8D" w:rsidRPr="002F0887">
        <w:rPr>
          <w:rStyle w:val="fontstyle01"/>
          <w:rFonts w:ascii="Times New Roman" w:hAnsi="Times New Roman" w:cs="Times New Roman"/>
          <w:sz w:val="24"/>
          <w:szCs w:val="24"/>
        </w:rPr>
        <w:t xml:space="preserve"> </w:t>
      </w:r>
      <w:r w:rsidR="003B1059" w:rsidRPr="002F0887">
        <w:rPr>
          <w:rStyle w:val="fontstyle01"/>
          <w:rFonts w:ascii="Times New Roman" w:hAnsi="Times New Roman" w:cs="Times New Roman"/>
          <w:sz w:val="24"/>
          <w:szCs w:val="24"/>
        </w:rPr>
        <w:t xml:space="preserve">editorials, letters, </w:t>
      </w:r>
      <w:r w:rsidR="00D46494" w:rsidRPr="002F0887">
        <w:rPr>
          <w:rStyle w:val="fontstyle01"/>
          <w:rFonts w:ascii="Times New Roman" w:hAnsi="Times New Roman" w:cs="Times New Roman"/>
          <w:sz w:val="24"/>
          <w:szCs w:val="24"/>
        </w:rPr>
        <w:t>and studies written in French and other languages were excluded from the review.</w:t>
      </w:r>
      <w:r w:rsidR="00BF29D6">
        <w:rPr>
          <w:rStyle w:val="fontstyle01"/>
          <w:rFonts w:ascii="Times New Roman" w:hAnsi="Times New Roman" w:cs="Times New Roman"/>
          <w:sz w:val="24"/>
          <w:szCs w:val="24"/>
        </w:rPr>
        <w:t xml:space="preserve"> </w:t>
      </w:r>
    </w:p>
    <w:p w14:paraId="5E0A409F" w14:textId="0307D76B" w:rsidR="00D109C1" w:rsidRPr="00D70121" w:rsidRDefault="002C7239" w:rsidP="00A86845">
      <w:pPr>
        <w:spacing w:line="480" w:lineRule="auto"/>
        <w:rPr>
          <w:rStyle w:val="fontstyle01"/>
          <w:rFonts w:ascii="Times New Roman" w:hAnsi="Times New Roman" w:cs="Times New Roman"/>
          <w:b/>
          <w:bCs/>
          <w:i/>
          <w:iCs/>
          <w:sz w:val="24"/>
          <w:szCs w:val="24"/>
        </w:rPr>
      </w:pPr>
      <w:r>
        <w:rPr>
          <w:rStyle w:val="fontstyle01"/>
          <w:rFonts w:ascii="Times New Roman" w:hAnsi="Times New Roman" w:cs="Times New Roman"/>
          <w:b/>
          <w:bCs/>
          <w:i/>
          <w:iCs/>
          <w:sz w:val="24"/>
          <w:szCs w:val="24"/>
        </w:rPr>
        <w:t>2.1.</w:t>
      </w:r>
      <w:r>
        <w:rPr>
          <w:rStyle w:val="fontstyle01"/>
          <w:rFonts w:ascii="Times New Roman" w:hAnsi="Times New Roman" w:cs="Times New Roman"/>
          <w:b/>
          <w:bCs/>
          <w:i/>
          <w:iCs/>
          <w:sz w:val="24"/>
          <w:szCs w:val="24"/>
        </w:rPr>
        <w:t xml:space="preserve">3 </w:t>
      </w:r>
      <w:r w:rsidR="006C1EB2" w:rsidRPr="00D70121">
        <w:rPr>
          <w:rStyle w:val="fontstyle01"/>
          <w:rFonts w:ascii="Times New Roman" w:hAnsi="Times New Roman" w:cs="Times New Roman"/>
          <w:b/>
          <w:bCs/>
          <w:i/>
          <w:iCs/>
          <w:sz w:val="24"/>
          <w:szCs w:val="24"/>
        </w:rPr>
        <w:t>Defining the s</w:t>
      </w:r>
      <w:r w:rsidR="00D109C1" w:rsidRPr="00D70121">
        <w:rPr>
          <w:rStyle w:val="fontstyle01"/>
          <w:rFonts w:ascii="Times New Roman" w:hAnsi="Times New Roman" w:cs="Times New Roman"/>
          <w:b/>
          <w:bCs/>
          <w:i/>
          <w:iCs/>
          <w:sz w:val="24"/>
          <w:szCs w:val="24"/>
        </w:rPr>
        <w:t xml:space="preserve">earch </w:t>
      </w:r>
      <w:r w:rsidR="006C1EB2" w:rsidRPr="00D70121">
        <w:rPr>
          <w:rStyle w:val="fontstyle01"/>
          <w:rFonts w:ascii="Times New Roman" w:hAnsi="Times New Roman" w:cs="Times New Roman"/>
          <w:b/>
          <w:bCs/>
          <w:i/>
          <w:iCs/>
          <w:sz w:val="24"/>
          <w:szCs w:val="24"/>
        </w:rPr>
        <w:t>s</w:t>
      </w:r>
      <w:r w:rsidR="00D109C1" w:rsidRPr="00D70121">
        <w:rPr>
          <w:rStyle w:val="fontstyle01"/>
          <w:rFonts w:ascii="Times New Roman" w:hAnsi="Times New Roman" w:cs="Times New Roman"/>
          <w:b/>
          <w:bCs/>
          <w:i/>
          <w:iCs/>
          <w:sz w:val="24"/>
          <w:szCs w:val="24"/>
        </w:rPr>
        <w:t>trategy</w:t>
      </w:r>
      <w:r w:rsidR="006C1EB2" w:rsidRPr="00D70121">
        <w:rPr>
          <w:rStyle w:val="fontstyle01"/>
          <w:rFonts w:ascii="Times New Roman" w:hAnsi="Times New Roman" w:cs="Times New Roman"/>
          <w:b/>
          <w:bCs/>
          <w:i/>
          <w:iCs/>
          <w:sz w:val="24"/>
          <w:szCs w:val="24"/>
        </w:rPr>
        <w:t xml:space="preserve"> and study selection</w:t>
      </w:r>
    </w:p>
    <w:p w14:paraId="25D15256" w14:textId="1CBD9CBA" w:rsidR="00B91428" w:rsidRPr="002F0887" w:rsidRDefault="004A1529" w:rsidP="00F90C10">
      <w:pPr>
        <w:spacing w:line="480" w:lineRule="auto"/>
        <w:jc w:val="both"/>
        <w:rPr>
          <w:rFonts w:ascii="Times New Roman" w:hAnsi="Times New Roman" w:cs="Times New Roman"/>
          <w:color w:val="242021"/>
          <w:sz w:val="24"/>
          <w:szCs w:val="24"/>
        </w:rPr>
      </w:pPr>
      <w:r>
        <w:rPr>
          <w:rFonts w:ascii="Times New Roman" w:hAnsi="Times New Roman" w:cs="Times New Roman"/>
          <w:color w:val="242021"/>
          <w:sz w:val="24"/>
          <w:szCs w:val="24"/>
        </w:rPr>
        <w:t>I contacted a</w:t>
      </w:r>
      <w:r w:rsidR="00E36F71">
        <w:rPr>
          <w:rFonts w:ascii="Times New Roman" w:hAnsi="Times New Roman" w:cs="Times New Roman"/>
          <w:color w:val="242021"/>
          <w:sz w:val="24"/>
          <w:szCs w:val="24"/>
        </w:rPr>
        <w:t xml:space="preserve"> librarian</w:t>
      </w:r>
      <w:r w:rsidR="00F128DC">
        <w:rPr>
          <w:rFonts w:ascii="Times New Roman" w:hAnsi="Times New Roman" w:cs="Times New Roman"/>
          <w:color w:val="242021"/>
          <w:sz w:val="24"/>
          <w:szCs w:val="24"/>
        </w:rPr>
        <w:t>,</w:t>
      </w:r>
      <w:r w:rsidR="00E36F71">
        <w:rPr>
          <w:rFonts w:ascii="Times New Roman" w:hAnsi="Times New Roman" w:cs="Times New Roman"/>
          <w:color w:val="242021"/>
          <w:sz w:val="24"/>
          <w:szCs w:val="24"/>
        </w:rPr>
        <w:t xml:space="preserve"> </w:t>
      </w:r>
      <w:r>
        <w:rPr>
          <w:rFonts w:ascii="Times New Roman" w:hAnsi="Times New Roman" w:cs="Times New Roman"/>
          <w:color w:val="242021"/>
          <w:sz w:val="24"/>
          <w:szCs w:val="24"/>
        </w:rPr>
        <w:t>with the name</w:t>
      </w:r>
      <w:r w:rsidR="00B972BA">
        <w:rPr>
          <w:rFonts w:ascii="Times New Roman" w:hAnsi="Times New Roman" w:cs="Times New Roman"/>
          <w:color w:val="242021"/>
          <w:sz w:val="24"/>
          <w:szCs w:val="24"/>
        </w:rPr>
        <w:t xml:space="preserve"> </w:t>
      </w:r>
      <w:r w:rsidR="00E36F71">
        <w:rPr>
          <w:rFonts w:ascii="Times New Roman" w:hAnsi="Times New Roman" w:cs="Times New Roman"/>
          <w:color w:val="242021"/>
          <w:sz w:val="24"/>
          <w:szCs w:val="24"/>
        </w:rPr>
        <w:t>Vincci Lui</w:t>
      </w:r>
      <w:r w:rsidR="00F128DC">
        <w:rPr>
          <w:rFonts w:ascii="Times New Roman" w:hAnsi="Times New Roman" w:cs="Times New Roman"/>
          <w:color w:val="242021"/>
          <w:sz w:val="24"/>
          <w:szCs w:val="24"/>
        </w:rPr>
        <w:t>,</w:t>
      </w:r>
      <w:r w:rsidR="00E36F71">
        <w:rPr>
          <w:rFonts w:ascii="Times New Roman" w:hAnsi="Times New Roman" w:cs="Times New Roman"/>
          <w:color w:val="242021"/>
          <w:sz w:val="24"/>
          <w:szCs w:val="24"/>
        </w:rPr>
        <w:t xml:space="preserve"> at the Gerstein Science Information Centre by email </w:t>
      </w:r>
      <w:r>
        <w:rPr>
          <w:rFonts w:ascii="Times New Roman" w:hAnsi="Times New Roman" w:cs="Times New Roman"/>
          <w:color w:val="242021"/>
          <w:sz w:val="24"/>
          <w:szCs w:val="24"/>
        </w:rPr>
        <w:t xml:space="preserve">for help </w:t>
      </w:r>
      <w:r w:rsidR="00E36F71">
        <w:rPr>
          <w:rFonts w:ascii="Times New Roman" w:hAnsi="Times New Roman" w:cs="Times New Roman"/>
          <w:color w:val="242021"/>
          <w:sz w:val="24"/>
          <w:szCs w:val="24"/>
        </w:rPr>
        <w:t xml:space="preserve">and she sent me some videos and links that </w:t>
      </w:r>
      <w:r w:rsidR="00E210B8">
        <w:rPr>
          <w:rFonts w:ascii="Times New Roman" w:hAnsi="Times New Roman" w:cs="Times New Roman"/>
          <w:color w:val="242021"/>
          <w:sz w:val="24"/>
          <w:szCs w:val="24"/>
        </w:rPr>
        <w:t xml:space="preserve">served as a </w:t>
      </w:r>
      <w:r w:rsidR="00E36F71">
        <w:rPr>
          <w:rFonts w:ascii="Times New Roman" w:hAnsi="Times New Roman" w:cs="Times New Roman"/>
          <w:color w:val="242021"/>
          <w:sz w:val="24"/>
          <w:szCs w:val="24"/>
        </w:rPr>
        <w:t xml:space="preserve">guide </w:t>
      </w:r>
      <w:r>
        <w:rPr>
          <w:rFonts w:ascii="Times New Roman" w:hAnsi="Times New Roman" w:cs="Times New Roman"/>
          <w:color w:val="242021"/>
          <w:sz w:val="24"/>
          <w:szCs w:val="24"/>
        </w:rPr>
        <w:t xml:space="preserve">for me </w:t>
      </w:r>
      <w:r w:rsidR="00E36F71">
        <w:rPr>
          <w:rFonts w:ascii="Times New Roman" w:hAnsi="Times New Roman" w:cs="Times New Roman"/>
          <w:color w:val="242021"/>
          <w:sz w:val="24"/>
          <w:szCs w:val="24"/>
        </w:rPr>
        <w:t xml:space="preserve">to develop </w:t>
      </w:r>
      <w:r w:rsidR="00FA3975">
        <w:rPr>
          <w:rFonts w:ascii="Times New Roman" w:hAnsi="Times New Roman" w:cs="Times New Roman"/>
          <w:color w:val="242021"/>
          <w:sz w:val="24"/>
          <w:szCs w:val="24"/>
        </w:rPr>
        <w:t>the</w:t>
      </w:r>
      <w:r w:rsidR="00E36F71">
        <w:rPr>
          <w:rFonts w:ascii="Times New Roman" w:hAnsi="Times New Roman" w:cs="Times New Roman"/>
          <w:color w:val="242021"/>
          <w:sz w:val="24"/>
          <w:szCs w:val="24"/>
        </w:rPr>
        <w:t xml:space="preserve"> search </w:t>
      </w:r>
      <w:r w:rsidR="00E36F71" w:rsidRPr="008076FC">
        <w:rPr>
          <w:rFonts w:ascii="Times New Roman" w:hAnsi="Times New Roman" w:cs="Times New Roman"/>
          <w:sz w:val="24"/>
          <w:szCs w:val="24"/>
        </w:rPr>
        <w:t>strategy (</w:t>
      </w:r>
      <w:r w:rsidR="00CC72AC">
        <w:rPr>
          <w:rFonts w:ascii="Times New Roman" w:hAnsi="Times New Roman" w:cs="Times New Roman"/>
          <w:sz w:val="24"/>
          <w:szCs w:val="24"/>
        </w:rPr>
        <w:t xml:space="preserve">see </w:t>
      </w:r>
      <w:r w:rsidR="00E210B8" w:rsidRPr="008076FC">
        <w:rPr>
          <w:rFonts w:ascii="Times New Roman" w:hAnsi="Times New Roman" w:cs="Times New Roman"/>
          <w:sz w:val="24"/>
          <w:szCs w:val="24"/>
        </w:rPr>
        <w:t xml:space="preserve">Table </w:t>
      </w:r>
      <w:r w:rsidR="000C0C24" w:rsidRPr="008076FC">
        <w:rPr>
          <w:rFonts w:ascii="Times New Roman" w:hAnsi="Times New Roman" w:cs="Times New Roman"/>
          <w:sz w:val="24"/>
          <w:szCs w:val="24"/>
        </w:rPr>
        <w:t>1</w:t>
      </w:r>
      <w:r w:rsidR="00E36F71" w:rsidRPr="008076FC">
        <w:rPr>
          <w:rFonts w:ascii="Times New Roman" w:hAnsi="Times New Roman" w:cs="Times New Roman"/>
          <w:sz w:val="24"/>
          <w:szCs w:val="24"/>
        </w:rPr>
        <w:t>)</w:t>
      </w:r>
      <w:r w:rsidR="009F049B">
        <w:rPr>
          <w:rFonts w:ascii="Times New Roman" w:hAnsi="Times New Roman" w:cs="Times New Roman"/>
          <w:sz w:val="24"/>
          <w:szCs w:val="24"/>
        </w:rPr>
        <w:t xml:space="preserve"> for this review</w:t>
      </w:r>
      <w:r w:rsidR="00E36F71" w:rsidRPr="008076FC">
        <w:rPr>
          <w:rFonts w:ascii="Times New Roman" w:hAnsi="Times New Roman" w:cs="Times New Roman"/>
          <w:sz w:val="24"/>
          <w:szCs w:val="24"/>
        </w:rPr>
        <w:t xml:space="preserve">. </w:t>
      </w:r>
      <w:r w:rsidR="00814287" w:rsidRPr="002F0887">
        <w:rPr>
          <w:rFonts w:ascii="Times New Roman" w:hAnsi="Times New Roman" w:cs="Times New Roman"/>
          <w:color w:val="242021"/>
          <w:sz w:val="24"/>
          <w:szCs w:val="24"/>
        </w:rPr>
        <w:t xml:space="preserve">A search was done </w:t>
      </w:r>
      <w:r w:rsidR="00814287" w:rsidRPr="001A417B">
        <w:rPr>
          <w:rFonts w:ascii="Times New Roman" w:hAnsi="Times New Roman" w:cs="Times New Roman"/>
          <w:sz w:val="24"/>
          <w:szCs w:val="24"/>
        </w:rPr>
        <w:t xml:space="preserve">in </w:t>
      </w:r>
      <w:r w:rsidR="00FE12F8">
        <w:rPr>
          <w:rFonts w:ascii="Times New Roman" w:hAnsi="Times New Roman" w:cs="Times New Roman"/>
          <w:sz w:val="24"/>
          <w:szCs w:val="24"/>
        </w:rPr>
        <w:t>five</w:t>
      </w:r>
      <w:r w:rsidR="0021076A" w:rsidRPr="001A417B">
        <w:rPr>
          <w:rFonts w:ascii="Times New Roman" w:hAnsi="Times New Roman" w:cs="Times New Roman"/>
          <w:sz w:val="24"/>
          <w:szCs w:val="24"/>
        </w:rPr>
        <w:t xml:space="preserve"> databases</w:t>
      </w:r>
      <w:r w:rsidR="00AB2DCF" w:rsidRPr="001A417B">
        <w:rPr>
          <w:rFonts w:ascii="Times New Roman" w:hAnsi="Times New Roman" w:cs="Times New Roman"/>
          <w:sz w:val="24"/>
          <w:szCs w:val="24"/>
        </w:rPr>
        <w:t xml:space="preserve"> from </w:t>
      </w:r>
      <w:r w:rsidR="00AB2DCF" w:rsidRPr="007D1A55">
        <w:rPr>
          <w:rFonts w:ascii="Times New Roman" w:hAnsi="Times New Roman" w:cs="Times New Roman"/>
          <w:sz w:val="24"/>
          <w:szCs w:val="24"/>
        </w:rPr>
        <w:t xml:space="preserve">2010 to </w:t>
      </w:r>
      <w:r w:rsidR="00AB2DCF" w:rsidRPr="007D1A55">
        <w:rPr>
          <w:rFonts w:ascii="Times New Roman" w:hAnsi="Times New Roman" w:cs="Times New Roman"/>
          <w:sz w:val="24"/>
          <w:szCs w:val="24"/>
        </w:rPr>
        <w:lastRenderedPageBreak/>
        <w:t>2021</w:t>
      </w:r>
      <w:r w:rsidR="007D1115" w:rsidRPr="007D1A55">
        <w:rPr>
          <w:rFonts w:ascii="Times New Roman" w:hAnsi="Times New Roman" w:cs="Times New Roman"/>
          <w:sz w:val="24"/>
          <w:szCs w:val="24"/>
        </w:rPr>
        <w:t>,</w:t>
      </w:r>
      <w:r w:rsidR="0021076A" w:rsidRPr="007D1A55">
        <w:rPr>
          <w:rFonts w:ascii="Times New Roman" w:hAnsi="Times New Roman" w:cs="Times New Roman"/>
          <w:sz w:val="24"/>
          <w:szCs w:val="24"/>
        </w:rPr>
        <w:t xml:space="preserve"> including </w:t>
      </w:r>
      <w:r w:rsidR="00814287" w:rsidRPr="007D1A55">
        <w:rPr>
          <w:rFonts w:ascii="Times New Roman" w:hAnsi="Times New Roman" w:cs="Times New Roman"/>
          <w:sz w:val="24"/>
          <w:szCs w:val="24"/>
        </w:rPr>
        <w:t>MEDLINE, EMBASE,</w:t>
      </w:r>
      <w:r w:rsidR="001A417B" w:rsidRPr="007D1A55">
        <w:rPr>
          <w:rFonts w:ascii="Times New Roman" w:hAnsi="Times New Roman" w:cs="Times New Roman"/>
          <w:sz w:val="24"/>
          <w:szCs w:val="24"/>
        </w:rPr>
        <w:t xml:space="preserve"> </w:t>
      </w:r>
      <w:r w:rsidR="00C5256B" w:rsidRPr="007D1A55">
        <w:rPr>
          <w:rFonts w:ascii="Times New Roman" w:hAnsi="Times New Roman" w:cs="Times New Roman"/>
          <w:sz w:val="24"/>
          <w:szCs w:val="24"/>
        </w:rPr>
        <w:t xml:space="preserve">APA </w:t>
      </w:r>
      <w:r w:rsidR="00814287" w:rsidRPr="007D1A55">
        <w:rPr>
          <w:rFonts w:ascii="Times New Roman" w:hAnsi="Times New Roman" w:cs="Times New Roman"/>
          <w:sz w:val="24"/>
          <w:szCs w:val="24"/>
        </w:rPr>
        <w:t xml:space="preserve">PsycInfo, Google </w:t>
      </w:r>
      <w:r w:rsidR="000E2B64" w:rsidRPr="007D1A55">
        <w:rPr>
          <w:rFonts w:ascii="Times New Roman" w:hAnsi="Times New Roman" w:cs="Times New Roman"/>
          <w:sz w:val="24"/>
          <w:szCs w:val="24"/>
        </w:rPr>
        <w:t>S</w:t>
      </w:r>
      <w:r w:rsidR="00814287" w:rsidRPr="007D1A55">
        <w:rPr>
          <w:rFonts w:ascii="Times New Roman" w:hAnsi="Times New Roman" w:cs="Times New Roman"/>
          <w:sz w:val="24"/>
          <w:szCs w:val="24"/>
        </w:rPr>
        <w:t>cholar</w:t>
      </w:r>
      <w:r w:rsidR="000E2B64" w:rsidRPr="007D1A55">
        <w:rPr>
          <w:rFonts w:ascii="Times New Roman" w:hAnsi="Times New Roman" w:cs="Times New Roman"/>
          <w:sz w:val="24"/>
          <w:szCs w:val="24"/>
        </w:rPr>
        <w:t>,</w:t>
      </w:r>
      <w:r w:rsidR="00814287" w:rsidRPr="007D1A55">
        <w:rPr>
          <w:rFonts w:ascii="Times New Roman" w:hAnsi="Times New Roman" w:cs="Times New Roman"/>
          <w:sz w:val="24"/>
          <w:szCs w:val="24"/>
        </w:rPr>
        <w:t xml:space="preserve"> and ScienceDirect. </w:t>
      </w:r>
      <w:r w:rsidR="00AD5349">
        <w:rPr>
          <w:rFonts w:ascii="Times New Roman" w:hAnsi="Times New Roman" w:cs="Times New Roman"/>
          <w:color w:val="242021"/>
          <w:sz w:val="24"/>
          <w:szCs w:val="24"/>
        </w:rPr>
        <w:t xml:space="preserve">I </w:t>
      </w:r>
      <w:r w:rsidR="002F5918" w:rsidRPr="002F0887">
        <w:rPr>
          <w:rFonts w:ascii="Times New Roman" w:hAnsi="Times New Roman" w:cs="Times New Roman"/>
          <w:color w:val="242021"/>
          <w:sz w:val="24"/>
          <w:szCs w:val="24"/>
        </w:rPr>
        <w:t>used the three-step search strategy</w:t>
      </w:r>
      <w:r w:rsidR="006E4FA6">
        <w:rPr>
          <w:rFonts w:ascii="Times New Roman" w:hAnsi="Times New Roman" w:cs="Times New Roman"/>
          <w:color w:val="242021"/>
          <w:sz w:val="24"/>
          <w:szCs w:val="24"/>
        </w:rPr>
        <w:t xml:space="preserve"> </w:t>
      </w:r>
      <w:r w:rsidR="005B675A" w:rsidRPr="002F0887">
        <w:rPr>
          <w:rFonts w:ascii="Times New Roman" w:hAnsi="Times New Roman" w:cs="Times New Roman"/>
          <w:color w:val="242021"/>
          <w:sz w:val="24"/>
          <w:szCs w:val="24"/>
        </w:rPr>
        <w:t xml:space="preserve">as recommended in all </w:t>
      </w:r>
      <w:r w:rsidR="00452816" w:rsidRPr="002F0887">
        <w:rPr>
          <w:rFonts w:ascii="Times New Roman" w:hAnsi="Times New Roman" w:cs="Times New Roman"/>
          <w:color w:val="242021"/>
          <w:sz w:val="24"/>
          <w:szCs w:val="24"/>
        </w:rPr>
        <w:t xml:space="preserve">Joanna Briggs </w:t>
      </w:r>
      <w:r w:rsidR="00452816" w:rsidRPr="00C358D9">
        <w:rPr>
          <w:rFonts w:ascii="Times New Roman" w:hAnsi="Times New Roman" w:cs="Times New Roman"/>
          <w:sz w:val="24"/>
          <w:szCs w:val="24"/>
        </w:rPr>
        <w:t>Institute (JBI)</w:t>
      </w:r>
      <w:r w:rsidR="005B675A" w:rsidRPr="00C358D9">
        <w:rPr>
          <w:rFonts w:ascii="Times New Roman" w:hAnsi="Times New Roman" w:cs="Times New Roman"/>
          <w:sz w:val="24"/>
          <w:szCs w:val="24"/>
        </w:rPr>
        <w:t xml:space="preserve"> types of reviews.</w:t>
      </w:r>
      <w:r w:rsidR="00EA174E" w:rsidRPr="00C358D9">
        <w:rPr>
          <w:rFonts w:ascii="Times New Roman" w:hAnsi="Times New Roman" w:cs="Times New Roman"/>
          <w:sz w:val="24"/>
          <w:szCs w:val="24"/>
        </w:rPr>
        <w:t xml:space="preserve"> I initially did a search using OVID MEDLINE followed by a simultaneous search with EMBASE and APA PsycInfo. All MeSH terms that were identified in all databases were kept. Newer o</w:t>
      </w:r>
      <w:r w:rsidR="00EA174E" w:rsidRPr="002F0887">
        <w:rPr>
          <w:rFonts w:ascii="Times New Roman" w:hAnsi="Times New Roman" w:cs="Times New Roman"/>
          <w:color w:val="242021"/>
          <w:sz w:val="24"/>
          <w:szCs w:val="24"/>
        </w:rPr>
        <w:t xml:space="preserve">r unique terms were added. </w:t>
      </w:r>
      <w:r w:rsidR="00A84642" w:rsidRPr="002F0887">
        <w:rPr>
          <w:rFonts w:ascii="Times New Roman" w:hAnsi="Times New Roman" w:cs="Times New Roman"/>
          <w:color w:val="242021"/>
          <w:sz w:val="24"/>
          <w:szCs w:val="24"/>
        </w:rPr>
        <w:t>I used all identified keywords and index terms to do a second search in all the three databases using</w:t>
      </w:r>
      <w:r w:rsidR="00EA174E" w:rsidRPr="002F0887">
        <w:rPr>
          <w:rFonts w:ascii="Times New Roman" w:hAnsi="Times New Roman" w:cs="Times New Roman"/>
          <w:color w:val="242021"/>
          <w:sz w:val="24"/>
          <w:szCs w:val="24"/>
        </w:rPr>
        <w:t xml:space="preserve"> </w:t>
      </w:r>
      <w:r w:rsidR="00EA174E" w:rsidRPr="00C358D9">
        <w:rPr>
          <w:rFonts w:ascii="Times New Roman" w:hAnsi="Times New Roman" w:cs="Times New Roman"/>
          <w:sz w:val="24"/>
          <w:szCs w:val="24"/>
        </w:rPr>
        <w:t xml:space="preserve">OVID on the Gerstein </w:t>
      </w:r>
      <w:r w:rsidR="00DF7ABA" w:rsidRPr="00C358D9">
        <w:rPr>
          <w:rFonts w:ascii="Times New Roman" w:hAnsi="Times New Roman" w:cs="Times New Roman"/>
          <w:sz w:val="24"/>
          <w:szCs w:val="24"/>
        </w:rPr>
        <w:t>Science Information Centre</w:t>
      </w:r>
      <w:r w:rsidR="00DF7ABA" w:rsidRPr="00C358D9">
        <w:rPr>
          <w:rFonts w:ascii="Times New Roman" w:hAnsi="Times New Roman" w:cs="Times New Roman"/>
          <w:sz w:val="24"/>
          <w:szCs w:val="24"/>
        </w:rPr>
        <w:t xml:space="preserve"> </w:t>
      </w:r>
      <w:r w:rsidR="00A84642" w:rsidRPr="00C358D9">
        <w:rPr>
          <w:rFonts w:ascii="Times New Roman" w:hAnsi="Times New Roman" w:cs="Times New Roman"/>
          <w:sz w:val="24"/>
          <w:szCs w:val="24"/>
        </w:rPr>
        <w:t xml:space="preserve">website </w:t>
      </w:r>
      <w:r w:rsidR="00EA174E" w:rsidRPr="00C358D9">
        <w:rPr>
          <w:rFonts w:ascii="Times New Roman" w:hAnsi="Times New Roman" w:cs="Times New Roman"/>
          <w:sz w:val="24"/>
          <w:szCs w:val="24"/>
        </w:rPr>
        <w:t>platform</w:t>
      </w:r>
      <w:r w:rsidR="00C65219" w:rsidRPr="00C358D9">
        <w:rPr>
          <w:rFonts w:ascii="Times New Roman" w:hAnsi="Times New Roman" w:cs="Times New Roman"/>
          <w:sz w:val="24"/>
          <w:szCs w:val="24"/>
        </w:rPr>
        <w:t xml:space="preserve">. Based on the reference lists of the identified articles, I did a third search in Google </w:t>
      </w:r>
      <w:r w:rsidR="00B3043C" w:rsidRPr="00C358D9">
        <w:rPr>
          <w:rFonts w:ascii="Times New Roman" w:hAnsi="Times New Roman" w:cs="Times New Roman"/>
          <w:sz w:val="24"/>
          <w:szCs w:val="24"/>
        </w:rPr>
        <w:t>S</w:t>
      </w:r>
      <w:r w:rsidR="00C65219" w:rsidRPr="00C358D9">
        <w:rPr>
          <w:rFonts w:ascii="Times New Roman" w:hAnsi="Times New Roman" w:cs="Times New Roman"/>
          <w:sz w:val="24"/>
          <w:szCs w:val="24"/>
        </w:rPr>
        <w:t>cholar and Science</w:t>
      </w:r>
      <w:r w:rsidR="00EB2E10" w:rsidRPr="00C358D9">
        <w:rPr>
          <w:rFonts w:ascii="Times New Roman" w:hAnsi="Times New Roman" w:cs="Times New Roman"/>
          <w:sz w:val="24"/>
          <w:szCs w:val="24"/>
        </w:rPr>
        <w:t>D</w:t>
      </w:r>
      <w:r w:rsidR="00C65219" w:rsidRPr="00C358D9">
        <w:rPr>
          <w:rFonts w:ascii="Times New Roman" w:hAnsi="Times New Roman" w:cs="Times New Roman"/>
          <w:sz w:val="24"/>
          <w:szCs w:val="24"/>
        </w:rPr>
        <w:t>irect.</w:t>
      </w:r>
    </w:p>
    <w:p w14:paraId="13915FDF" w14:textId="7E36A7F7" w:rsidR="001817A6" w:rsidRPr="00FD07CF" w:rsidRDefault="002C7239" w:rsidP="00A86845">
      <w:pPr>
        <w:spacing w:line="480" w:lineRule="auto"/>
        <w:rPr>
          <w:rFonts w:ascii="Times New Roman" w:hAnsi="Times New Roman" w:cs="Times New Roman"/>
          <w:b/>
          <w:bCs/>
          <w:i/>
          <w:iCs/>
          <w:sz w:val="24"/>
          <w:szCs w:val="24"/>
        </w:rPr>
      </w:pPr>
      <w:r>
        <w:rPr>
          <w:rStyle w:val="fontstyle01"/>
          <w:rFonts w:ascii="Times New Roman" w:hAnsi="Times New Roman" w:cs="Times New Roman"/>
          <w:b/>
          <w:bCs/>
          <w:i/>
          <w:iCs/>
          <w:sz w:val="24"/>
          <w:szCs w:val="24"/>
        </w:rPr>
        <w:t>2.1.</w:t>
      </w:r>
      <w:r>
        <w:rPr>
          <w:rStyle w:val="fontstyle01"/>
          <w:rFonts w:ascii="Times New Roman" w:hAnsi="Times New Roman" w:cs="Times New Roman"/>
          <w:b/>
          <w:bCs/>
          <w:i/>
          <w:iCs/>
          <w:sz w:val="24"/>
          <w:szCs w:val="24"/>
        </w:rPr>
        <w:t>4</w:t>
      </w:r>
      <w:r>
        <w:rPr>
          <w:rStyle w:val="fontstyle01"/>
          <w:rFonts w:ascii="Times New Roman" w:hAnsi="Times New Roman" w:cs="Times New Roman"/>
          <w:b/>
          <w:bCs/>
          <w:i/>
          <w:iCs/>
          <w:sz w:val="24"/>
          <w:szCs w:val="24"/>
        </w:rPr>
        <w:t xml:space="preserve"> </w:t>
      </w:r>
      <w:r w:rsidR="003453D2" w:rsidRPr="00A5385F">
        <w:rPr>
          <w:rFonts w:ascii="Times New Roman" w:hAnsi="Times New Roman" w:cs="Times New Roman"/>
          <w:b/>
          <w:bCs/>
          <w:i/>
          <w:iCs/>
          <w:color w:val="242021"/>
          <w:sz w:val="24"/>
          <w:szCs w:val="24"/>
        </w:rPr>
        <w:t>Data extraction</w:t>
      </w:r>
      <w:r w:rsidR="00863675" w:rsidRPr="00A5385F">
        <w:rPr>
          <w:rFonts w:ascii="Times New Roman" w:hAnsi="Times New Roman" w:cs="Times New Roman"/>
          <w:b/>
          <w:bCs/>
          <w:i/>
          <w:iCs/>
          <w:color w:val="242021"/>
          <w:sz w:val="24"/>
          <w:szCs w:val="24"/>
        </w:rPr>
        <w:t>,</w:t>
      </w:r>
      <w:r w:rsidR="003453D2" w:rsidRPr="00A5385F">
        <w:rPr>
          <w:rFonts w:ascii="Times New Roman" w:hAnsi="Times New Roman" w:cs="Times New Roman"/>
          <w:b/>
          <w:bCs/>
          <w:i/>
          <w:iCs/>
          <w:color w:val="242021"/>
          <w:sz w:val="24"/>
          <w:szCs w:val="24"/>
        </w:rPr>
        <w:t xml:space="preserve"> </w:t>
      </w:r>
      <w:r w:rsidR="00A5385F" w:rsidRPr="00A5385F">
        <w:rPr>
          <w:rFonts w:ascii="Times New Roman" w:hAnsi="Times New Roman" w:cs="Times New Roman"/>
          <w:b/>
          <w:bCs/>
          <w:i/>
          <w:iCs/>
          <w:color w:val="242021"/>
          <w:sz w:val="24"/>
          <w:szCs w:val="24"/>
        </w:rPr>
        <w:t>analysis,</w:t>
      </w:r>
      <w:r w:rsidR="00863675" w:rsidRPr="00A5385F">
        <w:rPr>
          <w:rFonts w:ascii="Times New Roman" w:hAnsi="Times New Roman" w:cs="Times New Roman"/>
          <w:b/>
          <w:bCs/>
          <w:i/>
          <w:iCs/>
          <w:color w:val="242021"/>
          <w:sz w:val="24"/>
          <w:szCs w:val="24"/>
        </w:rPr>
        <w:t xml:space="preserve"> and charting</w:t>
      </w:r>
    </w:p>
    <w:p w14:paraId="7E92BF10" w14:textId="4F06D17D" w:rsidR="00595341" w:rsidRDefault="00F90C10" w:rsidP="00787705">
      <w:pPr>
        <w:spacing w:line="480" w:lineRule="auto"/>
        <w:jc w:val="both"/>
        <w:rPr>
          <w:rFonts w:ascii="Times New Roman" w:hAnsi="Times New Roman" w:cs="Times New Roman"/>
          <w:color w:val="242021"/>
          <w:sz w:val="24"/>
          <w:szCs w:val="24"/>
        </w:rPr>
      </w:pPr>
      <w:r w:rsidRPr="00FD07CF">
        <w:rPr>
          <w:rFonts w:ascii="Times New Roman" w:hAnsi="Times New Roman" w:cs="Times New Roman"/>
          <w:sz w:val="24"/>
          <w:szCs w:val="24"/>
        </w:rPr>
        <w:t>After accounting for duplicates</w:t>
      </w:r>
      <w:r w:rsidR="005A4F4F" w:rsidRPr="00FD07CF">
        <w:rPr>
          <w:rFonts w:ascii="Times New Roman" w:hAnsi="Times New Roman" w:cs="Times New Roman"/>
          <w:sz w:val="24"/>
          <w:szCs w:val="24"/>
        </w:rPr>
        <w:t xml:space="preserve"> and</w:t>
      </w:r>
      <w:r w:rsidRPr="00FD07CF">
        <w:rPr>
          <w:rFonts w:ascii="Times New Roman" w:hAnsi="Times New Roman" w:cs="Times New Roman"/>
          <w:sz w:val="24"/>
          <w:szCs w:val="24"/>
        </w:rPr>
        <w:t xml:space="preserve"> placing the limits</w:t>
      </w:r>
      <w:r w:rsidR="006040A6" w:rsidRPr="00FD07CF">
        <w:rPr>
          <w:rFonts w:ascii="Times New Roman" w:hAnsi="Times New Roman" w:cs="Times New Roman"/>
          <w:sz w:val="24"/>
          <w:szCs w:val="24"/>
        </w:rPr>
        <w:t xml:space="preserve"> on the </w:t>
      </w:r>
      <w:r w:rsidRPr="00FD07CF">
        <w:rPr>
          <w:rFonts w:ascii="Times New Roman" w:hAnsi="Times New Roman" w:cs="Times New Roman"/>
          <w:sz w:val="24"/>
          <w:szCs w:val="24"/>
        </w:rPr>
        <w:t>search</w:t>
      </w:r>
      <w:r w:rsidR="006040A6" w:rsidRPr="00FD07CF">
        <w:rPr>
          <w:rFonts w:ascii="Times New Roman" w:hAnsi="Times New Roman" w:cs="Times New Roman"/>
          <w:sz w:val="24"/>
          <w:szCs w:val="24"/>
        </w:rPr>
        <w:t>,</w:t>
      </w:r>
      <w:r w:rsidRPr="00FD07CF">
        <w:rPr>
          <w:rFonts w:ascii="Times New Roman" w:hAnsi="Times New Roman" w:cs="Times New Roman"/>
          <w:sz w:val="24"/>
          <w:szCs w:val="24"/>
        </w:rPr>
        <w:t xml:space="preserve"> </w:t>
      </w:r>
      <w:r w:rsidR="00FD07CF" w:rsidRPr="00FD07CF">
        <w:rPr>
          <w:rFonts w:ascii="Times New Roman" w:hAnsi="Times New Roman" w:cs="Times New Roman"/>
          <w:sz w:val="24"/>
          <w:szCs w:val="24"/>
        </w:rPr>
        <w:t>3794</w:t>
      </w:r>
      <w:r w:rsidRPr="00FD07CF">
        <w:rPr>
          <w:rFonts w:ascii="Times New Roman" w:hAnsi="Times New Roman" w:cs="Times New Roman"/>
          <w:sz w:val="24"/>
          <w:szCs w:val="24"/>
        </w:rPr>
        <w:t xml:space="preserve"> eligible </w:t>
      </w:r>
      <w:r w:rsidRPr="002F0887">
        <w:rPr>
          <w:rFonts w:ascii="Times New Roman" w:hAnsi="Times New Roman" w:cs="Times New Roman"/>
          <w:color w:val="242021"/>
          <w:sz w:val="24"/>
          <w:szCs w:val="24"/>
        </w:rPr>
        <w:t>studies</w:t>
      </w:r>
      <w:r w:rsidR="00A078B9" w:rsidRPr="002F0887">
        <w:rPr>
          <w:rFonts w:ascii="Times New Roman" w:hAnsi="Times New Roman" w:cs="Times New Roman"/>
          <w:color w:val="242021"/>
          <w:sz w:val="24"/>
          <w:szCs w:val="24"/>
        </w:rPr>
        <w:t xml:space="preserve"> were </w:t>
      </w:r>
      <w:r w:rsidR="00A078B9" w:rsidRPr="00437D1B">
        <w:rPr>
          <w:rFonts w:ascii="Times New Roman" w:hAnsi="Times New Roman" w:cs="Times New Roman"/>
          <w:sz w:val="24"/>
          <w:szCs w:val="24"/>
        </w:rPr>
        <w:t>included</w:t>
      </w:r>
      <w:r w:rsidR="005A4F4F" w:rsidRPr="00437D1B">
        <w:rPr>
          <w:rFonts w:ascii="Times New Roman" w:hAnsi="Times New Roman" w:cs="Times New Roman"/>
          <w:sz w:val="24"/>
          <w:szCs w:val="24"/>
        </w:rPr>
        <w:t xml:space="preserve">. </w:t>
      </w:r>
      <w:r w:rsidR="00470590" w:rsidRPr="00437D1B">
        <w:rPr>
          <w:rFonts w:ascii="Times New Roman" w:hAnsi="Times New Roman" w:cs="Times New Roman"/>
          <w:sz w:val="24"/>
          <w:szCs w:val="24"/>
        </w:rPr>
        <w:t xml:space="preserve">After title/abstract </w:t>
      </w:r>
      <w:r w:rsidR="00470590">
        <w:rPr>
          <w:rFonts w:ascii="Times New Roman" w:hAnsi="Times New Roman" w:cs="Times New Roman"/>
          <w:color w:val="242021"/>
          <w:sz w:val="24"/>
          <w:szCs w:val="24"/>
        </w:rPr>
        <w:t>screening, q</w:t>
      </w:r>
      <w:r w:rsidR="00863668" w:rsidRPr="002F0887">
        <w:rPr>
          <w:rFonts w:ascii="Times New Roman" w:hAnsi="Times New Roman" w:cs="Times New Roman"/>
          <w:color w:val="242021"/>
          <w:sz w:val="24"/>
          <w:szCs w:val="24"/>
        </w:rPr>
        <w:t xml:space="preserve">uality assessment was done based on the </w:t>
      </w:r>
      <w:r w:rsidR="00863668">
        <w:rPr>
          <w:rFonts w:ascii="Times New Roman" w:hAnsi="Times New Roman" w:cs="Times New Roman"/>
          <w:color w:val="242021"/>
          <w:sz w:val="24"/>
          <w:szCs w:val="24"/>
        </w:rPr>
        <w:t>t</w:t>
      </w:r>
      <w:r w:rsidR="00863668" w:rsidRPr="002F0887">
        <w:rPr>
          <w:rFonts w:ascii="Times New Roman" w:hAnsi="Times New Roman" w:cs="Times New Roman"/>
          <w:color w:val="242021"/>
          <w:sz w:val="24"/>
          <w:szCs w:val="24"/>
        </w:rPr>
        <w:t>en</w:t>
      </w:r>
      <w:r w:rsidR="00863668">
        <w:rPr>
          <w:rFonts w:ascii="Times New Roman" w:hAnsi="Times New Roman" w:cs="Times New Roman"/>
          <w:color w:val="242021"/>
          <w:sz w:val="24"/>
          <w:szCs w:val="24"/>
        </w:rPr>
        <w:t xml:space="preserve"> (10)</w:t>
      </w:r>
      <w:r w:rsidR="00863668" w:rsidRPr="002F0887">
        <w:rPr>
          <w:rFonts w:ascii="Times New Roman" w:hAnsi="Times New Roman" w:cs="Times New Roman"/>
          <w:color w:val="242021"/>
          <w:sz w:val="24"/>
          <w:szCs w:val="24"/>
        </w:rPr>
        <w:t xml:space="preserve"> key appraisal checklists provided by </w:t>
      </w:r>
      <w:r w:rsidR="00863668">
        <w:rPr>
          <w:rFonts w:ascii="Times New Roman" w:hAnsi="Times New Roman" w:cs="Times New Roman"/>
          <w:color w:val="242021"/>
          <w:sz w:val="24"/>
          <w:szCs w:val="24"/>
        </w:rPr>
        <w:t xml:space="preserve">JBI </w:t>
      </w:r>
      <w:r w:rsidR="00863668" w:rsidRPr="002F0887">
        <w:rPr>
          <w:rFonts w:ascii="Times New Roman" w:hAnsi="Times New Roman" w:cs="Times New Roman"/>
          <w:color w:val="242021"/>
          <w:sz w:val="24"/>
          <w:szCs w:val="24"/>
        </w:rPr>
        <w:t>to select 20</w:t>
      </w:r>
      <w:r w:rsidR="00863668">
        <w:rPr>
          <w:rFonts w:ascii="Times New Roman" w:hAnsi="Times New Roman" w:cs="Times New Roman"/>
          <w:color w:val="242021"/>
          <w:sz w:val="24"/>
          <w:szCs w:val="24"/>
        </w:rPr>
        <w:t xml:space="preserve"> </w:t>
      </w:r>
      <w:r w:rsidR="00863668" w:rsidRPr="002F0887">
        <w:rPr>
          <w:rFonts w:ascii="Times New Roman" w:hAnsi="Times New Roman" w:cs="Times New Roman"/>
          <w:color w:val="242021"/>
          <w:sz w:val="24"/>
          <w:szCs w:val="24"/>
        </w:rPr>
        <w:t xml:space="preserve">articles. Articles scored ‘one point’ for each key requirement checked and </w:t>
      </w:r>
      <w:r w:rsidR="00863668">
        <w:rPr>
          <w:rFonts w:ascii="Times New Roman" w:hAnsi="Times New Roman" w:cs="Times New Roman"/>
          <w:color w:val="242021"/>
          <w:sz w:val="24"/>
          <w:szCs w:val="24"/>
        </w:rPr>
        <w:t>‘</w:t>
      </w:r>
      <w:r w:rsidR="00863668" w:rsidRPr="002F0887">
        <w:rPr>
          <w:rFonts w:ascii="Times New Roman" w:hAnsi="Times New Roman" w:cs="Times New Roman"/>
          <w:color w:val="242021"/>
          <w:sz w:val="24"/>
          <w:szCs w:val="24"/>
        </w:rPr>
        <w:t>zero</w:t>
      </w:r>
      <w:r w:rsidR="00863668">
        <w:rPr>
          <w:rFonts w:ascii="Times New Roman" w:hAnsi="Times New Roman" w:cs="Times New Roman"/>
          <w:color w:val="242021"/>
          <w:sz w:val="24"/>
          <w:szCs w:val="24"/>
        </w:rPr>
        <w:t>’</w:t>
      </w:r>
      <w:r w:rsidR="00863668" w:rsidRPr="002F0887">
        <w:rPr>
          <w:rFonts w:ascii="Times New Roman" w:hAnsi="Times New Roman" w:cs="Times New Roman"/>
          <w:color w:val="242021"/>
          <w:sz w:val="24"/>
          <w:szCs w:val="24"/>
        </w:rPr>
        <w:t xml:space="preserve"> if otherwise. Their scores are summed and divided by </w:t>
      </w:r>
      <w:r w:rsidR="009E243B">
        <w:rPr>
          <w:rFonts w:ascii="Times New Roman" w:hAnsi="Times New Roman" w:cs="Times New Roman"/>
          <w:color w:val="242021"/>
          <w:sz w:val="24"/>
          <w:szCs w:val="24"/>
        </w:rPr>
        <w:t>10</w:t>
      </w:r>
      <w:r w:rsidR="00863668" w:rsidRPr="002F0887">
        <w:rPr>
          <w:rFonts w:ascii="Times New Roman" w:hAnsi="Times New Roman" w:cs="Times New Roman"/>
          <w:color w:val="242021"/>
          <w:sz w:val="24"/>
          <w:szCs w:val="24"/>
        </w:rPr>
        <w:t xml:space="preserve">. The first 20 articles in higher scores were selected for review based on the Preferred Reporting Items for Systematic and Meta-Analysis Extension for Scoping Reviews (PRISMA-ScR). </w:t>
      </w:r>
    </w:p>
    <w:p w14:paraId="39FC6BA1" w14:textId="247DC4C9" w:rsidR="002C01D3" w:rsidRDefault="00C7272A" w:rsidP="00787705">
      <w:pPr>
        <w:spacing w:line="480" w:lineRule="auto"/>
        <w:jc w:val="both"/>
        <w:rPr>
          <w:rFonts w:ascii="Times New Roman" w:hAnsi="Times New Roman" w:cs="Times New Roman"/>
          <w:color w:val="242021"/>
          <w:sz w:val="24"/>
          <w:szCs w:val="24"/>
        </w:rPr>
      </w:pPr>
      <w:r>
        <w:rPr>
          <w:rFonts w:ascii="Times New Roman" w:hAnsi="Times New Roman" w:cs="Times New Roman"/>
          <w:color w:val="242021"/>
          <w:sz w:val="24"/>
          <w:szCs w:val="24"/>
        </w:rPr>
        <w:t>I extracted and tabulated data by reporting study characteristics</w:t>
      </w:r>
      <w:r w:rsidR="001D23CA">
        <w:rPr>
          <w:rFonts w:ascii="Times New Roman" w:hAnsi="Times New Roman" w:cs="Times New Roman"/>
          <w:color w:val="242021"/>
          <w:sz w:val="24"/>
          <w:szCs w:val="24"/>
        </w:rPr>
        <w:t xml:space="preserve"> </w:t>
      </w:r>
      <w:r w:rsidR="00D95D4B">
        <w:rPr>
          <w:rFonts w:ascii="Times New Roman" w:hAnsi="Times New Roman" w:cs="Times New Roman"/>
          <w:color w:val="242021"/>
          <w:sz w:val="24"/>
          <w:szCs w:val="24"/>
        </w:rPr>
        <w:t>(author, year of publication, country/origin, aims/purpose,</w:t>
      </w:r>
      <w:r w:rsidR="00D95D4B">
        <w:rPr>
          <w:rFonts w:ascii="Times New Roman" w:hAnsi="Times New Roman" w:cs="Times New Roman"/>
          <w:color w:val="242021"/>
          <w:sz w:val="24"/>
          <w:szCs w:val="24"/>
        </w:rPr>
        <w:t xml:space="preserve"> and</w:t>
      </w:r>
      <w:r w:rsidR="00D95D4B">
        <w:rPr>
          <w:rFonts w:ascii="Times New Roman" w:hAnsi="Times New Roman" w:cs="Times New Roman"/>
          <w:color w:val="242021"/>
          <w:sz w:val="24"/>
          <w:szCs w:val="24"/>
        </w:rPr>
        <w:t xml:space="preserve"> methodology)</w:t>
      </w:r>
      <w:r>
        <w:rPr>
          <w:rFonts w:ascii="Times New Roman" w:hAnsi="Times New Roman" w:cs="Times New Roman"/>
          <w:color w:val="242021"/>
          <w:sz w:val="24"/>
          <w:szCs w:val="24"/>
        </w:rPr>
        <w:t xml:space="preserve"> and findings in Table </w:t>
      </w:r>
      <w:r w:rsidR="000A64CE">
        <w:rPr>
          <w:rFonts w:ascii="Times New Roman" w:hAnsi="Times New Roman" w:cs="Times New Roman"/>
          <w:color w:val="242021"/>
          <w:sz w:val="24"/>
          <w:szCs w:val="24"/>
        </w:rPr>
        <w:t>3</w:t>
      </w:r>
      <w:r w:rsidR="007F0395">
        <w:rPr>
          <w:rFonts w:ascii="Times New Roman" w:hAnsi="Times New Roman" w:cs="Times New Roman"/>
          <w:color w:val="242021"/>
          <w:sz w:val="24"/>
          <w:szCs w:val="24"/>
        </w:rPr>
        <w:t xml:space="preserve"> (see Appendix)</w:t>
      </w:r>
      <w:r>
        <w:rPr>
          <w:rFonts w:ascii="Times New Roman" w:hAnsi="Times New Roman" w:cs="Times New Roman"/>
          <w:color w:val="242021"/>
          <w:sz w:val="24"/>
          <w:szCs w:val="24"/>
        </w:rPr>
        <w:t>.</w:t>
      </w:r>
      <w:r w:rsidR="006D7C35">
        <w:rPr>
          <w:rFonts w:ascii="Times New Roman" w:hAnsi="Times New Roman" w:cs="Times New Roman"/>
          <w:color w:val="242021"/>
          <w:sz w:val="24"/>
          <w:szCs w:val="24"/>
        </w:rPr>
        <w:t xml:space="preserve"> </w:t>
      </w:r>
      <w:r w:rsidR="00D95D4B">
        <w:rPr>
          <w:rFonts w:ascii="Times New Roman" w:hAnsi="Times New Roman" w:cs="Times New Roman"/>
          <w:color w:val="242021"/>
          <w:sz w:val="24"/>
          <w:szCs w:val="24"/>
        </w:rPr>
        <w:t xml:space="preserve">Health interventions were described for each study. </w:t>
      </w:r>
      <w:r w:rsidR="006D7C35">
        <w:rPr>
          <w:rFonts w:ascii="Times New Roman" w:hAnsi="Times New Roman" w:cs="Times New Roman"/>
          <w:color w:val="242021"/>
          <w:sz w:val="24"/>
          <w:szCs w:val="24"/>
        </w:rPr>
        <w:t xml:space="preserve">All 20 articles employed the ECEA analytic </w:t>
      </w:r>
      <w:r w:rsidR="00A27677">
        <w:rPr>
          <w:rFonts w:ascii="Times New Roman" w:hAnsi="Times New Roman" w:cs="Times New Roman"/>
          <w:color w:val="242021"/>
          <w:sz w:val="24"/>
          <w:szCs w:val="24"/>
        </w:rPr>
        <w:t>tool,</w:t>
      </w:r>
      <w:r w:rsidR="006D7C35">
        <w:rPr>
          <w:rFonts w:ascii="Times New Roman" w:hAnsi="Times New Roman" w:cs="Times New Roman"/>
          <w:color w:val="242021"/>
          <w:sz w:val="24"/>
          <w:szCs w:val="24"/>
        </w:rPr>
        <w:t xml:space="preserve"> and </w:t>
      </w:r>
      <w:r w:rsidR="008740C3">
        <w:rPr>
          <w:rFonts w:ascii="Times New Roman" w:hAnsi="Times New Roman" w:cs="Times New Roman"/>
          <w:color w:val="242021"/>
          <w:sz w:val="24"/>
          <w:szCs w:val="24"/>
        </w:rPr>
        <w:t>I</w:t>
      </w:r>
      <w:r w:rsidR="006D7C35">
        <w:rPr>
          <w:rFonts w:ascii="Times New Roman" w:hAnsi="Times New Roman" w:cs="Times New Roman"/>
          <w:color w:val="242021"/>
          <w:sz w:val="24"/>
          <w:szCs w:val="24"/>
        </w:rPr>
        <w:t xml:space="preserve"> did not assess methodological quality</w:t>
      </w:r>
      <w:r w:rsidR="003B0FD3">
        <w:rPr>
          <w:rFonts w:ascii="Times New Roman" w:hAnsi="Times New Roman" w:cs="Times New Roman"/>
          <w:color w:val="242021"/>
          <w:sz w:val="24"/>
          <w:szCs w:val="24"/>
        </w:rPr>
        <w:t xml:space="preserve"> of reviewed articles</w:t>
      </w:r>
      <w:r w:rsidR="00FD7815">
        <w:rPr>
          <w:rFonts w:ascii="Times New Roman" w:hAnsi="Times New Roman" w:cs="Times New Roman"/>
          <w:color w:val="242021"/>
          <w:sz w:val="24"/>
          <w:szCs w:val="24"/>
        </w:rPr>
        <w:t xml:space="preserve"> as this work is a scoping review</w:t>
      </w:r>
      <w:r w:rsidR="006D7C35">
        <w:rPr>
          <w:rFonts w:ascii="Times New Roman" w:hAnsi="Times New Roman" w:cs="Times New Roman"/>
          <w:color w:val="242021"/>
          <w:sz w:val="24"/>
          <w:szCs w:val="24"/>
        </w:rPr>
        <w:t>.</w:t>
      </w:r>
      <w:r w:rsidR="00B4623B">
        <w:rPr>
          <w:rFonts w:ascii="Times New Roman" w:hAnsi="Times New Roman" w:cs="Times New Roman"/>
          <w:color w:val="242021"/>
          <w:sz w:val="24"/>
          <w:szCs w:val="24"/>
        </w:rPr>
        <w:t xml:space="preserve"> Further statistical analyses combining outcomes across studies </w:t>
      </w:r>
      <w:r w:rsidR="00B4623B" w:rsidRPr="00AA7402">
        <w:rPr>
          <w:rFonts w:ascii="Times New Roman" w:hAnsi="Times New Roman" w:cs="Times New Roman"/>
          <w:sz w:val="24"/>
          <w:szCs w:val="24"/>
        </w:rPr>
        <w:t xml:space="preserve">was not </w:t>
      </w:r>
      <w:r w:rsidR="00D20658" w:rsidRPr="00AA7402">
        <w:rPr>
          <w:rFonts w:ascii="Times New Roman" w:hAnsi="Times New Roman" w:cs="Times New Roman"/>
          <w:sz w:val="24"/>
          <w:szCs w:val="24"/>
        </w:rPr>
        <w:t>feasible</w:t>
      </w:r>
      <w:r w:rsidR="00B4623B" w:rsidRPr="00AA7402">
        <w:rPr>
          <w:rFonts w:ascii="Times New Roman" w:hAnsi="Times New Roman" w:cs="Times New Roman"/>
          <w:sz w:val="24"/>
          <w:szCs w:val="24"/>
        </w:rPr>
        <w:t xml:space="preserve"> as the policy interventions reported by the studies varied widely by disease, strategy,</w:t>
      </w:r>
      <w:r w:rsidR="00747E8A" w:rsidRPr="00AA7402">
        <w:rPr>
          <w:rFonts w:ascii="Times New Roman" w:hAnsi="Times New Roman" w:cs="Times New Roman"/>
          <w:sz w:val="24"/>
          <w:szCs w:val="24"/>
        </w:rPr>
        <w:t xml:space="preserve"> study perspectives</w:t>
      </w:r>
      <w:r w:rsidR="00B4623B" w:rsidRPr="00AA7402">
        <w:rPr>
          <w:rFonts w:ascii="Times New Roman" w:hAnsi="Times New Roman" w:cs="Times New Roman"/>
          <w:sz w:val="24"/>
          <w:szCs w:val="24"/>
        </w:rPr>
        <w:t xml:space="preserve"> and outcomes. </w:t>
      </w:r>
      <w:r w:rsidR="00470590" w:rsidRPr="00AA7402">
        <w:rPr>
          <w:rFonts w:ascii="Times New Roman" w:hAnsi="Times New Roman" w:cs="Times New Roman"/>
          <w:sz w:val="24"/>
          <w:szCs w:val="24"/>
        </w:rPr>
        <w:t>A visual chart of the process of data extraction is in Figure 1 (See Appendix).</w:t>
      </w:r>
      <w:r w:rsidR="00470590" w:rsidRPr="00AA7402">
        <w:rPr>
          <w:rFonts w:ascii="Times New Roman" w:hAnsi="Times New Roman" w:cs="Times New Roman"/>
          <w:color w:val="242021"/>
          <w:sz w:val="24"/>
          <w:szCs w:val="24"/>
        </w:rPr>
        <w:t xml:space="preserve"> </w:t>
      </w:r>
    </w:p>
    <w:p w14:paraId="03283829" w14:textId="0506B816" w:rsidR="00452216" w:rsidRPr="00B60B3D" w:rsidRDefault="00452216" w:rsidP="00B60B3D">
      <w:pPr>
        <w:pStyle w:val="ListParagraph"/>
        <w:numPr>
          <w:ilvl w:val="0"/>
          <w:numId w:val="8"/>
        </w:numPr>
        <w:spacing w:line="480" w:lineRule="auto"/>
        <w:rPr>
          <w:rFonts w:ascii="Times New Roman" w:hAnsi="Times New Roman" w:cs="Times New Roman"/>
          <w:b/>
          <w:bCs/>
          <w:color w:val="242021"/>
          <w:sz w:val="24"/>
          <w:szCs w:val="24"/>
        </w:rPr>
      </w:pPr>
      <w:r w:rsidRPr="00B60B3D">
        <w:rPr>
          <w:rFonts w:ascii="Times New Roman" w:hAnsi="Times New Roman" w:cs="Times New Roman"/>
          <w:b/>
          <w:bCs/>
          <w:color w:val="242021"/>
          <w:sz w:val="24"/>
          <w:szCs w:val="24"/>
        </w:rPr>
        <w:lastRenderedPageBreak/>
        <w:t>R</w:t>
      </w:r>
      <w:r w:rsidR="0085458F" w:rsidRPr="00B60B3D">
        <w:rPr>
          <w:rFonts w:ascii="Times New Roman" w:hAnsi="Times New Roman" w:cs="Times New Roman"/>
          <w:b/>
          <w:bCs/>
          <w:color w:val="242021"/>
          <w:sz w:val="24"/>
          <w:szCs w:val="24"/>
        </w:rPr>
        <w:t>esults</w:t>
      </w:r>
      <w:r w:rsidR="00403822" w:rsidRPr="00B60B3D">
        <w:rPr>
          <w:rFonts w:ascii="Times New Roman" w:hAnsi="Times New Roman" w:cs="Times New Roman"/>
          <w:b/>
          <w:bCs/>
          <w:color w:val="242021"/>
          <w:sz w:val="24"/>
          <w:szCs w:val="24"/>
        </w:rPr>
        <w:t xml:space="preserve"> </w:t>
      </w:r>
    </w:p>
    <w:p w14:paraId="5B00F6A3" w14:textId="5B8F23D6" w:rsidR="00403477" w:rsidRDefault="00FC3AAE" w:rsidP="00403477">
      <w:pPr>
        <w:spacing w:line="480" w:lineRule="auto"/>
        <w:jc w:val="both"/>
        <w:rPr>
          <w:rFonts w:ascii="Times New Roman" w:hAnsi="Times New Roman" w:cs="Times New Roman"/>
          <w:color w:val="242021"/>
          <w:sz w:val="24"/>
          <w:szCs w:val="24"/>
        </w:rPr>
      </w:pPr>
      <w:r>
        <w:rPr>
          <w:rFonts w:ascii="Times New Roman" w:hAnsi="Times New Roman" w:cs="Times New Roman"/>
          <w:b/>
          <w:bCs/>
          <w:i/>
          <w:iCs/>
          <w:color w:val="242021"/>
          <w:sz w:val="24"/>
          <w:szCs w:val="24"/>
        </w:rPr>
        <w:t xml:space="preserve">3.1 </w:t>
      </w:r>
      <w:r w:rsidR="00403477" w:rsidRPr="00143759">
        <w:rPr>
          <w:rFonts w:ascii="Times New Roman" w:hAnsi="Times New Roman" w:cs="Times New Roman"/>
          <w:b/>
          <w:bCs/>
          <w:i/>
          <w:iCs/>
          <w:color w:val="242021"/>
          <w:sz w:val="24"/>
          <w:szCs w:val="24"/>
        </w:rPr>
        <w:t>Summarizing and reporting the</w:t>
      </w:r>
      <w:r w:rsidR="00403477" w:rsidRPr="00403477">
        <w:rPr>
          <w:rFonts w:ascii="Times New Roman" w:hAnsi="Times New Roman" w:cs="Times New Roman"/>
          <w:b/>
          <w:bCs/>
          <w:i/>
          <w:iCs/>
          <w:color w:val="242021"/>
          <w:sz w:val="24"/>
          <w:szCs w:val="24"/>
        </w:rPr>
        <w:t xml:space="preserve"> </w:t>
      </w:r>
      <w:r w:rsidR="00403477">
        <w:rPr>
          <w:rFonts w:ascii="Times New Roman" w:hAnsi="Times New Roman" w:cs="Times New Roman"/>
          <w:b/>
          <w:bCs/>
          <w:i/>
          <w:iCs/>
          <w:color w:val="242021"/>
          <w:sz w:val="24"/>
          <w:szCs w:val="24"/>
        </w:rPr>
        <w:t>Search</w:t>
      </w:r>
      <w:r w:rsidR="00403477" w:rsidRPr="00143759">
        <w:rPr>
          <w:rFonts w:ascii="Times New Roman" w:hAnsi="Times New Roman" w:cs="Times New Roman"/>
          <w:b/>
          <w:bCs/>
          <w:i/>
          <w:iCs/>
          <w:color w:val="242021"/>
          <w:sz w:val="24"/>
          <w:szCs w:val="24"/>
        </w:rPr>
        <w:t xml:space="preserve"> results</w:t>
      </w:r>
    </w:p>
    <w:p w14:paraId="4F02B23E" w14:textId="2E54793A" w:rsidR="00403477" w:rsidRPr="00136CD6" w:rsidRDefault="00403477" w:rsidP="00403477">
      <w:pPr>
        <w:spacing w:line="480" w:lineRule="auto"/>
        <w:jc w:val="both"/>
        <w:rPr>
          <w:rFonts w:ascii="Times New Roman" w:hAnsi="Times New Roman" w:cs="Times New Roman"/>
          <w:color w:val="FF0000"/>
          <w:sz w:val="24"/>
          <w:szCs w:val="24"/>
        </w:rPr>
      </w:pPr>
      <w:r w:rsidRPr="007B271F">
        <w:rPr>
          <w:rFonts w:ascii="Times New Roman" w:hAnsi="Times New Roman" w:cs="Times New Roman"/>
          <w:sz w:val="24"/>
          <w:szCs w:val="24"/>
        </w:rPr>
        <w:t>A narrative synthesis was employed to analyze and report the results of the study.</w:t>
      </w:r>
      <w:r w:rsidR="00503C1D" w:rsidRPr="007B271F">
        <w:rPr>
          <w:rFonts w:ascii="Times New Roman" w:hAnsi="Times New Roman" w:cs="Times New Roman"/>
          <w:sz w:val="24"/>
          <w:szCs w:val="24"/>
        </w:rPr>
        <w:t xml:space="preserve"> </w:t>
      </w:r>
      <w:r w:rsidR="003538D1">
        <w:rPr>
          <w:rFonts w:ascii="Times New Roman" w:hAnsi="Times New Roman" w:cs="Times New Roman"/>
          <w:sz w:val="24"/>
          <w:szCs w:val="24"/>
        </w:rPr>
        <w:t xml:space="preserve">About </w:t>
      </w:r>
      <w:r w:rsidR="00AA7402" w:rsidRPr="007B271F">
        <w:rPr>
          <w:rFonts w:ascii="Times New Roman" w:hAnsi="Times New Roman" w:cs="Times New Roman"/>
          <w:sz w:val="24"/>
          <w:szCs w:val="24"/>
        </w:rPr>
        <w:t xml:space="preserve">4452 </w:t>
      </w:r>
      <w:r w:rsidR="00AA7402" w:rsidRPr="007B271F">
        <w:rPr>
          <w:rFonts w:ascii="Times New Roman" w:hAnsi="Times New Roman" w:cs="Times New Roman"/>
          <w:sz w:val="24"/>
          <w:szCs w:val="24"/>
        </w:rPr>
        <w:t>studies were identified</w:t>
      </w:r>
      <w:r w:rsidR="00AA7402" w:rsidRPr="007B271F">
        <w:rPr>
          <w:rFonts w:ascii="Times New Roman" w:hAnsi="Times New Roman" w:cs="Times New Roman"/>
          <w:sz w:val="24"/>
          <w:szCs w:val="24"/>
        </w:rPr>
        <w:t xml:space="preserve"> from the three databases and </w:t>
      </w:r>
      <w:r w:rsidR="00FC117A">
        <w:rPr>
          <w:rFonts w:ascii="Times New Roman" w:hAnsi="Times New Roman" w:cs="Times New Roman"/>
          <w:sz w:val="24"/>
          <w:szCs w:val="24"/>
        </w:rPr>
        <w:t>10</w:t>
      </w:r>
      <w:r w:rsidR="00AA7402" w:rsidRPr="007B271F">
        <w:rPr>
          <w:rFonts w:ascii="Times New Roman" w:hAnsi="Times New Roman" w:cs="Times New Roman"/>
          <w:sz w:val="24"/>
          <w:szCs w:val="24"/>
        </w:rPr>
        <w:t xml:space="preserve"> </w:t>
      </w:r>
      <w:r w:rsidR="007B271F" w:rsidRPr="007B271F">
        <w:rPr>
          <w:rFonts w:ascii="Times New Roman" w:hAnsi="Times New Roman" w:cs="Times New Roman"/>
          <w:sz w:val="24"/>
          <w:szCs w:val="24"/>
        </w:rPr>
        <w:t xml:space="preserve">studies </w:t>
      </w:r>
      <w:r w:rsidR="00AA7402" w:rsidRPr="007B271F">
        <w:rPr>
          <w:rFonts w:ascii="Times New Roman" w:hAnsi="Times New Roman" w:cs="Times New Roman"/>
          <w:sz w:val="24"/>
          <w:szCs w:val="24"/>
        </w:rPr>
        <w:t xml:space="preserve">from Google </w:t>
      </w:r>
      <w:r w:rsidR="007B271F" w:rsidRPr="007B271F">
        <w:rPr>
          <w:rFonts w:ascii="Times New Roman" w:hAnsi="Times New Roman" w:cs="Times New Roman"/>
          <w:sz w:val="24"/>
          <w:szCs w:val="24"/>
        </w:rPr>
        <w:t>S</w:t>
      </w:r>
      <w:r w:rsidR="00AA7402" w:rsidRPr="007B271F">
        <w:rPr>
          <w:rFonts w:ascii="Times New Roman" w:hAnsi="Times New Roman" w:cs="Times New Roman"/>
          <w:sz w:val="24"/>
          <w:szCs w:val="24"/>
        </w:rPr>
        <w:t xml:space="preserve">cholar and </w:t>
      </w:r>
      <w:r w:rsidR="007B271F" w:rsidRPr="007B271F">
        <w:rPr>
          <w:rFonts w:ascii="Times New Roman" w:hAnsi="Times New Roman" w:cs="Times New Roman"/>
          <w:sz w:val="24"/>
          <w:szCs w:val="24"/>
        </w:rPr>
        <w:t>S</w:t>
      </w:r>
      <w:r w:rsidR="00AA7402" w:rsidRPr="007B271F">
        <w:rPr>
          <w:rFonts w:ascii="Times New Roman" w:hAnsi="Times New Roman" w:cs="Times New Roman"/>
          <w:sz w:val="24"/>
          <w:szCs w:val="24"/>
        </w:rPr>
        <w:t>cienceDirect.</w:t>
      </w:r>
      <w:r w:rsidR="004F25E3" w:rsidRPr="007B271F">
        <w:rPr>
          <w:rFonts w:ascii="Times New Roman" w:hAnsi="Times New Roman" w:cs="Times New Roman"/>
          <w:sz w:val="24"/>
          <w:szCs w:val="24"/>
        </w:rPr>
        <w:t xml:space="preserve"> </w:t>
      </w:r>
      <w:r w:rsidR="0071010F" w:rsidRPr="00B62B3D">
        <w:rPr>
          <w:rFonts w:ascii="Times New Roman" w:hAnsi="Times New Roman" w:cs="Times New Roman"/>
          <w:sz w:val="24"/>
          <w:szCs w:val="24"/>
        </w:rPr>
        <w:t xml:space="preserve">About 3794 studies </w:t>
      </w:r>
      <w:r w:rsidR="004F25E3" w:rsidRPr="00B62B3D">
        <w:rPr>
          <w:rFonts w:ascii="Times New Roman" w:hAnsi="Times New Roman" w:cs="Times New Roman"/>
          <w:sz w:val="24"/>
          <w:szCs w:val="24"/>
        </w:rPr>
        <w:t xml:space="preserve">were void of duplications, </w:t>
      </w:r>
      <w:r w:rsidR="0071010F" w:rsidRPr="00B62B3D">
        <w:rPr>
          <w:rFonts w:ascii="Times New Roman" w:hAnsi="Times New Roman" w:cs="Times New Roman"/>
          <w:sz w:val="24"/>
          <w:szCs w:val="24"/>
        </w:rPr>
        <w:t xml:space="preserve">3750 studies </w:t>
      </w:r>
      <w:r w:rsidR="004F25E3" w:rsidRPr="00B62B3D">
        <w:rPr>
          <w:rFonts w:ascii="Times New Roman" w:hAnsi="Times New Roman" w:cs="Times New Roman"/>
          <w:sz w:val="24"/>
          <w:szCs w:val="24"/>
        </w:rPr>
        <w:t>were excluded based on title/abstract screening and</w:t>
      </w:r>
      <w:r w:rsidRPr="00B62B3D">
        <w:rPr>
          <w:rFonts w:ascii="Times New Roman" w:hAnsi="Times New Roman" w:cs="Times New Roman"/>
          <w:sz w:val="24"/>
          <w:szCs w:val="24"/>
        </w:rPr>
        <w:t xml:space="preserve"> </w:t>
      </w:r>
      <w:r w:rsidR="0071010F" w:rsidRPr="00B62B3D">
        <w:rPr>
          <w:rFonts w:ascii="Times New Roman" w:hAnsi="Times New Roman" w:cs="Times New Roman"/>
          <w:sz w:val="24"/>
          <w:szCs w:val="24"/>
        </w:rPr>
        <w:t xml:space="preserve">24 </w:t>
      </w:r>
      <w:r w:rsidR="004F25E3" w:rsidRPr="00B62B3D">
        <w:rPr>
          <w:rFonts w:ascii="Times New Roman" w:hAnsi="Times New Roman" w:cs="Times New Roman"/>
          <w:sz w:val="24"/>
          <w:szCs w:val="24"/>
        </w:rPr>
        <w:t xml:space="preserve">were excluded after quality assessment. </w:t>
      </w:r>
      <w:r w:rsidR="0071010F" w:rsidRPr="00B62B3D">
        <w:rPr>
          <w:rFonts w:ascii="Times New Roman" w:hAnsi="Times New Roman" w:cs="Times New Roman"/>
          <w:sz w:val="24"/>
          <w:szCs w:val="24"/>
        </w:rPr>
        <w:t xml:space="preserve">I </w:t>
      </w:r>
      <w:r w:rsidR="004F25E3" w:rsidRPr="00B62B3D">
        <w:rPr>
          <w:rFonts w:ascii="Times New Roman" w:hAnsi="Times New Roman" w:cs="Times New Roman"/>
          <w:sz w:val="24"/>
          <w:szCs w:val="24"/>
        </w:rPr>
        <w:t xml:space="preserve">included </w:t>
      </w:r>
      <w:r w:rsidR="0071010F" w:rsidRPr="00B62B3D">
        <w:rPr>
          <w:rFonts w:ascii="Times New Roman" w:hAnsi="Times New Roman" w:cs="Times New Roman"/>
          <w:sz w:val="24"/>
          <w:szCs w:val="24"/>
        </w:rPr>
        <w:t xml:space="preserve">only </w:t>
      </w:r>
      <w:r w:rsidR="004F25E3" w:rsidRPr="00B62B3D">
        <w:rPr>
          <w:rFonts w:ascii="Times New Roman" w:hAnsi="Times New Roman" w:cs="Times New Roman"/>
          <w:sz w:val="24"/>
          <w:szCs w:val="24"/>
        </w:rPr>
        <w:t>20 studies in this review</w:t>
      </w:r>
      <w:r w:rsidR="00D14DF0" w:rsidRPr="00B62B3D">
        <w:rPr>
          <w:rFonts w:ascii="Times New Roman" w:hAnsi="Times New Roman" w:cs="Times New Roman"/>
          <w:sz w:val="24"/>
          <w:szCs w:val="24"/>
        </w:rPr>
        <w:t xml:space="preserve"> (Figure 1)</w:t>
      </w:r>
      <w:r w:rsidR="004F25E3" w:rsidRPr="00B62B3D">
        <w:rPr>
          <w:rFonts w:ascii="Times New Roman" w:hAnsi="Times New Roman" w:cs="Times New Roman"/>
          <w:sz w:val="24"/>
          <w:szCs w:val="24"/>
        </w:rPr>
        <w:t>.</w:t>
      </w:r>
      <w:r w:rsidR="00764678" w:rsidRPr="00B62B3D">
        <w:rPr>
          <w:rFonts w:ascii="Times New Roman" w:hAnsi="Times New Roman" w:cs="Times New Roman"/>
          <w:sz w:val="24"/>
          <w:szCs w:val="24"/>
        </w:rPr>
        <w:t xml:space="preserve"> Extracted data are reviewed in Table 3</w:t>
      </w:r>
      <w:r w:rsidR="00495913">
        <w:rPr>
          <w:rFonts w:ascii="Times New Roman" w:hAnsi="Times New Roman" w:cs="Times New Roman"/>
          <w:sz w:val="24"/>
          <w:szCs w:val="24"/>
        </w:rPr>
        <w:t xml:space="preserve"> (see Appendix)</w:t>
      </w:r>
      <w:r w:rsidR="00764678" w:rsidRPr="00B62B3D">
        <w:rPr>
          <w:rFonts w:ascii="Times New Roman" w:hAnsi="Times New Roman" w:cs="Times New Roman"/>
          <w:sz w:val="24"/>
          <w:szCs w:val="24"/>
        </w:rPr>
        <w:t>.</w:t>
      </w:r>
      <w:r w:rsidR="00445D0A" w:rsidRPr="00B62B3D">
        <w:rPr>
          <w:rFonts w:ascii="Times New Roman" w:hAnsi="Times New Roman" w:cs="Times New Roman"/>
          <w:sz w:val="24"/>
          <w:szCs w:val="24"/>
        </w:rPr>
        <w:t xml:space="preserve"> </w:t>
      </w:r>
    </w:p>
    <w:p w14:paraId="1B81B03A" w14:textId="2277F601" w:rsidR="008D6B41" w:rsidRDefault="00FC3AAE" w:rsidP="00BB0D75">
      <w:pPr>
        <w:spacing w:line="480" w:lineRule="auto"/>
        <w:jc w:val="both"/>
        <w:rPr>
          <w:rFonts w:ascii="Times New Roman" w:hAnsi="Times New Roman" w:cs="Times New Roman"/>
          <w:color w:val="242021"/>
          <w:sz w:val="24"/>
          <w:szCs w:val="24"/>
        </w:rPr>
      </w:pPr>
      <w:r>
        <w:rPr>
          <w:rFonts w:ascii="Times New Roman" w:hAnsi="Times New Roman" w:cs="Times New Roman"/>
          <w:b/>
          <w:bCs/>
          <w:i/>
          <w:iCs/>
          <w:color w:val="242021"/>
          <w:sz w:val="24"/>
          <w:szCs w:val="24"/>
        </w:rPr>
        <w:t>3.</w:t>
      </w:r>
      <w:r>
        <w:rPr>
          <w:rFonts w:ascii="Times New Roman" w:hAnsi="Times New Roman" w:cs="Times New Roman"/>
          <w:b/>
          <w:bCs/>
          <w:i/>
          <w:iCs/>
          <w:color w:val="242021"/>
          <w:sz w:val="24"/>
          <w:szCs w:val="24"/>
        </w:rPr>
        <w:t xml:space="preserve">2 </w:t>
      </w:r>
      <w:r w:rsidR="00D01FA5" w:rsidRPr="00143759">
        <w:rPr>
          <w:rFonts w:ascii="Times New Roman" w:hAnsi="Times New Roman" w:cs="Times New Roman"/>
          <w:b/>
          <w:bCs/>
          <w:i/>
          <w:iCs/>
          <w:color w:val="242021"/>
          <w:sz w:val="24"/>
          <w:szCs w:val="24"/>
        </w:rPr>
        <w:t>S</w:t>
      </w:r>
      <w:r w:rsidR="00D01FA5">
        <w:rPr>
          <w:rFonts w:ascii="Times New Roman" w:hAnsi="Times New Roman" w:cs="Times New Roman"/>
          <w:b/>
          <w:bCs/>
          <w:i/>
          <w:iCs/>
          <w:color w:val="242021"/>
          <w:sz w:val="24"/>
          <w:szCs w:val="24"/>
        </w:rPr>
        <w:t>tudy characteristic</w:t>
      </w:r>
      <w:r w:rsidR="00D01FA5" w:rsidRPr="00143759">
        <w:rPr>
          <w:rFonts w:ascii="Times New Roman" w:hAnsi="Times New Roman" w:cs="Times New Roman"/>
          <w:b/>
          <w:bCs/>
          <w:i/>
          <w:iCs/>
          <w:color w:val="242021"/>
          <w:sz w:val="24"/>
          <w:szCs w:val="24"/>
        </w:rPr>
        <w:t>s</w:t>
      </w:r>
    </w:p>
    <w:p w14:paraId="0A883F55" w14:textId="77777777" w:rsidR="00593380" w:rsidRDefault="00FA6C59" w:rsidP="00BB0D75">
      <w:pPr>
        <w:spacing w:line="480" w:lineRule="auto"/>
        <w:jc w:val="both"/>
        <w:rPr>
          <w:rFonts w:ascii="Times New Roman" w:hAnsi="Times New Roman" w:cs="Times New Roman"/>
          <w:color w:val="242021"/>
          <w:sz w:val="24"/>
          <w:szCs w:val="24"/>
        </w:rPr>
      </w:pPr>
      <w:r w:rsidRPr="00F43C71">
        <w:rPr>
          <w:rFonts w:ascii="Times New Roman" w:hAnsi="Times New Roman" w:cs="Times New Roman"/>
          <w:color w:val="242021"/>
          <w:sz w:val="24"/>
          <w:szCs w:val="24"/>
        </w:rPr>
        <w:t xml:space="preserve">A total of 20 articles </w:t>
      </w:r>
      <w:r w:rsidR="00F33759" w:rsidRPr="00F43C71">
        <w:rPr>
          <w:rFonts w:ascii="Times New Roman" w:hAnsi="Times New Roman" w:cs="Times New Roman"/>
          <w:color w:val="242021"/>
          <w:sz w:val="24"/>
          <w:szCs w:val="24"/>
        </w:rPr>
        <w:t xml:space="preserve">on </w:t>
      </w:r>
      <w:r w:rsidR="004360D7">
        <w:rPr>
          <w:rFonts w:ascii="Times New Roman" w:hAnsi="Times New Roman" w:cs="Times New Roman"/>
          <w:color w:val="242021"/>
          <w:sz w:val="24"/>
          <w:szCs w:val="24"/>
        </w:rPr>
        <w:t>LMICs</w:t>
      </w:r>
      <w:r w:rsidR="006241D2">
        <w:rPr>
          <w:rFonts w:ascii="Times New Roman" w:hAnsi="Times New Roman" w:cs="Times New Roman"/>
          <w:color w:val="242021"/>
          <w:sz w:val="24"/>
          <w:szCs w:val="24"/>
        </w:rPr>
        <w:t xml:space="preserve"> published from 2013 to 2021</w:t>
      </w:r>
      <w:r w:rsidR="00F33759" w:rsidRPr="00F43C71">
        <w:rPr>
          <w:rFonts w:ascii="Times New Roman" w:hAnsi="Times New Roman" w:cs="Times New Roman"/>
          <w:color w:val="242021"/>
          <w:sz w:val="24"/>
          <w:szCs w:val="24"/>
        </w:rPr>
        <w:t xml:space="preserve"> </w:t>
      </w:r>
      <w:r w:rsidRPr="00F43C71">
        <w:rPr>
          <w:rFonts w:ascii="Times New Roman" w:hAnsi="Times New Roman" w:cs="Times New Roman"/>
          <w:color w:val="242021"/>
          <w:sz w:val="24"/>
          <w:szCs w:val="24"/>
        </w:rPr>
        <w:t>were included in the analysis</w:t>
      </w:r>
      <w:r w:rsidR="00580EC9" w:rsidRPr="00F43C71">
        <w:rPr>
          <w:rFonts w:ascii="Times New Roman" w:hAnsi="Times New Roman" w:cs="Times New Roman"/>
          <w:color w:val="242021"/>
          <w:sz w:val="24"/>
          <w:szCs w:val="24"/>
        </w:rPr>
        <w:t>:</w:t>
      </w:r>
      <w:r w:rsidR="00F33759" w:rsidRPr="00F43C71">
        <w:rPr>
          <w:rFonts w:ascii="Times New Roman" w:hAnsi="Times New Roman" w:cs="Times New Roman"/>
          <w:color w:val="242021"/>
          <w:sz w:val="24"/>
          <w:szCs w:val="24"/>
        </w:rPr>
        <w:t xml:space="preserve"> </w:t>
      </w:r>
      <w:r w:rsidR="00153BDA" w:rsidRPr="00F43C71">
        <w:rPr>
          <w:rFonts w:ascii="Times New Roman" w:hAnsi="Times New Roman" w:cs="Times New Roman"/>
          <w:color w:val="242021"/>
          <w:sz w:val="24"/>
          <w:szCs w:val="24"/>
        </w:rPr>
        <w:t>Five</w:t>
      </w:r>
      <w:r w:rsidR="00580EC9" w:rsidRPr="00F43C71">
        <w:rPr>
          <w:rFonts w:ascii="Times New Roman" w:hAnsi="Times New Roman" w:cs="Times New Roman"/>
          <w:color w:val="242021"/>
          <w:sz w:val="24"/>
          <w:szCs w:val="24"/>
        </w:rPr>
        <w:t xml:space="preserve"> in Ethiopia</w:t>
      </w:r>
      <w:r w:rsidR="009F1DE1" w:rsidRPr="00F43C71">
        <w:rPr>
          <w:rFonts w:ascii="Times New Roman" w:hAnsi="Times New Roman" w:cs="Times New Roman"/>
          <w:color w:val="242021"/>
          <w:sz w:val="24"/>
          <w:szCs w:val="24"/>
        </w:rPr>
        <w:t xml:space="preserve">, </w:t>
      </w:r>
      <w:r w:rsidR="00242A86" w:rsidRPr="00F43C71">
        <w:rPr>
          <w:rFonts w:ascii="Times New Roman" w:hAnsi="Times New Roman" w:cs="Times New Roman"/>
          <w:color w:val="242021"/>
          <w:sz w:val="24"/>
          <w:szCs w:val="24"/>
        </w:rPr>
        <w:t>four</w:t>
      </w:r>
      <w:r w:rsidR="00153BDA" w:rsidRPr="00F43C71">
        <w:rPr>
          <w:rFonts w:ascii="Times New Roman" w:hAnsi="Times New Roman" w:cs="Times New Roman"/>
          <w:color w:val="242021"/>
          <w:sz w:val="24"/>
          <w:szCs w:val="24"/>
        </w:rPr>
        <w:t xml:space="preserve"> in India</w:t>
      </w:r>
      <w:r w:rsidR="009F1DE1" w:rsidRPr="00F43C71">
        <w:rPr>
          <w:rFonts w:ascii="Times New Roman" w:hAnsi="Times New Roman" w:cs="Times New Roman"/>
          <w:color w:val="242021"/>
          <w:sz w:val="24"/>
          <w:szCs w:val="24"/>
        </w:rPr>
        <w:t xml:space="preserve">, </w:t>
      </w:r>
      <w:r w:rsidR="00153BDA" w:rsidRPr="00F43C71">
        <w:rPr>
          <w:rFonts w:ascii="Times New Roman" w:hAnsi="Times New Roman" w:cs="Times New Roman"/>
          <w:color w:val="242021"/>
          <w:sz w:val="24"/>
          <w:szCs w:val="24"/>
        </w:rPr>
        <w:t>one in Ethiopia and India</w:t>
      </w:r>
      <w:r w:rsidR="00FA55D8" w:rsidRPr="00F43C71">
        <w:rPr>
          <w:rFonts w:ascii="Times New Roman" w:hAnsi="Times New Roman" w:cs="Times New Roman"/>
          <w:color w:val="242021"/>
          <w:sz w:val="24"/>
          <w:szCs w:val="24"/>
        </w:rPr>
        <w:t xml:space="preserve"> in</w:t>
      </w:r>
      <w:r w:rsidR="005D6361">
        <w:rPr>
          <w:rFonts w:ascii="Times New Roman" w:hAnsi="Times New Roman" w:cs="Times New Roman"/>
          <w:color w:val="242021"/>
          <w:sz w:val="24"/>
          <w:szCs w:val="24"/>
        </w:rPr>
        <w:t xml:space="preserve"> the</w:t>
      </w:r>
      <w:r w:rsidR="00FA55D8" w:rsidRPr="00F43C71">
        <w:rPr>
          <w:rFonts w:ascii="Times New Roman" w:hAnsi="Times New Roman" w:cs="Times New Roman"/>
          <w:color w:val="242021"/>
          <w:sz w:val="24"/>
          <w:szCs w:val="24"/>
        </w:rPr>
        <w:t xml:space="preserve"> same article</w:t>
      </w:r>
      <w:r w:rsidR="00153BDA" w:rsidRPr="00F43C71">
        <w:rPr>
          <w:rFonts w:ascii="Times New Roman" w:hAnsi="Times New Roman" w:cs="Times New Roman"/>
          <w:color w:val="242021"/>
          <w:sz w:val="24"/>
          <w:szCs w:val="24"/>
        </w:rPr>
        <w:t xml:space="preserve">, </w:t>
      </w:r>
      <w:r w:rsidR="009F1DE1" w:rsidRPr="00F43C71">
        <w:rPr>
          <w:rFonts w:ascii="Times New Roman" w:hAnsi="Times New Roman" w:cs="Times New Roman"/>
          <w:color w:val="242021"/>
          <w:sz w:val="24"/>
          <w:szCs w:val="24"/>
        </w:rPr>
        <w:t>t</w:t>
      </w:r>
      <w:r w:rsidR="00580EC9" w:rsidRPr="00F43C71">
        <w:rPr>
          <w:rFonts w:ascii="Times New Roman" w:hAnsi="Times New Roman" w:cs="Times New Roman"/>
          <w:color w:val="242021"/>
          <w:sz w:val="24"/>
          <w:szCs w:val="24"/>
        </w:rPr>
        <w:t>hree</w:t>
      </w:r>
      <w:r w:rsidR="00B07201" w:rsidRPr="00F43C71">
        <w:rPr>
          <w:rFonts w:ascii="Times New Roman" w:hAnsi="Times New Roman" w:cs="Times New Roman"/>
          <w:color w:val="242021"/>
          <w:sz w:val="24"/>
          <w:szCs w:val="24"/>
        </w:rPr>
        <w:t xml:space="preserve"> in China</w:t>
      </w:r>
      <w:r w:rsidR="009F1DE1" w:rsidRPr="00F43C71">
        <w:rPr>
          <w:rFonts w:ascii="Times New Roman" w:hAnsi="Times New Roman" w:cs="Times New Roman"/>
          <w:color w:val="242021"/>
          <w:sz w:val="24"/>
          <w:szCs w:val="24"/>
        </w:rPr>
        <w:t xml:space="preserve">, and </w:t>
      </w:r>
      <w:r w:rsidR="001A5221" w:rsidRPr="00F43C71">
        <w:rPr>
          <w:rFonts w:ascii="Times New Roman" w:hAnsi="Times New Roman" w:cs="Times New Roman"/>
          <w:color w:val="242021"/>
          <w:sz w:val="24"/>
          <w:szCs w:val="24"/>
        </w:rPr>
        <w:t xml:space="preserve">two </w:t>
      </w:r>
      <w:r w:rsidR="00C07FFB" w:rsidRPr="00F43C71">
        <w:rPr>
          <w:rFonts w:ascii="Times New Roman" w:hAnsi="Times New Roman" w:cs="Times New Roman"/>
          <w:color w:val="242021"/>
          <w:sz w:val="24"/>
          <w:szCs w:val="24"/>
        </w:rPr>
        <w:t>in</w:t>
      </w:r>
      <w:r w:rsidR="009F1DE1" w:rsidRPr="00F43C71">
        <w:rPr>
          <w:rFonts w:ascii="Times New Roman" w:hAnsi="Times New Roman" w:cs="Times New Roman"/>
          <w:color w:val="242021"/>
          <w:sz w:val="24"/>
          <w:szCs w:val="24"/>
        </w:rPr>
        <w:t xml:space="preserve"> South Africa.</w:t>
      </w:r>
      <w:r w:rsidR="00F01D91" w:rsidRPr="00F43C71">
        <w:rPr>
          <w:rFonts w:ascii="Times New Roman" w:hAnsi="Times New Roman" w:cs="Times New Roman"/>
          <w:color w:val="242021"/>
          <w:sz w:val="24"/>
          <w:szCs w:val="24"/>
        </w:rPr>
        <w:t xml:space="preserve"> </w:t>
      </w:r>
      <w:r w:rsidR="009F1DE1" w:rsidRPr="00F43C71">
        <w:rPr>
          <w:rFonts w:ascii="Times New Roman" w:hAnsi="Times New Roman" w:cs="Times New Roman"/>
          <w:color w:val="242021"/>
          <w:sz w:val="24"/>
          <w:szCs w:val="24"/>
        </w:rPr>
        <w:t xml:space="preserve">There </w:t>
      </w:r>
      <w:r w:rsidR="00291CA8" w:rsidRPr="00F43C71">
        <w:rPr>
          <w:rFonts w:ascii="Times New Roman" w:hAnsi="Times New Roman" w:cs="Times New Roman"/>
          <w:color w:val="242021"/>
          <w:sz w:val="24"/>
          <w:szCs w:val="24"/>
        </w:rPr>
        <w:t>was</w:t>
      </w:r>
      <w:r w:rsidR="009F1DE1" w:rsidRPr="00F43C71">
        <w:rPr>
          <w:rFonts w:ascii="Times New Roman" w:hAnsi="Times New Roman" w:cs="Times New Roman"/>
          <w:color w:val="242021"/>
          <w:sz w:val="24"/>
          <w:szCs w:val="24"/>
        </w:rPr>
        <w:t xml:space="preserve"> one article each </w:t>
      </w:r>
      <w:r w:rsidR="00B74B54" w:rsidRPr="00F43C71">
        <w:rPr>
          <w:rFonts w:ascii="Times New Roman" w:hAnsi="Times New Roman" w:cs="Times New Roman"/>
          <w:color w:val="242021"/>
          <w:sz w:val="24"/>
          <w:szCs w:val="24"/>
        </w:rPr>
        <w:t>in</w:t>
      </w:r>
      <w:r w:rsidR="009F1DE1" w:rsidRPr="00F43C71">
        <w:rPr>
          <w:rFonts w:ascii="Times New Roman" w:hAnsi="Times New Roman" w:cs="Times New Roman"/>
          <w:color w:val="242021"/>
          <w:sz w:val="24"/>
          <w:szCs w:val="24"/>
        </w:rPr>
        <w:t xml:space="preserve"> Vietnam, </w:t>
      </w:r>
      <w:r w:rsidR="00EA254B" w:rsidRPr="00F43C71">
        <w:rPr>
          <w:rFonts w:ascii="Times New Roman" w:hAnsi="Times New Roman" w:cs="Times New Roman"/>
          <w:color w:val="242021"/>
          <w:sz w:val="24"/>
          <w:szCs w:val="24"/>
        </w:rPr>
        <w:t>Armenia</w:t>
      </w:r>
      <w:r w:rsidR="009D0D7A" w:rsidRPr="00F43C71">
        <w:rPr>
          <w:rFonts w:ascii="Times New Roman" w:hAnsi="Times New Roman" w:cs="Times New Roman"/>
          <w:color w:val="242021"/>
          <w:sz w:val="24"/>
          <w:szCs w:val="24"/>
        </w:rPr>
        <w:t xml:space="preserve">, </w:t>
      </w:r>
      <w:r w:rsidR="00BE469F" w:rsidRPr="00F43C71">
        <w:rPr>
          <w:rFonts w:ascii="Times New Roman" w:hAnsi="Times New Roman" w:cs="Times New Roman"/>
          <w:color w:val="242021"/>
          <w:sz w:val="24"/>
          <w:szCs w:val="24"/>
        </w:rPr>
        <w:t>Philippines,</w:t>
      </w:r>
      <w:r w:rsidR="002A19A1" w:rsidRPr="00F43C71">
        <w:rPr>
          <w:rFonts w:ascii="Times New Roman" w:hAnsi="Times New Roman" w:cs="Times New Roman"/>
          <w:color w:val="242021"/>
          <w:sz w:val="24"/>
          <w:szCs w:val="24"/>
        </w:rPr>
        <w:t xml:space="preserve"> </w:t>
      </w:r>
      <w:r w:rsidR="009F1DE1" w:rsidRPr="00F43C71">
        <w:rPr>
          <w:rFonts w:ascii="Times New Roman" w:hAnsi="Times New Roman" w:cs="Times New Roman"/>
          <w:color w:val="242021"/>
          <w:sz w:val="24"/>
          <w:szCs w:val="24"/>
        </w:rPr>
        <w:t>Malaysia,</w:t>
      </w:r>
      <w:r w:rsidR="00EC779D" w:rsidRPr="00F43C71">
        <w:rPr>
          <w:rFonts w:ascii="Times New Roman" w:hAnsi="Times New Roman" w:cs="Times New Roman"/>
          <w:color w:val="242021"/>
          <w:sz w:val="24"/>
          <w:szCs w:val="24"/>
        </w:rPr>
        <w:t xml:space="preserve"> and</w:t>
      </w:r>
      <w:r w:rsidR="009F1DE1" w:rsidRPr="00F43C71">
        <w:rPr>
          <w:rFonts w:ascii="Times New Roman" w:hAnsi="Times New Roman" w:cs="Times New Roman"/>
          <w:color w:val="242021"/>
          <w:sz w:val="24"/>
          <w:szCs w:val="24"/>
        </w:rPr>
        <w:t xml:space="preserve"> Lebanon.</w:t>
      </w:r>
      <w:r w:rsidR="00EF7395" w:rsidRPr="00F43C71">
        <w:rPr>
          <w:rFonts w:ascii="Times New Roman" w:hAnsi="Times New Roman" w:cs="Times New Roman"/>
          <w:color w:val="242021"/>
          <w:sz w:val="24"/>
          <w:szCs w:val="24"/>
        </w:rPr>
        <w:t xml:space="preserve"> </w:t>
      </w:r>
      <w:r w:rsidR="00BB0D75" w:rsidRPr="00F43C71">
        <w:rPr>
          <w:rFonts w:ascii="Times New Roman" w:hAnsi="Times New Roman" w:cs="Times New Roman"/>
          <w:color w:val="242021"/>
          <w:sz w:val="24"/>
          <w:szCs w:val="24"/>
        </w:rPr>
        <w:t>In this review, different health polic</w:t>
      </w:r>
      <w:r w:rsidR="00A11E2B" w:rsidRPr="00F43C71">
        <w:rPr>
          <w:rFonts w:ascii="Times New Roman" w:hAnsi="Times New Roman" w:cs="Times New Roman"/>
          <w:color w:val="242021"/>
          <w:sz w:val="24"/>
          <w:szCs w:val="24"/>
        </w:rPr>
        <w:t>y interventions</w:t>
      </w:r>
      <w:r w:rsidR="00BB0D75" w:rsidRPr="00F43C71">
        <w:rPr>
          <w:rFonts w:ascii="Times New Roman" w:hAnsi="Times New Roman" w:cs="Times New Roman"/>
          <w:color w:val="242021"/>
          <w:sz w:val="24"/>
          <w:szCs w:val="24"/>
        </w:rPr>
        <w:t xml:space="preserve"> were identified within LMICs</w:t>
      </w:r>
      <w:r w:rsidR="00A671B0">
        <w:rPr>
          <w:rFonts w:ascii="Times New Roman" w:hAnsi="Times New Roman" w:cs="Times New Roman"/>
          <w:color w:val="242021"/>
          <w:sz w:val="24"/>
          <w:szCs w:val="24"/>
        </w:rPr>
        <w:t xml:space="preserve">. About </w:t>
      </w:r>
      <w:r w:rsidR="00BD4782">
        <w:rPr>
          <w:rFonts w:ascii="Times New Roman" w:hAnsi="Times New Roman" w:cs="Times New Roman"/>
          <w:color w:val="242021"/>
          <w:sz w:val="24"/>
          <w:szCs w:val="24"/>
        </w:rPr>
        <w:t>6</w:t>
      </w:r>
      <w:r w:rsidR="00195A8E">
        <w:rPr>
          <w:rFonts w:ascii="Times New Roman" w:hAnsi="Times New Roman" w:cs="Times New Roman"/>
          <w:color w:val="242021"/>
          <w:sz w:val="24"/>
          <w:szCs w:val="24"/>
        </w:rPr>
        <w:t>5% (1</w:t>
      </w:r>
      <w:r w:rsidR="00BD4782">
        <w:rPr>
          <w:rFonts w:ascii="Times New Roman" w:hAnsi="Times New Roman" w:cs="Times New Roman"/>
          <w:color w:val="242021"/>
          <w:sz w:val="24"/>
          <w:szCs w:val="24"/>
        </w:rPr>
        <w:t>3</w:t>
      </w:r>
      <w:r w:rsidR="00195A8E">
        <w:rPr>
          <w:rFonts w:ascii="Times New Roman" w:hAnsi="Times New Roman" w:cs="Times New Roman"/>
          <w:color w:val="242021"/>
          <w:sz w:val="24"/>
          <w:szCs w:val="24"/>
        </w:rPr>
        <w:t xml:space="preserve"> out of 20) were UPF programs</w:t>
      </w:r>
      <w:r w:rsidR="00A671B0">
        <w:rPr>
          <w:rFonts w:ascii="Times New Roman" w:hAnsi="Times New Roman" w:cs="Times New Roman"/>
          <w:color w:val="242021"/>
          <w:sz w:val="24"/>
          <w:szCs w:val="24"/>
        </w:rPr>
        <w:t xml:space="preserve"> and the remaining were public interventions (i.e., taxation)</w:t>
      </w:r>
      <w:r w:rsidR="00BB0D75" w:rsidRPr="00F43C71">
        <w:rPr>
          <w:rFonts w:ascii="Times New Roman" w:hAnsi="Times New Roman" w:cs="Times New Roman"/>
          <w:color w:val="242021"/>
          <w:sz w:val="24"/>
          <w:szCs w:val="24"/>
        </w:rPr>
        <w:t xml:space="preserve">. </w:t>
      </w:r>
      <w:r w:rsidR="000D603D">
        <w:rPr>
          <w:rFonts w:ascii="Times New Roman" w:hAnsi="Times New Roman" w:cs="Times New Roman"/>
          <w:color w:val="242021"/>
          <w:sz w:val="24"/>
          <w:szCs w:val="24"/>
        </w:rPr>
        <w:t xml:space="preserve">They used data </w:t>
      </w:r>
      <w:r w:rsidR="000D603D" w:rsidRPr="00923F52">
        <w:rPr>
          <w:rFonts w:ascii="Times New Roman" w:hAnsi="Times New Roman" w:cs="Times New Roman"/>
          <w:sz w:val="24"/>
          <w:szCs w:val="24"/>
        </w:rPr>
        <w:t>from empirical literature, World Development Indicators (WDI) and other surveys and primary data sources.</w:t>
      </w:r>
    </w:p>
    <w:p w14:paraId="7E689976" w14:textId="17B669E0" w:rsidR="00E13413" w:rsidRDefault="00BB0D75" w:rsidP="00BB0D75">
      <w:pPr>
        <w:spacing w:line="480" w:lineRule="auto"/>
        <w:jc w:val="both"/>
        <w:rPr>
          <w:rFonts w:ascii="Times New Roman" w:hAnsi="Times New Roman" w:cs="Times New Roman"/>
          <w:sz w:val="24"/>
          <w:szCs w:val="24"/>
        </w:rPr>
      </w:pPr>
      <w:r w:rsidRPr="00F43C71">
        <w:rPr>
          <w:rFonts w:ascii="Times New Roman" w:hAnsi="Times New Roman" w:cs="Times New Roman"/>
          <w:color w:val="242021"/>
          <w:sz w:val="24"/>
          <w:szCs w:val="24"/>
        </w:rPr>
        <w:t xml:space="preserve">As presented in </w:t>
      </w:r>
      <w:r w:rsidR="00A50DF0">
        <w:rPr>
          <w:rFonts w:ascii="Times New Roman" w:hAnsi="Times New Roman" w:cs="Times New Roman"/>
          <w:color w:val="242021"/>
          <w:sz w:val="24"/>
          <w:szCs w:val="24"/>
        </w:rPr>
        <w:t>T</w:t>
      </w:r>
      <w:r w:rsidRPr="00F43C71">
        <w:rPr>
          <w:rFonts w:ascii="Times New Roman" w:hAnsi="Times New Roman" w:cs="Times New Roman"/>
          <w:color w:val="242021"/>
          <w:sz w:val="24"/>
          <w:szCs w:val="24"/>
        </w:rPr>
        <w:t xml:space="preserve">able </w:t>
      </w:r>
      <w:r w:rsidR="000A64CE">
        <w:rPr>
          <w:rFonts w:ascii="Times New Roman" w:hAnsi="Times New Roman" w:cs="Times New Roman"/>
          <w:color w:val="242021"/>
          <w:sz w:val="24"/>
          <w:szCs w:val="24"/>
        </w:rPr>
        <w:t>3</w:t>
      </w:r>
      <w:r w:rsidRPr="00F43C71">
        <w:rPr>
          <w:rFonts w:ascii="Times New Roman" w:hAnsi="Times New Roman" w:cs="Times New Roman"/>
          <w:color w:val="242021"/>
          <w:sz w:val="24"/>
          <w:szCs w:val="24"/>
        </w:rPr>
        <w:t xml:space="preserve">, </w:t>
      </w:r>
      <w:r w:rsidR="00D223F6" w:rsidRPr="00F43C71">
        <w:rPr>
          <w:rFonts w:ascii="Times New Roman" w:hAnsi="Times New Roman" w:cs="Times New Roman"/>
          <w:sz w:val="24"/>
          <w:szCs w:val="24"/>
        </w:rPr>
        <w:fldChar w:fldCharType="begin" w:fldLock="1"/>
      </w:r>
      <w:r w:rsidR="00D223F6" w:rsidRPr="00F43C71">
        <w:rPr>
          <w:rFonts w:ascii="Times New Roman" w:hAnsi="Times New Roman" w:cs="Times New Roman"/>
          <w:sz w:val="24"/>
          <w:szCs w:val="24"/>
        </w:rPr>
        <w:instrText>ADDIN CSL_CITATION {"citationItems":[{"id":"ITEM-1","itemData":{"DOI":"10.1186/s12936-020-3103-5","ISSN":"14752875","PMID":"31973694","abstract":"Background: Malaria is a public health burden and a major cause for morbidity and mortality in Ethiopia. Malaria also places a substantial financial burden on families and Ethiopia's national economy. Economic evaluations, with evidence on equity and financial risk protection (FRP), are therefore essential to support decision-making for policymakers to identify best buys amongst possible malaria interventions. The aim of this study is to estimate the expected health and FRP benefits of universal public financing of key malaria interventions in Ethiopia. Methods: Using extended cost-effectiveness analysis (ECEA), the potential health and FRP benefits were estimated, and their distributions across socio-economic groups, of publicly financing a 10% coverage increase in artemisinin-based combination therapy (ACT), long-lasting insecticide-treated bed nets (LLIN), indoor residual spraying (IRS), and malaria vaccine (hypothetical). Results: ACT, LLIN, IRS, and vaccine would avert 358, 188, 107 and 38 deaths, respectively, each year at a net government cost of $5.7, 16.5, 32.6, and 5.1 million, respectively. The annual cost of implementing IRS would be two times higher than that of the LLIN interventions, and would be the main driver of the total costs. The averted deaths would be mainly concentrated in the poorest two income quintiles. The four interventions would eliminate about $4,627,800 of private health expenditures, and the poorest income quintiles would see the greatest FRP benefits. ACT and LLINs would have the largest impact on malaria-related deaths averted and FRP benefits. Conclusions: ACT, LLIN, IRS, and vaccine interventions would bring large health and financial benefits to the poorest households in Ethiopia.","author":[{"dropping-particle":"","family":"Assebe","given":"Lelisa Fekadu","non-dropping-particle":"","parse-names":false,"suffix":""},{"dropping-particle":"","family":"Kwete","given":"Xiaoxiao Jiang","non-dropping-particle":"","parse-names":false,"suffix":""},{"dropping-particle":"","family":"Wang","given":"Dan","non-dropping-particle":"","parse-names":false,"suffix":""},{"dropping-particle":"","family":"Liu","given":"Lingrui","non-dropping-particle":"","parse-names":false,"suffix":""},{"dropping-particle":"","family":"Norheim","given":"Ole Frithjof","non-dropping-particle":"","parse-names":false,"suffix":""},{"dropping-particle":"","family":"Jbaily","given":"Abdulrahman","non-dropping-particle":"","parse-names":false,"suffix":""},{"dropping-particle":"","family":"Verguet","given":"Stéphane","non-dropping-particle":"","parse-names":false,"suffix":""},{"dropping-particle":"","family":"Johansson","given":"Kjell Arne","non-dropping-particle":"","parse-names":false,"suffix":""},{"dropping-particle":"","family":"Tolla","given":"Mieraf Taddesse","non-dropping-particle":"","parse-names":false,"suffix":""}],"container-title":"Malaria Journal","id":"ITEM-1","issue":"1","issued":{"date-parts":[["2020"]]},"page":"1-10","publisher":"BioMed Central","title":"Health gains and financial risk protection afforded by public financing of selected malaria interventions in Ethiopia: An extended cost-effectiveness analysis","type":"article-journal","volume":"19"},"uris":["http://www.mendeley.com/documents/?uuid=2743b14c-6286-458b-96b4-c8e8e2bb5d36"]}],"mendeley":{"formattedCitation":"(Assebe et al., 2020)","manualFormatting":"Assebe et al. (2020)","plainTextFormattedCitation":"(Assebe et al., 2020)","previouslyFormattedCitation":"(Assebe et al., 2020)"},"properties":{"noteIndex":0},"schema":"https://github.com/citation-style-language/schema/raw/master/csl-citation.json"}</w:instrText>
      </w:r>
      <w:r w:rsidR="00D223F6" w:rsidRPr="00F43C71">
        <w:rPr>
          <w:rFonts w:ascii="Times New Roman" w:hAnsi="Times New Roman" w:cs="Times New Roman"/>
          <w:sz w:val="24"/>
          <w:szCs w:val="24"/>
        </w:rPr>
        <w:fldChar w:fldCharType="separate"/>
      </w:r>
      <w:r w:rsidR="00D223F6" w:rsidRPr="00F43C71">
        <w:rPr>
          <w:rFonts w:ascii="Times New Roman" w:hAnsi="Times New Roman" w:cs="Times New Roman"/>
          <w:noProof/>
          <w:sz w:val="24"/>
          <w:szCs w:val="24"/>
        </w:rPr>
        <w:t>Assebe et al. (2020)</w:t>
      </w:r>
      <w:r w:rsidR="00D223F6" w:rsidRPr="00F43C71">
        <w:rPr>
          <w:rFonts w:ascii="Times New Roman" w:hAnsi="Times New Roman" w:cs="Times New Roman"/>
          <w:sz w:val="24"/>
          <w:szCs w:val="24"/>
        </w:rPr>
        <w:fldChar w:fldCharType="end"/>
      </w:r>
      <w:r w:rsidR="00D223F6" w:rsidRPr="00F43C71">
        <w:rPr>
          <w:rFonts w:ascii="Times New Roman" w:hAnsi="Times New Roman" w:cs="Times New Roman"/>
          <w:sz w:val="24"/>
          <w:szCs w:val="24"/>
        </w:rPr>
        <w:t xml:space="preserve"> and </w:t>
      </w:r>
      <w:r w:rsidR="00D223F6" w:rsidRPr="00F43C71">
        <w:rPr>
          <w:rFonts w:ascii="Times New Roman" w:hAnsi="Times New Roman" w:cs="Times New Roman"/>
          <w:sz w:val="24"/>
          <w:szCs w:val="24"/>
        </w:rPr>
        <w:fldChar w:fldCharType="begin" w:fldLock="1"/>
      </w:r>
      <w:r w:rsidR="00D223F6" w:rsidRPr="00F43C71">
        <w:rPr>
          <w:rFonts w:ascii="Times New Roman" w:hAnsi="Times New Roman" w:cs="Times New Roman"/>
          <w:sz w:val="24"/>
          <w:szCs w:val="24"/>
        </w:rPr>
        <w:instrText>ADDIN CSL_CITATION {"citationItems":[{"id":"ITEM-1","itemData":{"DOI":"10.1016/S2214-109X(14)70346-8","ISSN":"2214109X","PMID":"25889470","abstract":"Background: The way in which a government chooses to finance a health intervention can affect the uptake of health interventions and consequently the extent of health gains. In addition to health gains, some policies such as public finance can insure against catastrophic health expenditures. We aimed to evaluate the health and financial risk protection benefits of selected interventions that could be publicly financed by the government of Ethiopia. Methods: We used extended cost-effectiveness analysis to assess the health gains (deaths averted) and financial risk protection afforded (cases of poverty averted) by a bundle of nine (among many other) interventions that the Government of Ethiopia aims to make universally available. These nine interventions were measles vaccination, rotavirus vaccination, pneumococcal conjugate vaccination, diarrhoea treatment, malaria treatment, pneumonia treatment, caesarean section surgery, hypertension treatment, and tuberculosis treatment. Findings: Our analysis shows that, per dollar spent by the Ethiopian Government, the interventions that avert the most deaths are measles vaccination (367 deaths averted per $100 000 spent), pneumococcal conjugate vaccination (170 deaths averted per $100 000 spent), and caesarean section surgery (141 deaths averted per $100 000 spent). The interventions that avert the most cases of poverty are caesarean section surgery (98 cases averted per $100 000 spent), tuberculosis treatment (96 cases averted per $100 000 spent), and hypertension treatment (84 cases averted per $100 000 spent). Interpretation: Our approach incorporates financial risk protection into the economic evaluation of health interventions and therefore provides information about the efficiency of attainment of both major objectives of a health system: improved health and financial risk protection. One intervention might rank higher on one or both metrics than another, which shows how intervention choice-the selection of a pathway to universal health coverage-might involve weighing up of sometimes competing objectives. This understanding can help policy makers to select interventions to target specific policy goals (ie, improved health or financial risk protection). It is especially relevant for the design and sequencing of universal health coverage to meet the needs of poor populations. Funding: Bill &amp; Melinda Gates Foundation.","author":[{"dropping-particle":"","family":"Verguet","given":"Stéphane","non-dropping-particle":"","parse-names":false,"suffix":""},{"dropping-particle":"","family":"Olson","given":"Zachary D.","non-dropping-particle":"","parse-names":false,"suffix":""},{"dropping-particle":"","family":"Babigumira","given":"Joseph B.","non-dropping-particle":"","parse-names":false,"suffix":""},{"dropping-particle":"","family":"Desalegn","given":"Dawit","non-dropping-particle":"","parse-names":false,"suffix":""},{"dropping-particle":"","family":"Johansson","given":"Kjell Arne","non-dropping-particle":"","parse-names":false,"suffix":""},{"dropping-particle":"","family":"Kruk","given":"Margaret E.","non-dropping-particle":"","parse-names":false,"suffix":""},{"dropping-particle":"","family":"Levin","given":"Carol E.","non-dropping-particle":"","parse-names":false,"suffix":""},{"dropping-particle":"","family":"Nugent","given":"Rachel A.","non-dropping-particle":"","parse-names":false,"suffix":""},{"dropping-particle":"","family":"Pecenka","given":"Clint","non-dropping-particle":"","parse-names":false,"suffix":""},{"dropping-particle":"","family":"Shrime","given":"Mark G.","non-dropping-particle":"","parse-names":false,"suffix":""},{"dropping-particle":"","family":"Memirie","given":"Solomon Tessema","non-dropping-particle":"","parse-names":false,"suffix":""},{"dropping-particle":"","family":"Watkins","given":"David A.","non-dropping-particle":"","parse-names":false,"suffix":""},{"dropping-particle":"","family":"Jamison","given":"Dean T.","non-dropping-particle":"","parse-names":false,"suffix":""}],"container-title":"The Lancet Global Health","id":"ITEM-1","issue":"5","issued":{"date-parts":[["2015"]]},"page":"e288-e296","title":"Health gains and financial risk protection afforded by public financing of selected interventions in ethiopia: An extended cost-effectiveness analysis","type":"article-journal","volume":"3"},"uris":["http://www.mendeley.com/documents/?uuid=12e403e9-b448-4caf-ad9e-4d7615c01f56"]}],"mendeley":{"formattedCitation":"(Verguet, Olson, et al., 2015)","manualFormatting":"Verguet et al. (2015c)","plainTextFormattedCitation":"(Verguet, Olson, et al., 2015)","previouslyFormattedCitation":"(Verguet, Olson, et al., 2015)"},"properties":{"noteIndex":0},"schema":"https://github.com/citation-style-language/schema/raw/master/csl-citation.json"}</w:instrText>
      </w:r>
      <w:r w:rsidR="00D223F6" w:rsidRPr="00F43C71">
        <w:rPr>
          <w:rFonts w:ascii="Times New Roman" w:hAnsi="Times New Roman" w:cs="Times New Roman"/>
          <w:sz w:val="24"/>
          <w:szCs w:val="24"/>
        </w:rPr>
        <w:fldChar w:fldCharType="separate"/>
      </w:r>
      <w:r w:rsidR="00D223F6" w:rsidRPr="00F43C71">
        <w:rPr>
          <w:rFonts w:ascii="Times New Roman" w:hAnsi="Times New Roman" w:cs="Times New Roman"/>
          <w:noProof/>
          <w:sz w:val="24"/>
          <w:szCs w:val="24"/>
        </w:rPr>
        <w:t>Verguet et al. (2015c)</w:t>
      </w:r>
      <w:r w:rsidR="00D223F6" w:rsidRPr="00F43C71">
        <w:rPr>
          <w:rFonts w:ascii="Times New Roman" w:hAnsi="Times New Roman" w:cs="Times New Roman"/>
          <w:sz w:val="24"/>
          <w:szCs w:val="24"/>
        </w:rPr>
        <w:fldChar w:fldCharType="end"/>
      </w:r>
      <w:r w:rsidR="00D223F6" w:rsidRPr="00F43C71">
        <w:rPr>
          <w:rFonts w:ascii="Times New Roman" w:hAnsi="Times New Roman" w:cs="Times New Roman"/>
          <w:sz w:val="24"/>
          <w:szCs w:val="24"/>
        </w:rPr>
        <w:t xml:space="preserve"> assessed </w:t>
      </w:r>
      <w:r w:rsidR="00584788" w:rsidRPr="00F43C71">
        <w:rPr>
          <w:rFonts w:ascii="Times New Roman" w:hAnsi="Times New Roman" w:cs="Times New Roman"/>
          <w:sz w:val="24"/>
          <w:szCs w:val="24"/>
        </w:rPr>
        <w:t xml:space="preserve">the impact of </w:t>
      </w:r>
      <w:r w:rsidR="00D223F6" w:rsidRPr="00F43C71">
        <w:rPr>
          <w:rFonts w:ascii="Times New Roman" w:hAnsi="Times New Roman" w:cs="Times New Roman"/>
          <w:sz w:val="24"/>
          <w:szCs w:val="24"/>
        </w:rPr>
        <w:t>malaria interventions.</w:t>
      </w:r>
      <w:r w:rsidR="004821D2" w:rsidRPr="00F43C71">
        <w:rPr>
          <w:rFonts w:ascii="Times New Roman" w:hAnsi="Times New Roman" w:cs="Times New Roman"/>
          <w:sz w:val="24"/>
          <w:szCs w:val="24"/>
        </w:rPr>
        <w:t xml:space="preserve"> </w:t>
      </w:r>
      <w:r w:rsidR="004821D2" w:rsidRPr="00F43C71">
        <w:rPr>
          <w:rFonts w:ascii="Times New Roman" w:hAnsi="Times New Roman" w:cs="Times New Roman"/>
          <w:sz w:val="24"/>
          <w:szCs w:val="24"/>
        </w:rPr>
        <w:fldChar w:fldCharType="begin" w:fldLock="1"/>
      </w:r>
      <w:r w:rsidR="004821D2" w:rsidRPr="00F43C71">
        <w:rPr>
          <w:rFonts w:ascii="Times New Roman" w:hAnsi="Times New Roman" w:cs="Times New Roman"/>
          <w:sz w:val="24"/>
          <w:szCs w:val="24"/>
        </w:rPr>
        <w:instrText>ADDIN CSL_CITATION {"citationItems":[{"id":"ITEM-1","itemData":{"DOI":"10.1186/s12962-016-0058-z","ISBN":"1296201600","ISSN":"14787547","abstract":"Background: Schizophrenia remains a priority condition in mental health policy and service development because of its early onset, severity and consequences for affected individuals and households. Aims and methods: This paper reports on an 'extended' cost-effectiveness analysis (ECEA) for schizophrenia treatment in India, which seeks to evaluate through a modeling approach not only the costs and health effects of intervention but also the consequences of a policy of universal public finance (UPF) on health and financial outcomes across income quintiles. Results: Using plausible values for input parameters, we conclude that health gains from UPF are concentrated among the poorest, whereas the non-health gains in the form of out-of-pocket private expenditures averted due to UPF are concentrated among the richest income quintiles. Value of insurance is the highest for the poorest quintile and declines with income. Conclusions: Universal public finance can play a crucial role in ameliorating the adverse economic and social consequences of schizophrenia and its treatment in resource-constrained settings where health insurance coverage is generally poor. This paper shows the potential distributional and financial risk protection effects of treating schizophrenia.","author":[{"dropping-particle":"","family":"Raykar","given":"Neha","non-dropping-particle":"","parse-names":false,"suffix":""},{"dropping-particle":"","family":"Nigam","given":"Aditi","non-dropping-particle":"","parse-names":false,"suffix":""},{"dropping-particle":"","family":"Chisholm","given":"Dan","non-dropping-particle":"","parse-names":false,"suffix":""}],"container-title":"Cost Effectiveness and Resource Allocation","id":"ITEM-1","issue":"1","issued":{"date-parts":[["2016"]]},"page":"1-11","publisher":"BioMed Central","title":"An extended cost-effectiveness analysis of schizophrenia treatment in India under universal public finance","type":"article-journal","volume":"14"},"uris":["http://www.mendeley.com/documents/?uuid=7a95aeec-314c-4c14-adbb-e011cbab598f"]}],"mendeley":{"formattedCitation":"(Raykar et al., 2016)","manualFormatting":"Raykar et al. (2016)","plainTextFormattedCitation":"(Raykar et al., 2016)","previouslyFormattedCitation":"(Raykar et al., 2016)"},"properties":{"noteIndex":0},"schema":"https://github.com/citation-style-language/schema/raw/master/csl-citation.json"}</w:instrText>
      </w:r>
      <w:r w:rsidR="004821D2" w:rsidRPr="00F43C71">
        <w:rPr>
          <w:rFonts w:ascii="Times New Roman" w:hAnsi="Times New Roman" w:cs="Times New Roman"/>
          <w:sz w:val="24"/>
          <w:szCs w:val="24"/>
        </w:rPr>
        <w:fldChar w:fldCharType="separate"/>
      </w:r>
      <w:r w:rsidR="004821D2" w:rsidRPr="00F43C71">
        <w:rPr>
          <w:rFonts w:ascii="Times New Roman" w:hAnsi="Times New Roman" w:cs="Times New Roman"/>
          <w:noProof/>
          <w:sz w:val="24"/>
          <w:szCs w:val="24"/>
        </w:rPr>
        <w:t>Raykar et al. (2016)</w:t>
      </w:r>
      <w:r w:rsidR="004821D2" w:rsidRPr="00F43C71">
        <w:rPr>
          <w:rFonts w:ascii="Times New Roman" w:hAnsi="Times New Roman" w:cs="Times New Roman"/>
          <w:sz w:val="24"/>
          <w:szCs w:val="24"/>
        </w:rPr>
        <w:fldChar w:fldCharType="end"/>
      </w:r>
      <w:r w:rsidR="004821D2" w:rsidRPr="00F43C71">
        <w:rPr>
          <w:rFonts w:ascii="Times New Roman" w:hAnsi="Times New Roman" w:cs="Times New Roman"/>
          <w:sz w:val="24"/>
          <w:szCs w:val="24"/>
        </w:rPr>
        <w:t>,</w:t>
      </w:r>
      <w:r w:rsidR="00A9303E" w:rsidRPr="00F43C71">
        <w:rPr>
          <w:rFonts w:ascii="Times New Roman" w:hAnsi="Times New Roman" w:cs="Times New Roman"/>
          <w:sz w:val="24"/>
          <w:szCs w:val="24"/>
        </w:rPr>
        <w:t xml:space="preserve"> </w:t>
      </w:r>
      <w:r w:rsidR="00A9303E" w:rsidRPr="00F43C71">
        <w:rPr>
          <w:rFonts w:ascii="Times New Roman" w:hAnsi="Times New Roman" w:cs="Times New Roman"/>
          <w:sz w:val="24"/>
          <w:szCs w:val="24"/>
        </w:rPr>
        <w:fldChar w:fldCharType="begin" w:fldLock="1"/>
      </w:r>
      <w:r w:rsidR="00A9303E" w:rsidRPr="00F43C71">
        <w:rPr>
          <w:rFonts w:ascii="Times New Roman" w:hAnsi="Times New Roman" w:cs="Times New Roman"/>
          <w:sz w:val="24"/>
          <w:szCs w:val="24"/>
        </w:rPr>
        <w:instrText>ADDIN CSL_CITATION {"citationItems":[{"id":"ITEM-1","itemData":{"DOI":"10.1111/epi.13294","ISSN":"15281167","PMID":"26765291","abstract":"Summary Objective An estimated 6-10 million people in India live with active epilepsy, and less than half are treated. We analyze the health and economic benefits of three scenarios of publicly financed national epilepsy programs that provide: (1) first-line antiepilepsy drugs (AEDs), (2) first- and second-line AEDs, and (3) first- and second-line AEDs and surgery. Methods We model the prevalence and distribution of epilepsy in India using IndiaSim, an agent-based, simulation model of the Indian population. Agents in the model are disease-free or in one of three disease states: untreated with seizures, treated with seizures, and treated without seizures. Outcome measures include the proportion of the population that has epilepsy and is untreated, disability-adjusted life years (DALYs) averted, and cost per DALY averted. Economic benefit measures estimated include out-of-pocket (OOP) expenditure averted and money-metric value of insurance. Results All three scenarios represent a cost-effective use of resources and would avert 800,000-1 million DALYs per year in India relative to the current scenario. However, especially in poor regions and populations, scenario 1 (which publicly finances only first-line therapy) does not decrease the OOP expenditure or provide financial risk protection if we include care-seeking costs. The OOP expenditure averted increases from scenarios 1 through 3, and the money-metric value of insurance follows a similar trend between scenarios and typically decreases with wealth. In the first 10 years of scenarios 2 and 3, households avert on average over US$80 million per year in medical expenditure. Significance Expanding and publicly financing epilepsy treatment in India averts substantial disease burden. A universal public finance policy that covers only first-line AEDs may not provide significant financial risk protection. Covering costs for both first- and second-line therapy and other medical costs alleviates the financial burden from epilepsy and is cost-effective across wealth quintiles and in all Indian states.","author":[{"dropping-particle":"","family":"Megiddo","given":"Itamar","non-dropping-particle":"","parse-names":false,"suffix":""},{"dropping-particle":"","family":"Colson","given":"Abigail","non-dropping-particle":"","parse-names":false,"suffix":""},{"dropping-particle":"","family":"Chisholm","given":"Dan","non-dropping-particle":"","parse-names":false,"suffix":""},{"dropping-particle":"","family":"Dua","given":"Tarun","non-dropping-particle":"","parse-names":false,"suffix":""},{"dropping-particle":"","family":"Nandi","given":"Arindam","non-dropping-particle":"","parse-names":false,"suffix":""},{"dropping-particle":"","family":"Laxminarayan","given":"Ramanan","non-dropping-particle":"","parse-names":false,"suffix":""}],"container-title":"Epilepsia","id":"ITEM-1","issue":"3","issued":{"date-parts":[["2016"]]},"page":"464-474","title":"Health and economic benefits of public financing of epilepsy treatment in India: An agent-based simulation model","type":"article-journal","volume":"57"},"uris":["http://www.mendeley.com/documents/?uuid=591783de-379e-4d44-ac79-81e8d58fe695"]}],"mendeley":{"formattedCitation":"(Megiddo et al., 2016)","manualFormatting":"Megiddo et al. (2016)","plainTextFormattedCitation":"(Megiddo et al., 2016)","previouslyFormattedCitation":"(Megiddo et al., 2016)"},"properties":{"noteIndex":0},"schema":"https://github.com/citation-style-language/schema/raw/master/csl-citation.json"}</w:instrText>
      </w:r>
      <w:r w:rsidR="00A9303E" w:rsidRPr="00F43C71">
        <w:rPr>
          <w:rFonts w:ascii="Times New Roman" w:hAnsi="Times New Roman" w:cs="Times New Roman"/>
          <w:sz w:val="24"/>
          <w:szCs w:val="24"/>
        </w:rPr>
        <w:fldChar w:fldCharType="separate"/>
      </w:r>
      <w:r w:rsidR="00A9303E" w:rsidRPr="00F43C71">
        <w:rPr>
          <w:rFonts w:ascii="Times New Roman" w:hAnsi="Times New Roman" w:cs="Times New Roman"/>
          <w:noProof/>
          <w:sz w:val="24"/>
          <w:szCs w:val="24"/>
        </w:rPr>
        <w:t>Megiddo et al. (2016)</w:t>
      </w:r>
      <w:r w:rsidR="00A9303E" w:rsidRPr="00F43C71">
        <w:rPr>
          <w:rFonts w:ascii="Times New Roman" w:hAnsi="Times New Roman" w:cs="Times New Roman"/>
          <w:sz w:val="24"/>
          <w:szCs w:val="24"/>
        </w:rPr>
        <w:fldChar w:fldCharType="end"/>
      </w:r>
      <w:r w:rsidR="00A9303E" w:rsidRPr="00F43C71">
        <w:rPr>
          <w:rFonts w:ascii="Times New Roman" w:hAnsi="Times New Roman" w:cs="Times New Roman"/>
          <w:sz w:val="24"/>
          <w:szCs w:val="24"/>
        </w:rPr>
        <w:t>,</w:t>
      </w:r>
      <w:r w:rsidR="0035017E" w:rsidRPr="00F43C71">
        <w:rPr>
          <w:rFonts w:ascii="Times New Roman" w:hAnsi="Times New Roman" w:cs="Times New Roman"/>
          <w:sz w:val="24"/>
          <w:szCs w:val="24"/>
        </w:rPr>
        <w:t xml:space="preserve"> </w:t>
      </w:r>
      <w:r w:rsidR="0035017E" w:rsidRPr="00F43C71">
        <w:rPr>
          <w:rFonts w:ascii="Times New Roman" w:hAnsi="Times New Roman" w:cs="Times New Roman"/>
          <w:sz w:val="24"/>
          <w:szCs w:val="24"/>
        </w:rPr>
        <w:fldChar w:fldCharType="begin" w:fldLock="1"/>
      </w:r>
      <w:r w:rsidR="00416419">
        <w:rPr>
          <w:rFonts w:ascii="Times New Roman" w:hAnsi="Times New Roman" w:cs="Times New Roman"/>
          <w:sz w:val="24"/>
          <w:szCs w:val="24"/>
        </w:rPr>
        <w:instrText>ADDIN CSL_CITATION {"citationItems":[{"id":"ITEM-1","itemData":{"DOI":"10.1111/tmi.12766","ISSN":"13653156","PMID":"27503549","abstract":"Objectives: To evaluate rotavirus vaccination in Malaysia from the household's perspective. The extended cost-effectiveness analysis (ECEA) framework quantifies the broader value of universal vaccination starting with non-health benefits such as financial risk protection and equity. These dimensions better enable decision-makers to evaluate policy on the public finance of health programmes. Methods: The incidence, health service utilisation and household expenditure related to rotavirus gastroenteritis according to national income quintiles were obtained from local data sources. Multiple birth cohorts were distributed into income quintiles and followed from birth over the first five years of life in a multicohort, static model. Results: We found that the rich pay more out of pocket (OOP) than the poor, as the rich use more expensive private care. OOP payments among the poorest although small are high as a proportion of household income. Rotavirus vaccination results in substantial reduction in rotavirus episodes and expenditure and provides financial risk protection to all income groups. Poverty reduction benefits are concentrated amongst the poorest two income quintiles. Conclusion: We propose that universal vaccination complements health financing reforms in strengthening Universal Health Coverage (UHC). ECEA provides an important tool to understand the implications of vaccination for UHC, beyond traditional considerations of economic efficiency.","author":[{"dropping-particle":"","family":"Loganathan","given":"Tharani","non-dropping-particle":"","parse-names":false,"suffix":""},{"dropping-particle":"","family":"Jit","given":"Mark","non-dropping-particle":"","parse-names":false,"suffix":""},{"dropping-particle":"","family":"Hutubessy","given":"Raymond","non-dropping-particle":"","parse-names":false,"suffix":""},{"dropping-particle":"","family":"Ng","given":"Chiu Wan","non-dropping-particle":"","parse-names":false,"suffix":""},{"dropping-particle":"","family":"Lee","given":"Way Seah","non-dropping-particle":"","parse-names":false,"suffix":""},{"dropping-particle":"","family":"Verguet","given":"Stéphane","non-dropping-particle":"","parse-names":false,"suffix":""}],"container-title":"Tropical Medicine and International Health","id":"ITEM-1","issue":"11","issued":{"date-parts":[["2016"]]},"page":"1458-1467","title":"Rotavirus vaccines contribute towards universal health coverage in a mixed public–private healthcare system","type":"article-journal","volume":"21"},"uris":["http://www.mendeley.com/documents/?uuid=017a43df-9533-40cc-8d79-a2d4903d1cc9"]}],"mendeley":{"formattedCitation":"(Loganathan et al., 2016)","manualFormatting":"Loganathan et al. (2016)","plainTextFormattedCitation":"(Loganathan et al., 2016)","previouslyFormattedCitation":"(Loganathan et al., 2016)"},"properties":{"noteIndex":0},"schema":"https://github.com/citation-style-language/schema/raw/master/csl-citation.json"}</w:instrText>
      </w:r>
      <w:r w:rsidR="0035017E" w:rsidRPr="00F43C71">
        <w:rPr>
          <w:rFonts w:ascii="Times New Roman" w:hAnsi="Times New Roman" w:cs="Times New Roman"/>
          <w:sz w:val="24"/>
          <w:szCs w:val="24"/>
        </w:rPr>
        <w:fldChar w:fldCharType="separate"/>
      </w:r>
      <w:r w:rsidR="0035017E" w:rsidRPr="00F43C71">
        <w:rPr>
          <w:rFonts w:ascii="Times New Roman" w:hAnsi="Times New Roman" w:cs="Times New Roman"/>
          <w:noProof/>
          <w:sz w:val="24"/>
          <w:szCs w:val="24"/>
        </w:rPr>
        <w:t>Loganathan et al. (2016)</w:t>
      </w:r>
      <w:r w:rsidR="0035017E" w:rsidRPr="00F43C71">
        <w:rPr>
          <w:rFonts w:ascii="Times New Roman" w:hAnsi="Times New Roman" w:cs="Times New Roman"/>
          <w:sz w:val="24"/>
          <w:szCs w:val="24"/>
        </w:rPr>
        <w:fldChar w:fldCharType="end"/>
      </w:r>
      <w:r w:rsidR="00405A14" w:rsidRPr="00F43C71">
        <w:rPr>
          <w:rFonts w:ascii="Times New Roman" w:hAnsi="Times New Roman" w:cs="Times New Roman"/>
          <w:sz w:val="24"/>
          <w:szCs w:val="24"/>
        </w:rPr>
        <w:t>,</w:t>
      </w:r>
      <w:r w:rsidR="00CE1428" w:rsidRPr="00F43C71">
        <w:rPr>
          <w:rFonts w:ascii="Times New Roman" w:hAnsi="Times New Roman" w:cs="Times New Roman"/>
          <w:sz w:val="24"/>
          <w:szCs w:val="24"/>
        </w:rPr>
        <w:t xml:space="preserve"> </w:t>
      </w:r>
      <w:r w:rsidR="0035017E" w:rsidRPr="00F43C71">
        <w:rPr>
          <w:rFonts w:ascii="Times New Roman" w:hAnsi="Times New Roman" w:cs="Times New Roman"/>
          <w:sz w:val="24"/>
          <w:szCs w:val="24"/>
        </w:rPr>
        <w:fldChar w:fldCharType="begin" w:fldLock="1"/>
      </w:r>
      <w:r w:rsidR="0035017E" w:rsidRPr="00F43C71">
        <w:rPr>
          <w:rFonts w:ascii="Times New Roman" w:hAnsi="Times New Roman" w:cs="Times New Roman"/>
          <w:sz w:val="24"/>
          <w:szCs w:val="24"/>
        </w:rPr>
        <w:instrText>ADDIN CSL_CITATION {"citationItems":[{"id":"ITEM-1","itemData":{"DOI":"10.1093/heapol/czw134","ISSN":"14602237","PMID":"27935798","abstract":"Background: Mental and neurological (MN) health care has long been neglected in low-income settings. This paper estimates health and non-health impacts of fully publicly financed care for selected key interventions in the National Mental Health Strategy in Ethiopia for depression, bipolar disorder, schizophrenia and epilepsy. Methods: A methodology of extended cost-effectiveness analysis (ECEA) is applied to MN health care in Ethiopia. The impact of providing a package of selected MN interventions free of charge in Ethiopia is estimated for: epilepsy (75% coverage, phenobarbital), depression (30% coverage, fluoxetine, cognitive therapy and proactive case management), bipolar affective disorder (50% coverage, valproate and psychosocial therapy) and schizophrenia (75% coverage, haloperidol plus psychosocial treatment). Multiple outcomes are estimated and disaggregated across wealth quintiles: (1) healthy-life-years (HALYs) gained; (2) household out-of-pocket (OOP) expenditures averted; (3) expected financial risk protection (FRP); and (4) productivity impact. Results: The MN package is expected to cost US$177 million and gain 155,000 HALYs (epilepsy US$37m and 64,500 HALYs; depression US$65m and 61,300 HALYs; bipolar disorder US$44m and 20,300 HALYs; and schizophrenia US$31m and 8,900 HALYs) annually. The health benefits would be concentrated among the poorest groups for all interventions. Universal public finance averts little household OOP expenditures and provides minimal FRP because of the low current utilization of these MN services in Ethiopia. In addition, economic benefits of US$ 51 million annually are expected from depression treatment in Ethiopia as a result of productivity gains, equivalent to 78% of the investment cost. Conclusions: The total MN package in Ethiopia is estimated to cost equivalent to US$1.8 per capita and yields large progressive health benefits. The expected productivity gain is substantially higher than the expected FRP. The ECEA approach seems to fit well with the current policy challenges and captures important equity concerns of scaling up MN programmes.","author":[{"dropping-particle":"","family":"Johansson","given":"Kjell Arne","non-dropping-particle":"","parse-names":false,"suffix":""},{"dropping-particle":"","family":"Strand","given":"Kirsten Bjerkreim","non-dropping-particle":"","parse-names":false,"suffix":""},{"dropping-particle":"","family":"Fekadu","given":"Abebaw","non-dropping-particle":"","parse-names":false,"suffix":""},{"dropping-particle":"","family":"Chisholm","given":"Dan","non-dropping-particle":"","parse-names":false,"suffix":""}],"container-title":"Health Policy and Planning","id":"ITEM-1","issue":"3","issued":{"date-parts":[["2016"]]},"page":"376-383","title":"Health Gains and Financial Protection Provided by the Ethiopian Mental Health Strategy: An Extended Cost-Effectiveness Analysis","type":"article-journal","volume":"32"},"uris":["http://www.mendeley.com/documents/?uuid=973770fe-ca13-4aa7-8cfc-925c9ac0e763"]}],"mendeley":{"formattedCitation":"(Johansson et al., 2016)","manualFormatting":"Johansson et al. (2016)","plainTextFormattedCitation":"(Johansson et al., 2016)","previouslyFormattedCitation":"(Johansson et al., 2016)"},"properties":{"noteIndex":0},"schema":"https://github.com/citation-style-language/schema/raw/master/csl-citation.json"}</w:instrText>
      </w:r>
      <w:r w:rsidR="0035017E" w:rsidRPr="00F43C71">
        <w:rPr>
          <w:rFonts w:ascii="Times New Roman" w:hAnsi="Times New Roman" w:cs="Times New Roman"/>
          <w:sz w:val="24"/>
          <w:szCs w:val="24"/>
        </w:rPr>
        <w:fldChar w:fldCharType="separate"/>
      </w:r>
      <w:r w:rsidR="0035017E" w:rsidRPr="00F43C71">
        <w:rPr>
          <w:rFonts w:ascii="Times New Roman" w:hAnsi="Times New Roman" w:cs="Times New Roman"/>
          <w:noProof/>
          <w:sz w:val="24"/>
          <w:szCs w:val="24"/>
        </w:rPr>
        <w:t>Johansson et al. (2016)</w:t>
      </w:r>
      <w:r w:rsidR="0035017E" w:rsidRPr="00F43C71">
        <w:rPr>
          <w:rFonts w:ascii="Times New Roman" w:hAnsi="Times New Roman" w:cs="Times New Roman"/>
          <w:sz w:val="24"/>
          <w:szCs w:val="24"/>
        </w:rPr>
        <w:fldChar w:fldCharType="end"/>
      </w:r>
      <w:r w:rsidR="0035017E" w:rsidRPr="00F43C71">
        <w:rPr>
          <w:rFonts w:ascii="Times New Roman" w:hAnsi="Times New Roman" w:cs="Times New Roman"/>
          <w:sz w:val="24"/>
          <w:szCs w:val="24"/>
        </w:rPr>
        <w:t xml:space="preserve">, and </w:t>
      </w:r>
      <w:r w:rsidR="00CE1428" w:rsidRPr="00F43C71">
        <w:rPr>
          <w:rFonts w:ascii="Times New Roman" w:hAnsi="Times New Roman" w:cs="Times New Roman"/>
          <w:sz w:val="24"/>
          <w:szCs w:val="24"/>
        </w:rPr>
        <w:fldChar w:fldCharType="begin" w:fldLock="1"/>
      </w:r>
      <w:r w:rsidR="00CE1428" w:rsidRPr="00F43C71">
        <w:rPr>
          <w:rFonts w:ascii="Times New Roman" w:hAnsi="Times New Roman" w:cs="Times New Roman"/>
          <w:sz w:val="24"/>
          <w:szCs w:val="24"/>
        </w:rPr>
        <w:instrText>ADDIN CSL_CITATION {"citationItems":[{"id":"ITEM-1","itemData":{"DOI":"10.1093/heapol/czz181","ISSN":"14602237","PMID":"32031615","abstract":"Treatment costs remain a barrier for having timely cataract surgery in Vietnam, particularly for females and the poor, despite significant progress in achieving universal health coverage (UHC). This study evaluated the potential impact, on health and financial protection, of eliminating medical and non-medical out-of-pocket costs associated with cataract surgery. An extended cost-effectiveness analysis (ECEA) was conducted with a societal perspective. The ECEA modelled how many more disability-adjusted life years (DALYs) and cases of catastrophic health expenditure (CHE) and medical impoverishment could be averted across income quintiles and between males and females. Two programmes were evaluated: (1) eliminating medical out-of-pocket costs for small incision cataract surgery and (2) Programme A plus a voucher programme covering non-medical out-of-pocket costs. Compared with current, the incremental cost per year of Programme A was estimated to be $833 396 and $1 641 835 for Programme B, each representing &lt;0.01% of total health care spending in 2016. Males and females in the richest income quintiles would avert more DALYs than those in the poorest quintiles. For both programmes, most cases of CHE would be averted by individuals in the poorest income quintile. Programme B would avert the most CHE cases overall and females would have a greater share of benefits. All cases of impoverishing medical expenditure would be averted by individuals in the poorest quintile (A: 115 cases and B: 493 cases) for both programmes. The cost to avert each case of CHE with Programme A ranged from $67 to $292 and $100 to $232 for Programme B. We found a pro-rich health distribution and a pro-poor CHE distribution associated with eliminating out-of-pocket costs of cataract surgery in Vietnam. A programme that addressed both medical and non-medical out-of-pocket costs could have the greatest impact on improving financial protection in this population, particularly among the poorest income quintiles and for females. This study supports the concordance between the objectives of UHC and gender equity.","author":[{"dropping-particle":"","family":"Essue","given":"Beverley M.","non-dropping-particle":"","parse-names":false,"suffix":""},{"dropping-particle":"","family":"Jan","given":"Stephen","non-dropping-particle":"","parse-names":false,"suffix":""},{"dropping-particle":"","family":"Phuc","given":"Huynh Tan","non-dropping-particle":"","parse-names":false,"suffix":""},{"dropping-particle":"","family":"Dodson","given":"Sarity","non-dropping-particle":"","parse-names":false,"suffix":""},{"dropping-particle":"","family":"Armstrong","given":"Kirsten","non-dropping-particle":"","parse-names":false,"suffix":""},{"dropping-particle":"","family":"Laba","given":"Tracey Lea","non-dropping-particle":"","parse-names":false,"suffix":""}],"container-title":"Health Policy and Planning","id":"ITEM-1","issue":"4","issued":{"date-parts":[["2020"]]},"page":"399-407","title":"Who benefits most from extending financial protection for cataract surgery in Vietnam? An extended cost-effectiveness analysis of small incision surgery","type":"article-journal","volume":"35"},"uris":["http://www.mendeley.com/documents/?uuid=60f525c3-7ceb-4a67-8c0b-85a3c7db2c8c"]}],"mendeley":{"formattedCitation":"(Essue et al., 2020)","manualFormatting":"Essue et al. (2020)","plainTextFormattedCitation":"(Essue et al., 2020)","previouslyFormattedCitation":"(Essue et al., 2020)"},"properties":{"noteIndex":0},"schema":"https://github.com/citation-style-language/schema/raw/master/csl-citation.json"}</w:instrText>
      </w:r>
      <w:r w:rsidR="00CE1428" w:rsidRPr="00F43C71">
        <w:rPr>
          <w:rFonts w:ascii="Times New Roman" w:hAnsi="Times New Roman" w:cs="Times New Roman"/>
          <w:sz w:val="24"/>
          <w:szCs w:val="24"/>
        </w:rPr>
        <w:fldChar w:fldCharType="separate"/>
      </w:r>
      <w:r w:rsidR="00CE1428" w:rsidRPr="00F43C71">
        <w:rPr>
          <w:rFonts w:ascii="Times New Roman" w:hAnsi="Times New Roman" w:cs="Times New Roman"/>
          <w:noProof/>
          <w:sz w:val="24"/>
          <w:szCs w:val="24"/>
        </w:rPr>
        <w:t>Essue et al. (2020)</w:t>
      </w:r>
      <w:r w:rsidR="00CE1428" w:rsidRPr="00F43C71">
        <w:rPr>
          <w:rFonts w:ascii="Times New Roman" w:hAnsi="Times New Roman" w:cs="Times New Roman"/>
          <w:sz w:val="24"/>
          <w:szCs w:val="24"/>
        </w:rPr>
        <w:fldChar w:fldCharType="end"/>
      </w:r>
      <w:r w:rsidR="00CE1428" w:rsidRPr="00F43C71">
        <w:rPr>
          <w:rFonts w:ascii="Times New Roman" w:hAnsi="Times New Roman" w:cs="Times New Roman"/>
          <w:sz w:val="24"/>
          <w:szCs w:val="24"/>
        </w:rPr>
        <w:t xml:space="preserve"> evaluated </w:t>
      </w:r>
      <w:r w:rsidR="005872F3" w:rsidRPr="00F43C71">
        <w:rPr>
          <w:rFonts w:ascii="Times New Roman" w:hAnsi="Times New Roman" w:cs="Times New Roman"/>
          <w:sz w:val="24"/>
          <w:szCs w:val="24"/>
        </w:rPr>
        <w:t xml:space="preserve">the </w:t>
      </w:r>
      <w:r w:rsidR="004821D2" w:rsidRPr="00F43C71">
        <w:rPr>
          <w:rFonts w:ascii="Times New Roman" w:hAnsi="Times New Roman" w:cs="Times New Roman"/>
          <w:sz w:val="24"/>
          <w:szCs w:val="24"/>
        </w:rPr>
        <w:t>impact</w:t>
      </w:r>
      <w:r w:rsidR="005872F3" w:rsidRPr="00F43C71">
        <w:rPr>
          <w:rFonts w:ascii="Times New Roman" w:hAnsi="Times New Roman" w:cs="Times New Roman"/>
          <w:sz w:val="24"/>
          <w:szCs w:val="24"/>
        </w:rPr>
        <w:t xml:space="preserve"> of </w:t>
      </w:r>
      <w:r w:rsidR="00D46283">
        <w:rPr>
          <w:rFonts w:ascii="Times New Roman" w:hAnsi="Times New Roman" w:cs="Times New Roman"/>
          <w:sz w:val="24"/>
          <w:szCs w:val="24"/>
        </w:rPr>
        <w:t xml:space="preserve">a </w:t>
      </w:r>
      <w:r w:rsidR="004821D2" w:rsidRPr="00F43C71">
        <w:rPr>
          <w:rFonts w:ascii="Times New Roman" w:hAnsi="Times New Roman" w:cs="Times New Roman"/>
          <w:sz w:val="24"/>
          <w:szCs w:val="24"/>
        </w:rPr>
        <w:t xml:space="preserve">schizophrenia treatment program, </w:t>
      </w:r>
      <w:r w:rsidR="00A9303E" w:rsidRPr="00F43C71">
        <w:rPr>
          <w:rFonts w:ascii="Times New Roman" w:hAnsi="Times New Roman" w:cs="Times New Roman"/>
          <w:sz w:val="24"/>
          <w:szCs w:val="24"/>
        </w:rPr>
        <w:t>national epilepsy programs,</w:t>
      </w:r>
      <w:r w:rsidR="00CE1428" w:rsidRPr="00F43C71">
        <w:rPr>
          <w:rFonts w:ascii="Times New Roman" w:hAnsi="Times New Roman" w:cs="Times New Roman"/>
          <w:sz w:val="24"/>
          <w:szCs w:val="24"/>
        </w:rPr>
        <w:t xml:space="preserve"> </w:t>
      </w:r>
      <w:r w:rsidR="0035017E" w:rsidRPr="00F43C71">
        <w:rPr>
          <w:rFonts w:ascii="Times New Roman" w:hAnsi="Times New Roman" w:cs="Times New Roman"/>
          <w:sz w:val="24"/>
          <w:szCs w:val="24"/>
        </w:rPr>
        <w:t>rotavirus gastroenteritis vaccination</w:t>
      </w:r>
      <w:r w:rsidR="00FC20A7" w:rsidRPr="00F43C71">
        <w:rPr>
          <w:rFonts w:ascii="Times New Roman" w:hAnsi="Times New Roman" w:cs="Times New Roman"/>
          <w:sz w:val="24"/>
          <w:szCs w:val="24"/>
        </w:rPr>
        <w:t xml:space="preserve"> intervention</w:t>
      </w:r>
      <w:r w:rsidR="0035017E" w:rsidRPr="00F43C71">
        <w:rPr>
          <w:rFonts w:ascii="Times New Roman" w:hAnsi="Times New Roman" w:cs="Times New Roman"/>
          <w:sz w:val="24"/>
          <w:szCs w:val="24"/>
        </w:rPr>
        <w:t>,</w:t>
      </w:r>
      <w:r w:rsidR="008E1D45">
        <w:rPr>
          <w:rFonts w:ascii="Times New Roman" w:hAnsi="Times New Roman" w:cs="Times New Roman"/>
          <w:sz w:val="24"/>
          <w:szCs w:val="24"/>
        </w:rPr>
        <w:t xml:space="preserve"> </w:t>
      </w:r>
      <w:r w:rsidR="0035017E" w:rsidRPr="00F43C71">
        <w:rPr>
          <w:rFonts w:ascii="Times New Roman" w:hAnsi="Times New Roman" w:cs="Times New Roman"/>
          <w:sz w:val="24"/>
          <w:szCs w:val="24"/>
        </w:rPr>
        <w:t xml:space="preserve">national mental health strategy, </w:t>
      </w:r>
      <w:r w:rsidR="00CE1428" w:rsidRPr="00F43C71">
        <w:rPr>
          <w:rFonts w:ascii="Times New Roman" w:hAnsi="Times New Roman" w:cs="Times New Roman"/>
          <w:sz w:val="24"/>
          <w:szCs w:val="24"/>
        </w:rPr>
        <w:t>cataract surgery</w:t>
      </w:r>
      <w:r w:rsidR="00883D59" w:rsidRPr="00F43C71">
        <w:rPr>
          <w:rFonts w:ascii="Times New Roman" w:hAnsi="Times New Roman" w:cs="Times New Roman"/>
          <w:sz w:val="24"/>
          <w:szCs w:val="24"/>
        </w:rPr>
        <w:t xml:space="preserve"> intervention, respectively</w:t>
      </w:r>
      <w:r w:rsidR="00CE1428" w:rsidRPr="00F43C71">
        <w:rPr>
          <w:rFonts w:ascii="Times New Roman" w:hAnsi="Times New Roman" w:cs="Times New Roman"/>
          <w:sz w:val="24"/>
          <w:szCs w:val="24"/>
        </w:rPr>
        <w:t>.</w:t>
      </w:r>
      <w:r w:rsidR="00503268" w:rsidRPr="00F43C71">
        <w:rPr>
          <w:rFonts w:ascii="Times New Roman" w:hAnsi="Times New Roman" w:cs="Times New Roman"/>
          <w:sz w:val="24"/>
          <w:szCs w:val="24"/>
        </w:rPr>
        <w:t xml:space="preserve"> </w:t>
      </w:r>
      <w:r w:rsidR="00503268" w:rsidRPr="00F43C71">
        <w:rPr>
          <w:rFonts w:ascii="Times New Roman" w:hAnsi="Times New Roman" w:cs="Times New Roman"/>
          <w:sz w:val="24"/>
          <w:szCs w:val="24"/>
        </w:rPr>
        <w:fldChar w:fldCharType="begin" w:fldLock="1"/>
      </w:r>
      <w:r w:rsidR="00503268" w:rsidRPr="00F43C71">
        <w:rPr>
          <w:rFonts w:ascii="Times New Roman" w:hAnsi="Times New Roman" w:cs="Times New Roman"/>
          <w:sz w:val="24"/>
          <w:szCs w:val="24"/>
        </w:rPr>
        <w:instrText>ADDIN CSL_CITATION {"citationItems":[{"id":"ITEM-1","itemData":{"DOI":"10.1093/heapol/czv023","ISSN":"14602237","PMID":"25841771","abstract":"The South African Government recently set targets to reduce cardiovascular disease (CVD) by lowering salt consumption. We conducted an extended cost-effectiveness analysis (ECEA) to model the potential health and economic impacts of this salt policy. We used surveys and epidemiologic studies to estimate reductions in CVD resulting from lower salt intake. We calculated the average out-of-pocket (OOP) cost of CVD care, using facility fee schedules and drug prices. We estimated the reduction in OOP expenditures and government subsidies due to the policy. We estimated public and private sector costs of policy implementation. We estimated financial risk protection (FRP) from the policy as (1) cases of catastrophic health expenditure (CHE) averted or (2) cases of poverty averted. We also performed a sensitivity analysis. We found that the salt policy could reduce CVD deaths by 11%, with similar health gains across income quintiles. The policy could save households US$ 4.06 million (2012) in OOP expenditures (US$ 0.29 per capita) and save the government US$ 51.25 million in healthcare subsidies (US$ 2.52 per capita) each year. The cost to the government would be only US$ 0.01 per capita; hence, the policy would be cost saving. If the private sector food reformulation costs were passed on to consumers, food expenditures would increase by &lt;0.2% across all income quintiles. Preventing CVD could avert 2400 cases of CHE or 2000 cases of poverty yearly. Our results were sensitive to baseline CVD mortality rates and the cost of treatment. We conclude that, in addition to health gains, population salt reduction can have positive economic impacts - substantially reducing OOP expenditures and providing FRP, particularly for the middle class. The policy could also provide large government savings on health care.","author":[{"dropping-particle":"","family":"Watkins","given":"David A.","non-dropping-particle":"","parse-names":false,"suffix":""},{"dropping-particle":"","family":"Olson","given":"Zachary D.","non-dropping-particle":"","parse-names":false,"suffix":""},{"dropping-particle":"","family":"Verguet","given":"Stéphane","non-dropping-particle":"","parse-names":false,"suffix":""},{"dropping-particle":"","family":"Nugent","given":"Rachel A.","non-dropping-particle":"","parse-names":false,"suffix":""},{"dropping-particle":"","family":"Jamison","given":"Dean T.","non-dropping-particle":"","parse-names":false,"suffix":""}],"container-title":"Health Policy and Planning","id":"ITEM-1","issue":"1","issued":{"date-parts":[["2016"]]},"page":"75-82","title":"Cardiovascular disease and impoverishment averted due to a salt reduction policy in South Africa: An extended cost-effectiveness analysis","type":"article-journal","volume":"31"},"uris":["http://www.mendeley.com/documents/?uuid=d679fbf4-82d3-45e6-be72-67eba9fe64ae"]}],"mendeley":{"formattedCitation":"(Watkins et al., 2016)","manualFormatting":"Watkins et al. (2016)","plainTextFormattedCitation":"(Watkins et al., 2016)","previouslyFormattedCitation":"(Watkins et al., 2016)"},"properties":{"noteIndex":0},"schema":"https://github.com/citation-style-language/schema/raw/master/csl-citation.json"}</w:instrText>
      </w:r>
      <w:r w:rsidR="00503268" w:rsidRPr="00F43C71">
        <w:rPr>
          <w:rFonts w:ascii="Times New Roman" w:hAnsi="Times New Roman" w:cs="Times New Roman"/>
          <w:sz w:val="24"/>
          <w:szCs w:val="24"/>
        </w:rPr>
        <w:fldChar w:fldCharType="separate"/>
      </w:r>
      <w:r w:rsidR="00503268" w:rsidRPr="00F43C71">
        <w:rPr>
          <w:rFonts w:ascii="Times New Roman" w:hAnsi="Times New Roman" w:cs="Times New Roman"/>
          <w:noProof/>
          <w:sz w:val="24"/>
          <w:szCs w:val="24"/>
        </w:rPr>
        <w:t>Watkins et al. (2016)</w:t>
      </w:r>
      <w:r w:rsidR="00503268" w:rsidRPr="00F43C71">
        <w:rPr>
          <w:rFonts w:ascii="Times New Roman" w:hAnsi="Times New Roman" w:cs="Times New Roman"/>
          <w:sz w:val="24"/>
          <w:szCs w:val="24"/>
        </w:rPr>
        <w:fldChar w:fldCharType="end"/>
      </w:r>
      <w:r w:rsidR="00503268" w:rsidRPr="00F43C71">
        <w:rPr>
          <w:rFonts w:ascii="Times New Roman" w:hAnsi="Times New Roman" w:cs="Times New Roman"/>
          <w:sz w:val="24"/>
          <w:szCs w:val="24"/>
        </w:rPr>
        <w:t xml:space="preserve"> assessed</w:t>
      </w:r>
      <w:r w:rsidR="00DF7446">
        <w:rPr>
          <w:rFonts w:ascii="Times New Roman" w:hAnsi="Times New Roman" w:cs="Times New Roman"/>
          <w:sz w:val="24"/>
          <w:szCs w:val="24"/>
        </w:rPr>
        <w:t xml:space="preserve"> the effect of a</w:t>
      </w:r>
      <w:r w:rsidR="00503268" w:rsidRPr="00F43C71">
        <w:rPr>
          <w:rFonts w:ascii="Times New Roman" w:hAnsi="Times New Roman" w:cs="Times New Roman"/>
          <w:sz w:val="24"/>
          <w:szCs w:val="24"/>
        </w:rPr>
        <w:t xml:space="preserve"> salt reduction policy.</w:t>
      </w:r>
      <w:r w:rsidR="00F53823" w:rsidRPr="00F43C71">
        <w:rPr>
          <w:rFonts w:ascii="Times New Roman" w:hAnsi="Times New Roman" w:cs="Times New Roman"/>
          <w:sz w:val="24"/>
          <w:szCs w:val="24"/>
        </w:rPr>
        <w:t xml:space="preserve"> </w:t>
      </w:r>
      <w:r w:rsidR="00F53823" w:rsidRPr="00F43C71">
        <w:rPr>
          <w:rFonts w:ascii="Times New Roman" w:hAnsi="Times New Roman" w:cs="Times New Roman"/>
          <w:sz w:val="24"/>
          <w:szCs w:val="24"/>
        </w:rPr>
        <w:fldChar w:fldCharType="begin" w:fldLock="1"/>
      </w:r>
      <w:r w:rsidR="00F53823" w:rsidRPr="00F43C71">
        <w:rPr>
          <w:rFonts w:ascii="Times New Roman" w:hAnsi="Times New Roman" w:cs="Times New Roman"/>
          <w:sz w:val="24"/>
          <w:szCs w:val="24"/>
        </w:rPr>
        <w:instrText>ADDIN CSL_CITATION {"citationItems":[{"id":"ITEM-1","itemData":{"DOI":"10.1002/hec","abstract":"Universal public finance (UPF)—government financing of an intervention irrespective of who is receiving it—for a health intervention entails consequences in multiple domains. First, UPF increases intervention uptake and hence the extent of consequent health gains. Second, UPF generates financial consequences including the crowding out of private expenditures. Finally, UPF provides insurance either by covering catastrophic expenditures, which would otherwise throw households into poverty or by preventing diseases that cause them. This paper develops a method—extended cost-effectiveness analysis (ECEA)—for evaluating the consequences of UPF in each of these domains. It then illustrates ECEA with an evaluation of UPF for tuberculosis treatment in India. Using plausible values for key parameters, our base case ECEA concludes that the health gains and insurance value of UPF would accrue primarily to the poor. Reductions in out-of-pocket expenditures are more uniformly distributed across income quintiles. A variant on our base case suggests that lowering costs of borrowing for the poor could potentially achieve some of the health gains of UPF, but at the cost of leaving the poor more deeply in debt. ©","author":[{"dropping-particle":"","family":"Stephane Verguet","given":"Ramanan Laxminarayan and Dean T. Jamison","non-dropping-particle":"","parse-names":false,"suffix":""}],"id":"ITEM-1","issued":{"date-parts":[["2015"]]},"page":"318-332","title":"Universal Public Finance of Tuberculosis Treatment in India: An Extended Cost-Effectiveness Analysis","type":"article-journal","volume":"24"},"uris":["http://www.mendeley.com/documents/?uuid=88885eb7-27b8-42ba-8b97-97da7c2affec"]}],"mendeley":{"formattedCitation":"(Stephane Verguet, 2015)","manualFormatting":"Verguet et al. (2015a)","plainTextFormattedCitation":"(Stephane Verguet, 2015)","previouslyFormattedCitation":"(Stephane Verguet, 2015)"},"properties":{"noteIndex":0},"schema":"https://github.com/citation-style-language/schema/raw/master/csl-citation.json"}</w:instrText>
      </w:r>
      <w:r w:rsidR="00F53823" w:rsidRPr="00F43C71">
        <w:rPr>
          <w:rFonts w:ascii="Times New Roman" w:hAnsi="Times New Roman" w:cs="Times New Roman"/>
          <w:sz w:val="24"/>
          <w:szCs w:val="24"/>
        </w:rPr>
        <w:fldChar w:fldCharType="separate"/>
      </w:r>
      <w:r w:rsidR="00F53823" w:rsidRPr="00F43C71">
        <w:rPr>
          <w:rFonts w:ascii="Times New Roman" w:hAnsi="Times New Roman" w:cs="Times New Roman"/>
          <w:noProof/>
          <w:sz w:val="24"/>
          <w:szCs w:val="24"/>
        </w:rPr>
        <w:t>Verguet et al. (2015a)</w:t>
      </w:r>
      <w:r w:rsidR="00F53823" w:rsidRPr="00F43C71">
        <w:rPr>
          <w:rFonts w:ascii="Times New Roman" w:hAnsi="Times New Roman" w:cs="Times New Roman"/>
          <w:sz w:val="24"/>
          <w:szCs w:val="24"/>
        </w:rPr>
        <w:fldChar w:fldCharType="end"/>
      </w:r>
      <w:r w:rsidR="00F53823" w:rsidRPr="00F43C71">
        <w:rPr>
          <w:rFonts w:ascii="Times New Roman" w:hAnsi="Times New Roman" w:cs="Times New Roman"/>
          <w:sz w:val="24"/>
          <w:szCs w:val="24"/>
        </w:rPr>
        <w:t>,</w:t>
      </w:r>
      <w:r w:rsidR="002A71A3" w:rsidRPr="00F43C71">
        <w:rPr>
          <w:rFonts w:ascii="Times New Roman" w:hAnsi="Times New Roman" w:cs="Times New Roman"/>
          <w:sz w:val="24"/>
          <w:szCs w:val="24"/>
        </w:rPr>
        <w:t xml:space="preserve"> </w:t>
      </w:r>
      <w:r w:rsidR="002A71A3" w:rsidRPr="00F43C71">
        <w:rPr>
          <w:rFonts w:ascii="Times New Roman" w:hAnsi="Times New Roman" w:cs="Times New Roman"/>
          <w:sz w:val="24"/>
          <w:szCs w:val="24"/>
        </w:rPr>
        <w:fldChar w:fldCharType="begin" w:fldLock="1"/>
      </w:r>
      <w:r w:rsidR="002A71A3" w:rsidRPr="00F43C71">
        <w:rPr>
          <w:rFonts w:ascii="Times New Roman" w:hAnsi="Times New Roman" w:cs="Times New Roman"/>
          <w:sz w:val="24"/>
          <w:szCs w:val="24"/>
        </w:rPr>
        <w:instrText>ADDIN CSL_CITATION {"citationItems":[{"id":"ITEM-1","itemData":{"DOI":"10.1136/bmjopen-2014-006402","ISSN":"20446055","PMID":"25941175","abstract":"OBJECTIVES: Policymakers face many decisions when considering public financing for health, including the kind of health interventions to include in a publically financed package. The consequences of these choices will influence health outcomes as well as the financial risk protection provided to different segments of the population. The purpose of this study is to illustrate the size and distribution of benefits due to treatment and prevention of diarrhoea (ie, rotavirus vaccination).\nMETHODS: We use an economic model to examine the impacts of universal public finance (UPF) of diarrhoeal treatment alone, as opposed to diarrhoeal treatment along with rotavirus vaccination in Ethiopia using extended cost-effectiveness analysis (ECEA). ECEA allows us to measure the health gains and financial risk protection provided by these interventions for each wealth quintile. Our model compares a baseline situation with diarrhoeal treatment seeking of 32% (overall) and no rotavirus vaccination, to a situation where UPF increases treatment seeking by 20 percentage points for each quintile and rotavirus vaccination reaches DTP (diphteria, pertussis, tetanus) 2 levels for each quintile (overall rate of 52%). We calculate deaths averted, private expenditures averted and costs incurred by the government under the baseline situation and with UPF.\nRESULTS: We find that diarrhoeal treatment paired with rotavirus vaccination is more cost effective than diarrhoeal treatment alone for the metrics we examine in this paper (deaths and private expenditures averted). Per US$1 million invested, diarrhoeal treatment saves 44 lives and averts US$115,000 in private expenditures. For the same investment, diarrhoeal treatment and rotavirus vaccination save 61 lives and avert US$150,000 in private expenditures. The health benefits of these interventions tend to benefit the poor, while the financial benefits favour the better-off.\nCONCLUSIONS: Policymakers should consider multiple benefit streams as well as their scale and incidence when considering public finance of health interventions.","author":[{"dropping-particle":"","family":"Pecenka","given":"Clinton J.","non-dropping-particle":"","parse-names":false,"suffix":""},{"dropping-particle":"","family":"Johansson","given":"Kjell Arne","non-dropping-particle":"","parse-names":false,"suffix":""},{"dropping-particle":"","family":"Memirie","given":"Solomon Tessema","non-dropping-particle":"","parse-names":false,"suffix":""},{"dropping-particle":"","family":"Jamison","given":"Dean T.","non-dropping-particle":"","parse-names":false,"suffix":""},{"dropping-particle":"","family":"Verguet","given":"Stéphane","non-dropping-particle":"","parse-names":false,"suffix":""}],"container-title":"BMJ open","id":"ITEM-1","issue":"4","issued":{"date-parts":[["2015"]]},"page":"e006402","title":"Health gains and financial risk protection: an extended cost-effectiveness analysis of treatment and prevention of diarrhoea in Ethiopia","type":"article-journal","volume":"5"},"uris":["http://www.mendeley.com/documents/?uuid=5516fdca-f656-4be1-8f6a-fc2d70c03f5c"]}],"mendeley":{"formattedCitation":"(Pecenka et al., 2015)","manualFormatting":"Pecenka et al. (2015)","plainTextFormattedCitation":"(Pecenka et al., 2015)","previouslyFormattedCitation":"(Pecenka et al., 2015)"},"properties":{"noteIndex":0},"schema":"https://github.com/citation-style-language/schema/raw/master/csl-citation.json"}</w:instrText>
      </w:r>
      <w:r w:rsidR="002A71A3" w:rsidRPr="00F43C71">
        <w:rPr>
          <w:rFonts w:ascii="Times New Roman" w:hAnsi="Times New Roman" w:cs="Times New Roman"/>
          <w:sz w:val="24"/>
          <w:szCs w:val="24"/>
        </w:rPr>
        <w:fldChar w:fldCharType="separate"/>
      </w:r>
      <w:r w:rsidR="002A71A3" w:rsidRPr="00F43C71">
        <w:rPr>
          <w:rFonts w:ascii="Times New Roman" w:hAnsi="Times New Roman" w:cs="Times New Roman"/>
          <w:noProof/>
          <w:sz w:val="24"/>
          <w:szCs w:val="24"/>
        </w:rPr>
        <w:t>Pecenka et al. (2015)</w:t>
      </w:r>
      <w:r w:rsidR="002A71A3" w:rsidRPr="00F43C71">
        <w:rPr>
          <w:rFonts w:ascii="Times New Roman" w:hAnsi="Times New Roman" w:cs="Times New Roman"/>
          <w:sz w:val="24"/>
          <w:szCs w:val="24"/>
        </w:rPr>
        <w:fldChar w:fldCharType="end"/>
      </w:r>
      <w:r w:rsidR="002A71A3" w:rsidRPr="00F43C71">
        <w:rPr>
          <w:rFonts w:ascii="Times New Roman" w:hAnsi="Times New Roman" w:cs="Times New Roman"/>
          <w:sz w:val="24"/>
          <w:szCs w:val="24"/>
        </w:rPr>
        <w:t>,</w:t>
      </w:r>
      <w:r w:rsidR="00C56A6F" w:rsidRPr="00F43C71">
        <w:rPr>
          <w:rFonts w:ascii="Times New Roman" w:hAnsi="Times New Roman" w:cs="Times New Roman"/>
          <w:sz w:val="24"/>
          <w:szCs w:val="24"/>
        </w:rPr>
        <w:t xml:space="preserve"> </w:t>
      </w:r>
      <w:r w:rsidR="00C56A6F" w:rsidRPr="00F43C71">
        <w:rPr>
          <w:rFonts w:ascii="Times New Roman" w:hAnsi="Times New Roman" w:cs="Times New Roman"/>
          <w:sz w:val="24"/>
          <w:szCs w:val="24"/>
        </w:rPr>
        <w:fldChar w:fldCharType="begin" w:fldLock="1"/>
      </w:r>
      <w:r w:rsidR="00C56A6F" w:rsidRPr="00F43C71">
        <w:rPr>
          <w:rFonts w:ascii="Times New Roman" w:hAnsi="Times New Roman" w:cs="Times New Roman"/>
          <w:sz w:val="24"/>
          <w:szCs w:val="24"/>
        </w:rPr>
        <w:instrText>ADDIN CSL_CITATION {"citationItems":[{"id":"ITEM-1","itemData":{"DOI":"10.1016/j.vaccine.2015.02.052","ISBN":"9781464803499","ISSN":"18732518","PMID":"25770785","abstract":"Introduction: Cervical cancer screening and existing health insurance schemes in China fall short of reaching women with prevention and treatment services, especially in rural areas where the disease burden is greatest. We conducted an extended cost-effectiveness analysis (ECEA) to evaluate public financing of HPV vaccination to prevent cervical cancer, adding new dimensions to conventional cost-effectiveness analysis through an explicit inclusion of equity and impact on financial risk protection. Methods: We synthesized available epidemiological, clinical, and economic data from China using an individual-based Monte Carlo simulation model of cervical cancer to estimate the distribution of deaths averted by income quintile, comparing vaccination plus screening against current practice. We also estimated reductions in cervical cancer incidence, net costs to the government (HPV vaccination costs minus cervical cancer treatment costs averted), and patient cost savings, as well as the incremental government health care costs per death averted. Results: HPV vaccination is cost-effective across all income groups when the cost is less than US $50 per vaccinated girl. Compared to screening alone, adding preadolescent HPV vaccination followed by cervical cancer screening in adulthood could reduce cancer by 44 percent across all income groups, while providing relatively higher financial protection to the poorest women. The absolute numbers of cervical cancer deaths averted and the financial risk protection from HPV vaccination are highest among women in the lowest quintile women in the bottom income quintiles received higher benefits than those in the upper wealth quintiles. Patient cost savings represent a large proportion of poor women's average per capita income, reaching 60 percent among women in the bottom income quintile and declining to 15 percent among women in the wealthiest quintile.","author":[{"dropping-particle":"","family":"Levin","given":"Carol E.","non-dropping-particle":"","parse-names":false,"suffix":""},{"dropping-particle":"","family":"Sharma","given":"Monisha","non-dropping-particle":"","parse-names":false,"suffix":""},{"dropping-particle":"","family":"Olson","given":"Zachary","non-dropping-particle":"","parse-names":false,"suffix":""},{"dropping-particle":"","family":"Verguet","given":"Stéphane","non-dropping-particle":"","parse-names":false,"suffix":""},{"dropping-particle":"","family":"Shi","given":"Ju Fang","non-dropping-particle":"","parse-names":false,"suffix":""},{"dropping-particle":"","family":"Wang","given":"Shao Ming","non-dropping-particle":"","parse-names":false,"suffix":""},{"dropping-particle":"","family":"Qiao","given":"You Lin","non-dropping-particle":"","parse-names":false,"suffix":""},{"dropping-particle":"","family":"Jamison","given":"Dean T.","non-dropping-particle":"","parse-names":false,"suffix":""},{"dropping-particle":"","family":"Kim","given":"Jane J.","non-dropping-particle":"","parse-names":false,"suffix":""}],"container-title":"Vaccine","id":"ITEM-1","issue":"24","issued":{"date-parts":[["2015"]]},"page":"2830-2841","publisher":"Elsevier Ltd","title":"An extended cost-effectiveness analysis of publicly financed HPV vaccination to prevent cervical cancer in China","type":"article-journal","volume":"33"},"uris":["http://www.mendeley.com/documents/?uuid=176dd89d-c055-4911-9274-b26fef46f9e5"]}],"mendeley":{"formattedCitation":"(Levin et al., 2015)","manualFormatting":"Levin et al. (2015)","plainTextFormattedCitation":"(Levin et al., 2015)","previouslyFormattedCitation":"(Levin et al., 2015)"},"properties":{"noteIndex":0},"schema":"https://github.com/citation-style-language/schema/raw/master/csl-citation.json"}</w:instrText>
      </w:r>
      <w:r w:rsidR="00C56A6F" w:rsidRPr="00F43C71">
        <w:rPr>
          <w:rFonts w:ascii="Times New Roman" w:hAnsi="Times New Roman" w:cs="Times New Roman"/>
          <w:sz w:val="24"/>
          <w:szCs w:val="24"/>
        </w:rPr>
        <w:fldChar w:fldCharType="separate"/>
      </w:r>
      <w:r w:rsidR="00C56A6F" w:rsidRPr="00F43C71">
        <w:rPr>
          <w:rFonts w:ascii="Times New Roman" w:hAnsi="Times New Roman" w:cs="Times New Roman"/>
          <w:noProof/>
          <w:sz w:val="24"/>
          <w:szCs w:val="24"/>
        </w:rPr>
        <w:t>Levin et al. (2015)</w:t>
      </w:r>
      <w:r w:rsidR="00C56A6F" w:rsidRPr="00F43C71">
        <w:rPr>
          <w:rFonts w:ascii="Times New Roman" w:hAnsi="Times New Roman" w:cs="Times New Roman"/>
          <w:sz w:val="24"/>
          <w:szCs w:val="24"/>
        </w:rPr>
        <w:fldChar w:fldCharType="end"/>
      </w:r>
      <w:r w:rsidR="00C56A6F" w:rsidRPr="00F43C71">
        <w:rPr>
          <w:rFonts w:ascii="Times New Roman" w:hAnsi="Times New Roman" w:cs="Times New Roman"/>
          <w:sz w:val="24"/>
          <w:szCs w:val="24"/>
        </w:rPr>
        <w:t>,</w:t>
      </w:r>
      <w:r w:rsidR="002A71A3" w:rsidRPr="00F43C71">
        <w:rPr>
          <w:rFonts w:ascii="Times New Roman" w:hAnsi="Times New Roman" w:cs="Times New Roman"/>
          <w:sz w:val="24"/>
          <w:szCs w:val="24"/>
        </w:rPr>
        <w:t xml:space="preserve"> and</w:t>
      </w:r>
      <w:r w:rsidR="00944FCF" w:rsidRPr="00F43C71">
        <w:rPr>
          <w:rFonts w:ascii="Times New Roman" w:hAnsi="Times New Roman" w:cs="Times New Roman"/>
          <w:sz w:val="24"/>
          <w:szCs w:val="24"/>
        </w:rPr>
        <w:t xml:space="preserve"> </w:t>
      </w:r>
      <w:r w:rsidR="00E775B0" w:rsidRPr="00F43C71">
        <w:rPr>
          <w:rFonts w:ascii="Times New Roman" w:hAnsi="Times New Roman" w:cs="Times New Roman"/>
          <w:sz w:val="24"/>
          <w:szCs w:val="24"/>
        </w:rPr>
        <w:fldChar w:fldCharType="begin" w:fldLock="1"/>
      </w:r>
      <w:r w:rsidR="00E775B0" w:rsidRPr="00F43C71">
        <w:rPr>
          <w:rFonts w:ascii="Times New Roman" w:hAnsi="Times New Roman" w:cs="Times New Roman"/>
          <w:sz w:val="24"/>
          <w:szCs w:val="24"/>
        </w:rPr>
        <w:instrText>ADDIN CSL_CITATION {"citationItems":[{"id":"ITEM-1","itemData":{"DOI":"10.1371/journal.pone.0142691","ISSN":"19326203","PMID":"26650078","abstract":"Background Pneumonia and pneumococcal disease cause a large disease burden in resource-constrained settings. We pursue an extended cost-effectiveness analysis (ECEA) of two fully publicly financed interventions in Ethiopia: pneumococcal vaccination for newborns and pneumonia treatment for under-five children in Ethiopia. Methods We apply ECEA methods and estimate the program impact on: (1) government program costs; (2) pneumonia and pneumococcal deaths averted; (3) household expenses related to pneumonia/pneumococcal disease treatment averted; (4) prevention of household medical impoverishment measured by an imputed money-metric value of financial risk protection; and (5) distributional consequences across the wealth strata of the country population. Available epidemiological and cost data from Ethiopia are applied and the two interventions are assessed separately at various incremental coverage levels. Results Scaling-up pneumococcal vaccines at around 40% coverage would cost about $11.5 million and avert about 2090 child deaths annually, while a 10% increase of pneumonia treatment to all children under 5 years of age would cost about $13.9 million and avert 2610 deaths annually. Health benefits of the two interventions publicly financed would be concentrated among the bottom income quintile, where 3040% of all deaths averted would be expected to occur in the poorest quintile. In sum, the two interventions would eliminate a total of $2.4 million of private household expenditures annually, where the richest quintile benefits from around 30% of the total private expenditures averted. The financial risk protection benefits would be largely concentrated among the bottom income quintile. The results are most sensitive to variations in vaccine price, population size, number of deaths due to pneumonia, efficacy of interventions and out-of-pocket copayment share. Conclusions Vaccine and treatment interventions for children, as shown with the illustrative examples of pneumococcal vaccine and pneumonia treatment, can bring large health and financial benefits to households in Ethiopia, most particularly among the poorest socio-economic groups.","author":[{"dropping-particle":"","family":"Johansson","given":"Kjell Arne","non-dropping-particle":"","parse-names":false,"suffix":""},{"dropping-particle":"","family":"Memirie","given":"Solomon Tessema","non-dropping-particle":"","parse-names":false,"suffix":""},{"dropping-particle":"","family":"Pecenka","given":"Clint","non-dropping-particle":"","parse-names":false,"suffix":""},{"dropping-particle":"","family":"Jamison","given":"Dean T.","non-dropping-particle":"","parse-names":false,"suffix":""},{"dropping-particle":"","family":"Verguet","given":"Stéphane","non-dropping-particle":"","parse-names":false,"suffix":""}],"container-title":"PLoS ONE","id":"ITEM-1","issue":"12","issued":{"date-parts":[["2015"]]},"page":"1-16","title":"Health Gains and Financial Protection from Pneumococcal Vaccination and Pneumonia Treatment in Ethiopia: Results from an Extended Cost-Effectiveness Analysis","type":"article-journal","volume":"10"},"uris":["http://www.mendeley.com/documents/?uuid=94edce7c-522a-4086-a11e-1a21d1ee8380"]}],"mendeley":{"formattedCitation":"(Johansson et al., 2015)","manualFormatting":"Johansson et al. (2015)","plainTextFormattedCitation":"(Johansson et al., 2015)","previouslyFormattedCitation":"(Johansson et al., 2015)"},"properties":{"noteIndex":0},"schema":"https://github.com/citation-style-language/schema/raw/master/csl-citation.json"}</w:instrText>
      </w:r>
      <w:r w:rsidR="00E775B0" w:rsidRPr="00F43C71">
        <w:rPr>
          <w:rFonts w:ascii="Times New Roman" w:hAnsi="Times New Roman" w:cs="Times New Roman"/>
          <w:sz w:val="24"/>
          <w:szCs w:val="24"/>
        </w:rPr>
        <w:fldChar w:fldCharType="separate"/>
      </w:r>
      <w:r w:rsidR="00E775B0" w:rsidRPr="00F43C71">
        <w:rPr>
          <w:rFonts w:ascii="Times New Roman" w:hAnsi="Times New Roman" w:cs="Times New Roman"/>
          <w:noProof/>
          <w:sz w:val="24"/>
          <w:szCs w:val="24"/>
        </w:rPr>
        <w:t>Johansson et al. (2015)</w:t>
      </w:r>
      <w:r w:rsidR="00E775B0" w:rsidRPr="00F43C71">
        <w:rPr>
          <w:rFonts w:ascii="Times New Roman" w:hAnsi="Times New Roman" w:cs="Times New Roman"/>
          <w:sz w:val="24"/>
          <w:szCs w:val="24"/>
        </w:rPr>
        <w:fldChar w:fldCharType="end"/>
      </w:r>
      <w:r w:rsidR="00E775B0" w:rsidRPr="00F43C71">
        <w:rPr>
          <w:rFonts w:ascii="Times New Roman" w:hAnsi="Times New Roman" w:cs="Times New Roman"/>
          <w:sz w:val="24"/>
          <w:szCs w:val="24"/>
        </w:rPr>
        <w:t xml:space="preserve"> evaluated</w:t>
      </w:r>
      <w:r w:rsidR="00F53823" w:rsidRPr="00F43C71">
        <w:rPr>
          <w:rFonts w:ascii="Times New Roman" w:hAnsi="Times New Roman" w:cs="Times New Roman"/>
          <w:sz w:val="24"/>
          <w:szCs w:val="24"/>
        </w:rPr>
        <w:t xml:space="preserve"> tuberculosis treatment,</w:t>
      </w:r>
      <w:r w:rsidR="00E775B0" w:rsidRPr="00F43C71">
        <w:rPr>
          <w:rFonts w:ascii="Times New Roman" w:hAnsi="Times New Roman" w:cs="Times New Roman"/>
          <w:sz w:val="24"/>
          <w:szCs w:val="24"/>
        </w:rPr>
        <w:t xml:space="preserve"> </w:t>
      </w:r>
      <w:r w:rsidR="002A71A3" w:rsidRPr="00F43C71">
        <w:rPr>
          <w:rFonts w:ascii="Times New Roman" w:hAnsi="Times New Roman" w:cs="Times New Roman"/>
          <w:sz w:val="24"/>
          <w:szCs w:val="24"/>
        </w:rPr>
        <w:t xml:space="preserve">diarrhea treatment with </w:t>
      </w:r>
      <w:r w:rsidR="002A71A3" w:rsidRPr="00F43C71">
        <w:rPr>
          <w:rFonts w:ascii="Times New Roman" w:hAnsi="Times New Roman" w:cs="Times New Roman"/>
          <w:sz w:val="24"/>
          <w:szCs w:val="24"/>
        </w:rPr>
        <w:lastRenderedPageBreak/>
        <w:t xml:space="preserve">rotavirus vaccination, </w:t>
      </w:r>
      <w:r w:rsidR="00C56A6F" w:rsidRPr="00F43C71">
        <w:rPr>
          <w:rFonts w:ascii="Times New Roman" w:hAnsi="Times New Roman" w:cs="Times New Roman"/>
          <w:sz w:val="24"/>
          <w:szCs w:val="24"/>
        </w:rPr>
        <w:t>HPV vaccination</w:t>
      </w:r>
      <w:r w:rsidR="00DD4181" w:rsidRPr="00F43C71">
        <w:rPr>
          <w:rFonts w:ascii="Times New Roman" w:hAnsi="Times New Roman" w:cs="Times New Roman"/>
          <w:sz w:val="24"/>
          <w:szCs w:val="24"/>
        </w:rPr>
        <w:t xml:space="preserve"> for cervical cancer</w:t>
      </w:r>
      <w:r w:rsidR="00C56A6F" w:rsidRPr="00F43C71">
        <w:rPr>
          <w:rFonts w:ascii="Times New Roman" w:hAnsi="Times New Roman" w:cs="Times New Roman"/>
          <w:sz w:val="24"/>
          <w:szCs w:val="24"/>
        </w:rPr>
        <w:t>,</w:t>
      </w:r>
      <w:r w:rsidR="00944FCF" w:rsidRPr="00F43C71">
        <w:rPr>
          <w:rFonts w:ascii="Times New Roman" w:hAnsi="Times New Roman" w:cs="Times New Roman"/>
          <w:sz w:val="24"/>
          <w:szCs w:val="24"/>
        </w:rPr>
        <w:t xml:space="preserve"> and</w:t>
      </w:r>
      <w:r w:rsidR="00C56A6F" w:rsidRPr="00F43C71">
        <w:rPr>
          <w:rFonts w:ascii="Times New Roman" w:hAnsi="Times New Roman" w:cs="Times New Roman"/>
          <w:sz w:val="24"/>
          <w:szCs w:val="24"/>
        </w:rPr>
        <w:t xml:space="preserve"> </w:t>
      </w:r>
      <w:r w:rsidR="00E775B0" w:rsidRPr="00F43C71">
        <w:rPr>
          <w:rFonts w:ascii="Times New Roman" w:hAnsi="Times New Roman" w:cs="Times New Roman"/>
          <w:sz w:val="24"/>
          <w:szCs w:val="24"/>
        </w:rPr>
        <w:t>pneumonia treatment and pneumococcal vaccination</w:t>
      </w:r>
      <w:r w:rsidR="00C56A6F" w:rsidRPr="00F43C71">
        <w:rPr>
          <w:rFonts w:ascii="Times New Roman" w:hAnsi="Times New Roman" w:cs="Times New Roman"/>
          <w:sz w:val="24"/>
          <w:szCs w:val="24"/>
        </w:rPr>
        <w:t>, respectively</w:t>
      </w:r>
      <w:r w:rsidR="00E775B0" w:rsidRPr="00F43C71">
        <w:rPr>
          <w:rFonts w:ascii="Times New Roman" w:hAnsi="Times New Roman" w:cs="Times New Roman"/>
          <w:sz w:val="24"/>
          <w:szCs w:val="24"/>
        </w:rPr>
        <w:t>.</w:t>
      </w:r>
      <w:r w:rsidR="00BB073F" w:rsidRPr="00F43C71">
        <w:rPr>
          <w:rFonts w:ascii="Times New Roman" w:hAnsi="Times New Roman" w:cs="Times New Roman"/>
          <w:sz w:val="24"/>
          <w:szCs w:val="24"/>
        </w:rPr>
        <w:t xml:space="preserve"> </w:t>
      </w:r>
      <w:r w:rsidR="00BB073F" w:rsidRPr="00F43C71">
        <w:rPr>
          <w:rFonts w:ascii="Times New Roman" w:hAnsi="Times New Roman" w:cs="Times New Roman"/>
          <w:sz w:val="24"/>
          <w:szCs w:val="24"/>
        </w:rPr>
        <w:fldChar w:fldCharType="begin" w:fldLock="1"/>
      </w:r>
      <w:r w:rsidR="00BB073F" w:rsidRPr="00F43C71">
        <w:rPr>
          <w:rFonts w:ascii="Times New Roman" w:hAnsi="Times New Roman" w:cs="Times New Roman"/>
          <w:sz w:val="24"/>
          <w:szCs w:val="24"/>
        </w:rPr>
        <w:instrText>ADDIN CSL_CITATION {"citationItems":[{"id":"ITEM-1","itemData":{"DOI":"10.1016/S2214-109X(15)70095-1","ISSN":"2214109X","PMID":"25772692","abstract":"Background: In China, there are more than 300 million male smokers. Tobacco taxation reduces smoking-related premature deaths and increases government revenues, but has been criticised for disproportionately affecting poorer people. We assess the distributional consequences (across different wealth quintiles) of a specific excise tax on cigarettes in China in terms of both financial and health outcomes. Methods: We use extended cost-effectiveness analysis methods to estimate, across income quintiles, the health benefits (years of life gained), the additional tax revenues raised, the net financial consequences for households, and the financial risk protection provided to households, that would be caused by a 50% increase in tobacco price through excise tax fully passed onto tobacco consumers. For our modelling analysis, we used plausible values for key parameters, including an average price elasticity of demand for tobacco of -0·38, which is assumed to vary from -0·64 in the poorest quintile to -0·12 in the richest, and we considered only the male population, which constitutes the overwhelming majority of smokers in China. Findings: Our modelling analysis showed that a 50% increase in tobacco price through excise tax would lead to 231 million years of life gained (95% uncertainty range 194-268 million) over 50 years (a third of which would be gained in the lowest income quintile), a gain of US$703 billion ($616-781 billion) of additional tax revenues from the excise tax (14% of which would come from the lowest income quintile, compared with 24% from the highest income quintile). The excise tax would increase overall household expenditures on tobacco by $376 billion ($232-505 billion), but decrease these expenditures by $21 billion (-$83 to $5 billion) in the lowest income quintile, and would reduce expenditures on tobacco-related disease by $24·0 billion ($17·3-26·3 billion, 28% of which would benefit the lowest income quintile). Finally, it would provide financial risk protection worth $1·8 billion ($1·2-2·3 billion), mainly concentrated (74%) in the lowest income quintile. Interpretation: Increased tobacco taxation can be a pro-poor policy instrument that brings substantial health and financial benefits to households in China. Funding: Bill &amp; Melinda Gates Foundation and Dalla Lana School of Public Health.","author":[{"dropping-particle":"","family":"Verguet","given":"Stéphane","non-dropping-particle":"","parse-names":false,"suffix":""},{"dropping-particle":"","family":"Gauvreau","given":"Cindy L.","non-dropping-particle":"","parse-names":false,"suffix":""},{"dropping-particle":"","family":"Mishra","given":"Sujata","non-dropping-particle":"","parse-names":false,"suffix":""},{"dropping-particle":"","family":"MacLennan","given":"Mary","non-dropping-particle":"","parse-names":false,"suffix":""},{"dropping-particle":"","family":"Murphy","given":"Shane M.","non-dropping-particle":"","parse-names":false,"suffix":""},{"dropping-particle":"","family":"Brouwer","given":"Elizabeth D.","non-dropping-particle":"","parse-names":false,"suffix":""},{"dropping-particle":"","family":"Nugent","given":"Rachel A.","non-dropping-particle":"","parse-names":false,"suffix":""},{"dropping-particle":"","family":"Zhao","given":"Kun","non-dropping-particle":"","parse-names":false,"suffix":""},{"dropping-particle":"","family":"Jha","given":"Prabhat","non-dropping-particle":"","parse-names":false,"suffix":""},{"dropping-particle":"","family":"Jamison","given":"Dean T.","non-dropping-particle":"","parse-names":false,"suffix":""}],"container-title":"The Lancet Global Health","id":"ITEM-1","issue":"4","issued":{"date-parts":[["2015"]]},"page":"e206-e216","title":"The consequences of tobacco tax on household health and finances in rich and poor smokers in China: An extended cost-effectiveness analysis","type":"article-journal","volume":"3"},"uris":["http://www.mendeley.com/documents/?uuid=10d5396e-1fca-43df-a010-d13134e8f98b"]}],"mendeley":{"formattedCitation":"(Verguet, Gauvreau, et al., 2015)","manualFormatting":"Verguet et al. (2015c)","plainTextFormattedCitation":"(Verguet, Gauvreau, et al., 2015)","previouslyFormattedCitation":"(Verguet, Gauvreau, et al., 2015)"},"properties":{"noteIndex":0},"schema":"https://github.com/citation-style-language/schema/raw/master/csl-citation.json"}</w:instrText>
      </w:r>
      <w:r w:rsidR="00BB073F" w:rsidRPr="00F43C71">
        <w:rPr>
          <w:rFonts w:ascii="Times New Roman" w:hAnsi="Times New Roman" w:cs="Times New Roman"/>
          <w:sz w:val="24"/>
          <w:szCs w:val="24"/>
        </w:rPr>
        <w:fldChar w:fldCharType="separate"/>
      </w:r>
      <w:r w:rsidR="00BB073F" w:rsidRPr="00F43C71">
        <w:rPr>
          <w:rFonts w:ascii="Times New Roman" w:hAnsi="Times New Roman" w:cs="Times New Roman"/>
          <w:noProof/>
          <w:sz w:val="24"/>
          <w:szCs w:val="24"/>
        </w:rPr>
        <w:t>Verguet et al. (2015c)</w:t>
      </w:r>
      <w:r w:rsidR="00BB073F" w:rsidRPr="00F43C71">
        <w:rPr>
          <w:rFonts w:ascii="Times New Roman" w:hAnsi="Times New Roman" w:cs="Times New Roman"/>
          <w:sz w:val="24"/>
          <w:szCs w:val="24"/>
        </w:rPr>
        <w:fldChar w:fldCharType="end"/>
      </w:r>
      <w:r w:rsidR="00BB073F" w:rsidRPr="00F43C71">
        <w:rPr>
          <w:rFonts w:ascii="Times New Roman" w:hAnsi="Times New Roman" w:cs="Times New Roman"/>
          <w:sz w:val="24"/>
          <w:szCs w:val="24"/>
        </w:rPr>
        <w:t xml:space="preserve"> examined nine interventions (measles vaccination, rotavirus vaccination, pneumococcal conjugate vaccination, diarrhea treatment, malaria treatment, pneumonia treatment, cesarean section surgery, hypertension treatment</w:t>
      </w:r>
      <w:r w:rsidR="00D54765">
        <w:rPr>
          <w:rFonts w:ascii="Times New Roman" w:hAnsi="Times New Roman" w:cs="Times New Roman"/>
          <w:sz w:val="24"/>
          <w:szCs w:val="24"/>
        </w:rPr>
        <w:t>,</w:t>
      </w:r>
      <w:r w:rsidR="00BB073F" w:rsidRPr="00F43C71">
        <w:rPr>
          <w:rFonts w:ascii="Times New Roman" w:hAnsi="Times New Roman" w:cs="Times New Roman"/>
          <w:sz w:val="24"/>
          <w:szCs w:val="24"/>
        </w:rPr>
        <w:t xml:space="preserve"> and tuberculosis treatment)</w:t>
      </w:r>
      <w:r w:rsidR="009163C0" w:rsidRPr="00F43C71">
        <w:rPr>
          <w:rFonts w:ascii="Times New Roman" w:hAnsi="Times New Roman" w:cs="Times New Roman"/>
          <w:sz w:val="24"/>
          <w:szCs w:val="24"/>
        </w:rPr>
        <w:t>.</w:t>
      </w:r>
      <w:r w:rsidR="00F43C71" w:rsidRPr="00F43C71">
        <w:rPr>
          <w:rFonts w:ascii="Times New Roman" w:hAnsi="Times New Roman" w:cs="Times New Roman"/>
          <w:sz w:val="24"/>
          <w:szCs w:val="24"/>
        </w:rPr>
        <w:t xml:space="preserve"> </w:t>
      </w:r>
      <w:r w:rsidR="00F43C71" w:rsidRPr="00F43C71">
        <w:rPr>
          <w:rFonts w:ascii="Times New Roman" w:hAnsi="Times New Roman" w:cs="Times New Roman"/>
          <w:sz w:val="24"/>
          <w:szCs w:val="24"/>
        </w:rPr>
        <w:fldChar w:fldCharType="begin" w:fldLock="1"/>
      </w:r>
      <w:r w:rsidR="00F43C71" w:rsidRPr="00F43C71">
        <w:rPr>
          <w:rFonts w:ascii="Times New Roman" w:hAnsi="Times New Roman" w:cs="Times New Roman"/>
          <w:sz w:val="24"/>
          <w:szCs w:val="24"/>
        </w:rPr>
        <w:instrText>ADDIN CSL_CITATION {"citationItems":[{"id":"ITEM-1","itemData":{"DOI":"10.1016/j.vaccine.2013.07.014","ISSN":"0264-410X","author":[{"dropping-particle":"","family":"Verguet","given":"Stéphane","non-dropping-particle":"","parse-names":false,"suffix":""},{"dropping-particle":"","family":"Murphy","given":"Shane","non-dropping-particle":"","parse-names":false,"suffix":""},{"dropping-particle":"","family":"Anderson","given":"Benjamin","non-dropping-particle":"","parse-names":false,"suffix":""},{"dropping-particle":"","family":"Arne","given":"Kjell","non-dropping-particle":"","parse-names":false,"suffix":""},{"dropping-particle":"","family":"Glass","given":"Roger","non-dropping-particle":"","parse-names":false,"suffix":""},{"dropping-particle":"","family":"Rheingans","given":"Richard","non-dropping-particle":"","parse-names":false,"suffix":""}],"container-title":"Vaccine","id":"ITEM-1","issue":"42","issued":{"date-parts":[["2013"]]},"page":"4902-4910","publisher":"Elsevier Ltd","title":"Public finance of rotavirus vaccination in India and Ethiopia : An extended cost-effectiveness analysis","type":"article-journal","volume":"31"},"uris":["http://www.mendeley.com/documents/?uuid=5beaa227-99cd-4012-b06d-7fe7f233300a"]}],"mendeley":{"formattedCitation":"(Verguet et al., 2013)","manualFormatting":"Verguet et al. (2013)","plainTextFormattedCitation":"(Verguet et al., 2013)","previouslyFormattedCitation":"(Verguet et al., 2013)"},"properties":{"noteIndex":0},"schema":"https://github.com/citation-style-language/schema/raw/master/csl-citation.json"}</w:instrText>
      </w:r>
      <w:r w:rsidR="00F43C71" w:rsidRPr="00F43C71">
        <w:rPr>
          <w:rFonts w:ascii="Times New Roman" w:hAnsi="Times New Roman" w:cs="Times New Roman"/>
          <w:sz w:val="24"/>
          <w:szCs w:val="24"/>
        </w:rPr>
        <w:fldChar w:fldCharType="separate"/>
      </w:r>
      <w:r w:rsidR="00F43C71" w:rsidRPr="00F43C71">
        <w:rPr>
          <w:rFonts w:ascii="Times New Roman" w:hAnsi="Times New Roman" w:cs="Times New Roman"/>
          <w:noProof/>
          <w:sz w:val="24"/>
          <w:szCs w:val="24"/>
        </w:rPr>
        <w:t>Verguet et al. (2013)</w:t>
      </w:r>
      <w:r w:rsidR="00F43C71" w:rsidRPr="00F43C71">
        <w:rPr>
          <w:rFonts w:ascii="Times New Roman" w:hAnsi="Times New Roman" w:cs="Times New Roman"/>
          <w:sz w:val="24"/>
          <w:szCs w:val="24"/>
        </w:rPr>
        <w:fldChar w:fldCharType="end"/>
      </w:r>
      <w:r w:rsidR="00F43C71" w:rsidRPr="00F43C71">
        <w:rPr>
          <w:rFonts w:ascii="Times New Roman" w:hAnsi="Times New Roman" w:cs="Times New Roman"/>
          <w:sz w:val="24"/>
          <w:szCs w:val="24"/>
        </w:rPr>
        <w:t xml:space="preserve"> assessed a hypothetical rotavirus vaccination program.</w:t>
      </w:r>
      <w:r w:rsidR="007C309C">
        <w:rPr>
          <w:rFonts w:ascii="Times New Roman" w:hAnsi="Times New Roman" w:cs="Times New Roman"/>
          <w:sz w:val="24"/>
          <w:szCs w:val="24"/>
        </w:rPr>
        <w:t xml:space="preserve"> </w:t>
      </w:r>
      <w:r w:rsidR="00840BA3" w:rsidRPr="00F43C71">
        <w:rPr>
          <w:rFonts w:ascii="Times New Roman" w:hAnsi="Times New Roman" w:cs="Times New Roman"/>
          <w:sz w:val="24"/>
          <w:szCs w:val="24"/>
        </w:rPr>
        <w:fldChar w:fldCharType="begin" w:fldLock="1"/>
      </w:r>
      <w:r w:rsidR="00840BA3" w:rsidRPr="00F43C71">
        <w:rPr>
          <w:rFonts w:ascii="Times New Roman" w:hAnsi="Times New Roman" w:cs="Times New Roman"/>
          <w:sz w:val="24"/>
          <w:szCs w:val="24"/>
        </w:rPr>
        <w:instrText>ADDIN CSL_CITATION {"citationItems":[{"id":"ITEM-1","itemData":{"DOI":"10.1016/S2214-109X(15)70095-1","ISSN":"2214109X","PMID":"25772692","abstract":"Background: In China, there are more than 300 million male smokers. Tobacco taxation reduces smoking-related premature deaths and increases government revenues, but has been criticised for disproportionately affecting poorer people. We assess the distributional consequences (across different wealth quintiles) of a specific excise tax on cigarettes in China in terms of both financial and health outcomes. Methods: We use extended cost-effectiveness analysis methods to estimate, across income quintiles, the health benefits (years of life gained), the additional tax revenues raised, the net financial consequences for households, and the financial risk protection provided to households, that would be caused by a 50% increase in tobacco price through excise tax fully passed onto tobacco consumers. For our modelling analysis, we used plausible values for key parameters, including an average price elasticity of demand for tobacco of -0·38, which is assumed to vary from -0·64 in the poorest quintile to -0·12 in the richest, and we considered only the male population, which constitutes the overwhelming majority of smokers in China. Findings: Our modelling analysis showed that a 50% increase in tobacco price through excise tax would lead to 231 million years of life gained (95% uncertainty range 194-268 million) over 50 years (a third of which would be gained in the lowest income quintile), a gain of US$703 billion ($616-781 billion) of additional tax revenues from the excise tax (14% of which would come from the lowest income quintile, compared with 24% from the highest income quintile). The excise tax would increase overall household expenditures on tobacco by $376 billion ($232-505 billion), but decrease these expenditures by $21 billion (-$83 to $5 billion) in the lowest income quintile, and would reduce expenditures on tobacco-related disease by $24·0 billion ($17·3-26·3 billion, 28% of which would benefit the lowest income quintile). Finally, it would provide financial risk protection worth $1·8 billion ($1·2-2·3 billion), mainly concentrated (74%) in the lowest income quintile. Interpretation: Increased tobacco taxation can be a pro-poor policy instrument that brings substantial health and financial benefits to households in China. Funding: Bill &amp; Melinda Gates Foundation and Dalla Lana School of Public Health.","author":[{"dropping-particle":"","family":"Verguet","given":"Stéphane","non-dropping-particle":"","parse-names":false,"suffix":""},{"dropping-particle":"","family":"Gauvreau","given":"Cindy L.","non-dropping-particle":"","parse-names":false,"suffix":""},{"dropping-particle":"","family":"Mishra","given":"Sujata","non-dropping-particle":"","parse-names":false,"suffix":""},{"dropping-particle":"","family":"MacLennan","given":"Mary","non-dropping-particle":"","parse-names":false,"suffix":""},{"dropping-particle":"","family":"Murphy","given":"Shane M.","non-dropping-particle":"","parse-names":false,"suffix":""},{"dropping-particle":"","family":"Brouwer","given":"Elizabeth D.","non-dropping-particle":"","parse-names":false,"suffix":""},{"dropping-particle":"","family":"Nugent","given":"Rachel A.","non-dropping-particle":"","parse-names":false,"suffix":""},{"dropping-particle":"","family":"Zhao","given":"Kun","non-dropping-particle":"","parse-names":false,"suffix":""},{"dropping-particle":"","family":"Jha","given":"Prabhat","non-dropping-particle":"","parse-names":false,"suffix":""},{"dropping-particle":"","family":"Jamison","given":"Dean T.","non-dropping-particle":"","parse-names":false,"suffix":""}],"container-title":"The Lancet Global Health","id":"ITEM-1","issue":"4","issued":{"date-parts":[["2015"]]},"page":"e206-e216","title":"The consequences of tobacco tax on household health and finances in rich and poor smokers in China: An extended cost-effectiveness analysis","type":"article-journal","volume":"3"},"uris":["http://www.mendeley.com/documents/?uuid=10d5396e-1fca-43df-a010-d13134e8f98b"]}],"mendeley":{"formattedCitation":"(Verguet, Gauvreau, et al., 2015)","manualFormatting":"Verguet et al. (2015b)","plainTextFormattedCitation":"(Verguet, Gauvreau, et al., 2015)","previouslyFormattedCitation":"(Verguet, Gauvreau, et al., 2015)"},"properties":{"noteIndex":0},"schema":"https://github.com/citation-style-language/schema/raw/master/csl-citation.json"}</w:instrText>
      </w:r>
      <w:r w:rsidR="00840BA3" w:rsidRPr="00F43C71">
        <w:rPr>
          <w:rFonts w:ascii="Times New Roman" w:hAnsi="Times New Roman" w:cs="Times New Roman"/>
          <w:sz w:val="24"/>
          <w:szCs w:val="24"/>
        </w:rPr>
        <w:fldChar w:fldCharType="separate"/>
      </w:r>
      <w:r w:rsidR="00840BA3" w:rsidRPr="00F43C71">
        <w:rPr>
          <w:rFonts w:ascii="Times New Roman" w:hAnsi="Times New Roman" w:cs="Times New Roman"/>
          <w:noProof/>
          <w:sz w:val="24"/>
          <w:szCs w:val="24"/>
        </w:rPr>
        <w:t>Verguet et al. (2015b)</w:t>
      </w:r>
      <w:r w:rsidR="00840BA3" w:rsidRPr="00F43C71">
        <w:rPr>
          <w:rFonts w:ascii="Times New Roman" w:hAnsi="Times New Roman" w:cs="Times New Roman"/>
          <w:sz w:val="24"/>
          <w:szCs w:val="24"/>
        </w:rPr>
        <w:fldChar w:fldCharType="end"/>
      </w:r>
      <w:r w:rsidR="00840BA3" w:rsidRPr="00F43C71">
        <w:rPr>
          <w:rFonts w:ascii="Times New Roman" w:hAnsi="Times New Roman" w:cs="Times New Roman"/>
          <w:sz w:val="24"/>
          <w:szCs w:val="24"/>
        </w:rPr>
        <w:t xml:space="preserve">, </w:t>
      </w:r>
      <w:r w:rsidR="00ED6F46" w:rsidRPr="00F43C71">
        <w:rPr>
          <w:rFonts w:ascii="Times New Roman" w:hAnsi="Times New Roman" w:cs="Times New Roman"/>
          <w:sz w:val="24"/>
          <w:szCs w:val="24"/>
        </w:rPr>
        <w:fldChar w:fldCharType="begin" w:fldLock="1"/>
      </w:r>
      <w:r w:rsidR="00ED6F46" w:rsidRPr="00F43C71">
        <w:rPr>
          <w:rFonts w:ascii="Times New Roman" w:hAnsi="Times New Roman" w:cs="Times New Roman"/>
          <w:sz w:val="24"/>
          <w:szCs w:val="24"/>
        </w:rPr>
        <w:instrText>ADDIN CSL_CITATION {"citationItems":[{"id":"ITEM-1","itemData":{"DOI":"10.1016/j.socscimed.2016.10.020","ISSN":"18735347","PMID":"27792922","abstract":"Tobacco use is a significant risk factor for the leading causes of death worldwide, including cancer, heart disease and stroke. Most of these deaths occur in low- and middle-income countries, where tobacco-related deaths are also rising rapidly. Taxation is one of the most effective tobacco control measures, yet evidence on the distributional impact of tobacco taxation in low- and middle-income countries remains scant. This paper considers the financial and health effects, by socio-economic class, of increasing tobacco taxes in Lebanon, a middle-income country. An Almost Ideal Demand System is used to estimate price elasticities of demand for tobacco products. Extended cost-effectiveness analysis (ECEA) methods are applied to quantify, across quintiles of socio-economic status, the health benefits gained, the additional tax revenues raised, and the net financial consequences for households from a 50% increase in the price of tobacco through excise taxes. We find that demand for tobacco is price inelastic with elasticities ranging from −0.32 for the poorest quintile to −0.22 for the richest quintile. The increase in tobacco tax is estimated to result in 65,000 (95% CI: 37,000–93,000) premature deaths averted, 25% of them in the poorest quintile, $300M ($256–340M) of additional tax revenues, 12% borne by the poorest quintile, $23M ($13–33M) of out-of-pocket spending on healthcare averted, 36% of which accrue to the poorest quintile, 9% to the richest. These savings would be associated with 23,000 (13,000–33,000) poverty cases averted (63% in the poorest quintile). Increasing tobacco taxes would lead to large financial and health benefits, and would be pro-poor in health gains, savings on healthcare, and poverty reduction.","author":[{"dropping-particle":"","family":"Salti","given":"Nisreen","non-dropping-particle":"","parse-names":false,"suffix":""},{"dropping-particle":"","family":"Brouwer","given":"Elizabeth","non-dropping-particle":"","parse-names":false,"suffix":""},{"dropping-particle":"","family":"Verguet","given":"Stéphane","non-dropping-particle":"","parse-names":false,"suffix":""}],"container-title":"Social Science and Medicine","id":"ITEM-1","issued":{"date-parts":[["2016"]]},"page":"161-169","title":"The health, financial and distributional consequences of increases in the tobacco excise tax among smokers in Lebanon","type":"article-journal","volume":"170"},"uris":["http://www.mendeley.com/documents/?uuid=0f3e5b71-bfb7-4586-9bb5-ddc2cf3b822d"]}],"mendeley":{"formattedCitation":"(Salti et al., 2016)","manualFormatting":"Salti et al. (2016)","plainTextFormattedCitation":"(Salti et al., 2016)","previouslyFormattedCitation":"(Salti et al., 2016)"},"properties":{"noteIndex":0},"schema":"https://github.com/citation-style-language/schema/raw/master/csl-citation.json"}</w:instrText>
      </w:r>
      <w:r w:rsidR="00ED6F46" w:rsidRPr="00F43C71">
        <w:rPr>
          <w:rFonts w:ascii="Times New Roman" w:hAnsi="Times New Roman" w:cs="Times New Roman"/>
          <w:sz w:val="24"/>
          <w:szCs w:val="24"/>
        </w:rPr>
        <w:fldChar w:fldCharType="separate"/>
      </w:r>
      <w:r w:rsidR="00ED6F46" w:rsidRPr="00F43C71">
        <w:rPr>
          <w:rFonts w:ascii="Times New Roman" w:hAnsi="Times New Roman" w:cs="Times New Roman"/>
          <w:noProof/>
          <w:sz w:val="24"/>
          <w:szCs w:val="24"/>
        </w:rPr>
        <w:t>Salti et al. (2016)</w:t>
      </w:r>
      <w:r w:rsidR="00ED6F46" w:rsidRPr="00F43C71">
        <w:rPr>
          <w:rFonts w:ascii="Times New Roman" w:hAnsi="Times New Roman" w:cs="Times New Roman"/>
          <w:sz w:val="24"/>
          <w:szCs w:val="24"/>
        </w:rPr>
        <w:fldChar w:fldCharType="end"/>
      </w:r>
      <w:r w:rsidR="00ED6F46" w:rsidRPr="00F43C71">
        <w:rPr>
          <w:rFonts w:ascii="Times New Roman" w:hAnsi="Times New Roman" w:cs="Times New Roman"/>
          <w:sz w:val="24"/>
          <w:szCs w:val="24"/>
        </w:rPr>
        <w:t xml:space="preserve">, </w:t>
      </w:r>
      <w:r w:rsidR="00ED6F46" w:rsidRPr="00F43C71">
        <w:rPr>
          <w:rFonts w:ascii="Times New Roman" w:hAnsi="Times New Roman" w:cs="Times New Roman"/>
          <w:sz w:val="24"/>
          <w:szCs w:val="24"/>
        </w:rPr>
        <w:fldChar w:fldCharType="begin" w:fldLock="1"/>
      </w:r>
      <w:r w:rsidR="00ED6F46" w:rsidRPr="00F43C71">
        <w:rPr>
          <w:rFonts w:ascii="Times New Roman" w:hAnsi="Times New Roman" w:cs="Times New Roman"/>
          <w:sz w:val="24"/>
          <w:szCs w:val="24"/>
        </w:rPr>
        <w:instrText>ADDIN CSL_CITATION {"citationItems":[{"id":"ITEM-1","itemData":{"DOI":"10.7189/jogh.07.020701","ISSN":"20472986","PMID":"29188029","abstract":"Background Tobacco taxation and smoke-free workplaces reduce smoking, tobacco-related premature deaths and associated out-of- pocket health care expenditures. We examine the distributional consequences of a price increase in tobacco products through an excise tax hike, and of an implementation of smoke-free workplaces, in China. Methods We use extended cost-effectiveness analysis (ECEA) to evaluate, across income quintiles of the male population (the large majority of Chinese smokers), the premature deaths averted, the change in tax revenues generated, and the financial risk protection procured (eg, poverty cases averted, defined as the number of individuals no longer facing tobacco-related out-of-pocket expenditures for disease treatment, that would otherwise impoverish them), that would follow a 75% increase in cigarette prices through substantial increments in excise tax fully passed onto consumers, and a nationwide total implementation of workplace smoking bans. Results A 75% increase in cigarette prices would avert about 24 million premature deaths among the current Chinese male population, with a third among the bottom income quintile, increase additional tax revenues by US$ 46 billion annually, and prevent around 9 million poverty cases, 19% of which among the bottom income quintile. Implementation of smoking bans in workplaces would avert about 12 million premature deaths, with a fifth among the bottom income quintile, decrease tax revenues by US$ 7 billion annually, and prevent around 4 million poverty cases, 12% of which among the bottom income quintile. Conclusions Increased excise taxes on tobacco products and workplace smoking bans can procure large health and economic benefits to the Chinese population, especially among the poor.","author":[{"dropping-particle":"","family":"Verguet","given":"Stéphane","non-dropping-particle":"","parse-names":false,"suffix":""},{"dropping-particle":"","family":"Tarr","given":"Gillian","non-dropping-particle":"","parse-names":false,"suffix":""},{"dropping-particle":"","family":"Gauvreau","given":"Cindy L.","non-dropping-particle":"","parse-names":false,"suffix":""},{"dropping-particle":"","family":"Mishra","given":"Sujata","non-dropping-particle":"","parse-names":false,"suffix":""},{"dropping-particle":"","family":"Jha","given":"Prabhat","non-dropping-particle":"","parse-names":false,"suffix":""},{"dropping-particle":"","family":"Liu","given":"Lingrui","non-dropping-particle":"","parse-names":false,"suffix":""},{"dropping-particle":"","family":"Xiao","given":"Yue","non-dropping-particle":"","parse-names":false,"suffix":""},{"dropping-particle":"","family":"Qiu","given":"Yingpeng","non-dropping-particle":"","parse-names":false,"suffix":""},{"dropping-particle":"","family":"Zhao","given":"Kun","non-dropping-particle":"","parse-names":false,"suffix":""}],"container-title":"Journal of Global Health","id":"ITEM-1","issue":"2","issued":{"date-parts":[["2017"]]},"page":"1-13","title":"Distributional benefits of tobacco tax and smoke-free workplaces in China: A modeling study","type":"article-journal","volume":"7"},"uris":["http://www.mendeley.com/documents/?uuid=bac6c289-81f1-42c3-9637-5c6f9ddaa6ec"]}],"mendeley":{"formattedCitation":"(Verguet et al., 2017)","manualFormatting":"Verguet et al. (2017)","plainTextFormattedCitation":"(Verguet et al., 2017)","previouslyFormattedCitation":"(Verguet et al., 2017)"},"properties":{"noteIndex":0},"schema":"https://github.com/citation-style-language/schema/raw/master/csl-citation.json"}</w:instrText>
      </w:r>
      <w:r w:rsidR="00ED6F46" w:rsidRPr="00F43C71">
        <w:rPr>
          <w:rFonts w:ascii="Times New Roman" w:hAnsi="Times New Roman" w:cs="Times New Roman"/>
          <w:sz w:val="24"/>
          <w:szCs w:val="24"/>
        </w:rPr>
        <w:fldChar w:fldCharType="separate"/>
      </w:r>
      <w:r w:rsidR="00ED6F46" w:rsidRPr="00F43C71">
        <w:rPr>
          <w:rFonts w:ascii="Times New Roman" w:hAnsi="Times New Roman" w:cs="Times New Roman"/>
          <w:noProof/>
          <w:sz w:val="24"/>
          <w:szCs w:val="24"/>
        </w:rPr>
        <w:t>Verguet et al. (2017)</w:t>
      </w:r>
      <w:r w:rsidR="00ED6F46" w:rsidRPr="00F43C71">
        <w:rPr>
          <w:rFonts w:ascii="Times New Roman" w:hAnsi="Times New Roman" w:cs="Times New Roman"/>
          <w:sz w:val="24"/>
          <w:szCs w:val="24"/>
        </w:rPr>
        <w:fldChar w:fldCharType="end"/>
      </w:r>
      <w:r w:rsidR="00ED6F46" w:rsidRPr="00F43C71">
        <w:rPr>
          <w:rFonts w:ascii="Times New Roman" w:hAnsi="Times New Roman" w:cs="Times New Roman"/>
          <w:sz w:val="24"/>
          <w:szCs w:val="24"/>
        </w:rPr>
        <w:t xml:space="preserve">, </w:t>
      </w:r>
      <w:r w:rsidR="00ED6F46" w:rsidRPr="00F43C71">
        <w:rPr>
          <w:rFonts w:ascii="Times New Roman" w:hAnsi="Times New Roman" w:cs="Times New Roman"/>
          <w:sz w:val="24"/>
          <w:szCs w:val="24"/>
        </w:rPr>
        <w:fldChar w:fldCharType="begin" w:fldLock="1"/>
      </w:r>
      <w:r w:rsidR="00ED6F46" w:rsidRPr="00F43C71">
        <w:rPr>
          <w:rFonts w:ascii="Times New Roman" w:hAnsi="Times New Roman" w:cs="Times New Roman"/>
          <w:sz w:val="24"/>
          <w:szCs w:val="24"/>
        </w:rPr>
        <w:instrText>ADDIN CSL_CITATION {"citationItems":[{"id":"ITEM-1","itemData":{"DOI":"10.1080/23288604.2017.1413494","author":[{"dropping-particle":"","family":"Postolovska","given":"Iryna","non-dropping-particle":"","parse-names":false,"suffix":""},{"dropping-particle":"","family":"Lavado","given":"Rouselle","non-dropping-particle":"","parse-names":false,"suffix":""},{"dropping-particle":"","family":"Tarr","given":"Gillian","non-dropping-particle":"","parse-names":false,"suffix":""},{"dropping-particle":"","family":"Verguet","given":"Stéphane","non-dropping-particle":"","parse-names":false,"suffix":""},{"dropping-particle":"","family":"Iryna","given":"Francis","non-dropping-particle":"","parse-names":false,"suffix":""},{"dropping-particle":"","family":"Postolovska","given":"Iryna","non-dropping-particle":"","parse-names":false,"suffix":""},{"dropping-particle":"","family":"Lavado","given":"Rouselle","non-dropping-particle":"","parse-names":false,"suffix":""},{"dropping-particle":"","family":"Tarr","given":"Gillian","non-dropping-particle":"","parse-names":false,"suffix":""}],"id":"ITEM-1","issued":{"date-parts":[["2018"]]},"title":"The Health Gains , Financial Risk Protection Benefits , and Distributional Impact of Increased Tobacco Taxes in Armenia The Health Gains , Financial Risk Protection Benefits , and Distributional Impact of Increased Tobacco Taxes in Armenia","type":"article-journal","volume":"8604"},"uris":["http://www.mendeley.com/documents/?uuid=e49b6d89-8a31-4674-9477-d2323605a0de"]}],"mendeley":{"formattedCitation":"(Postolovska et al., 2018)","manualFormatting":"Postolovska et al. (2018)","plainTextFormattedCitation":"(Postolovska et al., 2018)","previouslyFormattedCitation":"(Postolovska et al., 2018)"},"properties":{"noteIndex":0},"schema":"https://github.com/citation-style-language/schema/raw/master/csl-citation.json"}</w:instrText>
      </w:r>
      <w:r w:rsidR="00ED6F46" w:rsidRPr="00F43C71">
        <w:rPr>
          <w:rFonts w:ascii="Times New Roman" w:hAnsi="Times New Roman" w:cs="Times New Roman"/>
          <w:sz w:val="24"/>
          <w:szCs w:val="24"/>
        </w:rPr>
        <w:fldChar w:fldCharType="separate"/>
      </w:r>
      <w:r w:rsidR="00ED6F46" w:rsidRPr="00F43C71">
        <w:rPr>
          <w:rFonts w:ascii="Times New Roman" w:hAnsi="Times New Roman" w:cs="Times New Roman"/>
          <w:noProof/>
          <w:sz w:val="24"/>
          <w:szCs w:val="24"/>
        </w:rPr>
        <w:t>Postolovska et al. (2018)</w:t>
      </w:r>
      <w:r w:rsidR="00ED6F46" w:rsidRPr="00F43C71">
        <w:rPr>
          <w:rFonts w:ascii="Times New Roman" w:hAnsi="Times New Roman" w:cs="Times New Roman"/>
          <w:sz w:val="24"/>
          <w:szCs w:val="24"/>
        </w:rPr>
        <w:fldChar w:fldCharType="end"/>
      </w:r>
      <w:r w:rsidR="00ED6F46" w:rsidRPr="00F43C71">
        <w:rPr>
          <w:rFonts w:ascii="Times New Roman" w:hAnsi="Times New Roman" w:cs="Times New Roman"/>
          <w:sz w:val="24"/>
          <w:szCs w:val="24"/>
        </w:rPr>
        <w:t>, and</w:t>
      </w:r>
      <w:r w:rsidR="00063E3B" w:rsidRPr="00F43C71">
        <w:rPr>
          <w:rFonts w:ascii="Times New Roman" w:hAnsi="Times New Roman" w:cs="Times New Roman"/>
          <w:sz w:val="24"/>
          <w:szCs w:val="24"/>
        </w:rPr>
        <w:t xml:space="preserve"> </w:t>
      </w:r>
      <w:r w:rsidR="00063E3B" w:rsidRPr="00F43C71">
        <w:rPr>
          <w:rFonts w:ascii="Times New Roman" w:hAnsi="Times New Roman" w:cs="Times New Roman"/>
          <w:sz w:val="24"/>
          <w:szCs w:val="24"/>
        </w:rPr>
        <w:fldChar w:fldCharType="begin" w:fldLock="1"/>
      </w:r>
      <w:r w:rsidR="00063E3B" w:rsidRPr="00F43C71">
        <w:rPr>
          <w:rFonts w:ascii="Times New Roman" w:hAnsi="Times New Roman" w:cs="Times New Roman"/>
          <w:sz w:val="24"/>
          <w:szCs w:val="24"/>
        </w:rPr>
        <w:instrText>ADDIN CSL_CITATION {"citationItems":[{"id":"ITEM-1","itemData":{"DOI":"10.12688/gatesopenres.13127.1","ISSN":"25724754","abstract":"Background: In India, about one million deaths occur every year due to smoking. Tobacco taxation is the most effective intervention in reducing smoking. In this paper, we examine the impact of a one-time large cigarette price increase, through an increase in excise tax, on health and financing outcomes in four Indian states. Methods: We used extended cost-effectiveness analysis to estimate, across income quintiles, the life-years gained, treatment cost averted, number of men avoiding catastrophic health expenditures and extreme poverty, additional tax revenue collected, and savings to the Ayushman Bharat Pradhan Mantri Jan Arogya Yojana (AB-PMJAY) with a cigarette price increase to Indian Rupees (INR) 10 plus 10% ad valorem in four Indian states. Results: With the price increase, about 1.5 million men would quit smoking across the four states, with the bottom income group having 7.4 times as many quitters as the top income group (485,725 vs 65,762). As a result of quitting, about 665,000 deaths would be averted. This would yield about 11.9 million life-years, with the bottom income group gaining 7.3 times more than the top income group. Of the INR 1,729 crore in treatment cost averted, the bottom income group would avert 7.4 times more than the top income group. About 454,000 men would avoid catastrophic health expenditures and 75,000 men would avoid falling into extreme poverty. The treatment cost and impoverishment averted would save about INR 672 crore in AB-PMJAY. The tax increase would in turn, generate an additional tax revenue of about INR 4,385 crore. In contrast to the distribution of health benefits, the extra revenue generated from the top income group would be about 3.1 times that from the bottom income group. Conclusions: Cigarette tax increase can provide significant health and economic gains and is a pro-poor policy for India.","author":[{"dropping-particle":"","family":"Jha","given":"Prabhat","non-dropping-particle":"","parse-names":false,"suffix":""},{"dropping-particle":"","family":"Wu","given":"Daphne C.","non-dropping-particle":"","parse-names":false,"suffix":""},{"dropping-particle":"","family":"Sheel","given":"Vikas","non-dropping-particle":"","parse-names":false,"suffix":""},{"dropping-particle":"","family":"Gupta","given":"Pooja","non-dropping-particle":"","parse-names":false,"suffix":""},{"dropping-particle":"","family":"Essue","given":"Beverley M.","non-dropping-particle":"","parse-names":false,"suffix":""},{"dropping-particle":"","family":"Luong","given":"Linh","non-dropping-particle":"","parse-names":false,"suffix":""}],"container-title":"Gates Open Research","id":"ITEM-1","issued":{"date-parts":[["2020"]]},"page":"1-18","title":"Impact of cigarette tax increase on health and financing outcomes in four Indian states","type":"article-journal","volume":"4"},"uris":["http://www.mendeley.com/documents/?uuid=12a92d80-32c8-403b-9453-a5e8d273f5d2"]}],"mendeley":{"formattedCitation":"(Jha et al., 2020)","manualFormatting":"Wu et al. (2020)","plainTextFormattedCitation":"(Jha et al., 2020)","previouslyFormattedCitation":"(Jha et al., 2020)"},"properties":{"noteIndex":0},"schema":"https://github.com/citation-style-language/schema/raw/master/csl-citation.json"}</w:instrText>
      </w:r>
      <w:r w:rsidR="00063E3B" w:rsidRPr="00F43C71">
        <w:rPr>
          <w:rFonts w:ascii="Times New Roman" w:hAnsi="Times New Roman" w:cs="Times New Roman"/>
          <w:sz w:val="24"/>
          <w:szCs w:val="24"/>
        </w:rPr>
        <w:fldChar w:fldCharType="separate"/>
      </w:r>
      <w:r w:rsidR="00063E3B" w:rsidRPr="00F43C71">
        <w:rPr>
          <w:rFonts w:ascii="Times New Roman" w:hAnsi="Times New Roman" w:cs="Times New Roman"/>
          <w:noProof/>
          <w:sz w:val="24"/>
          <w:szCs w:val="24"/>
        </w:rPr>
        <w:t>Wu et al. (2020)</w:t>
      </w:r>
      <w:r w:rsidR="00063E3B" w:rsidRPr="00F43C71">
        <w:rPr>
          <w:rFonts w:ascii="Times New Roman" w:hAnsi="Times New Roman" w:cs="Times New Roman"/>
          <w:sz w:val="24"/>
          <w:szCs w:val="24"/>
        </w:rPr>
        <w:fldChar w:fldCharType="end"/>
      </w:r>
      <w:r w:rsidR="00584788" w:rsidRPr="00B6612E">
        <w:rPr>
          <w:rFonts w:ascii="Times New Roman" w:hAnsi="Times New Roman" w:cs="Times New Roman"/>
          <w:sz w:val="24"/>
          <w:szCs w:val="24"/>
        </w:rPr>
        <w:t xml:space="preserve"> </w:t>
      </w:r>
      <w:r w:rsidR="00063E3B" w:rsidRPr="00B6612E">
        <w:rPr>
          <w:rFonts w:ascii="Times New Roman" w:hAnsi="Times New Roman" w:cs="Times New Roman"/>
          <w:sz w:val="24"/>
          <w:szCs w:val="24"/>
        </w:rPr>
        <w:t xml:space="preserve">assessed </w:t>
      </w:r>
      <w:r w:rsidR="005872F3" w:rsidRPr="00B6612E">
        <w:rPr>
          <w:rFonts w:ascii="Times New Roman" w:hAnsi="Times New Roman" w:cs="Times New Roman"/>
          <w:sz w:val="24"/>
          <w:szCs w:val="24"/>
        </w:rPr>
        <w:t xml:space="preserve">the health and non-health consequences of </w:t>
      </w:r>
      <w:r w:rsidR="00063E3B" w:rsidRPr="00B6612E">
        <w:rPr>
          <w:rFonts w:ascii="Times New Roman" w:hAnsi="Times New Roman" w:cs="Times New Roman"/>
          <w:sz w:val="24"/>
          <w:szCs w:val="24"/>
        </w:rPr>
        <w:t>an excise tax intervention</w:t>
      </w:r>
      <w:r w:rsidR="009F0C05">
        <w:rPr>
          <w:rFonts w:ascii="Times New Roman" w:hAnsi="Times New Roman" w:cs="Times New Roman"/>
          <w:sz w:val="24"/>
          <w:szCs w:val="24"/>
        </w:rPr>
        <w:t xml:space="preserve"> (25%)</w:t>
      </w:r>
      <w:r w:rsidR="00063E3B" w:rsidRPr="00B6612E">
        <w:rPr>
          <w:rFonts w:ascii="Times New Roman" w:hAnsi="Times New Roman" w:cs="Times New Roman"/>
          <w:sz w:val="24"/>
          <w:szCs w:val="24"/>
        </w:rPr>
        <w:t xml:space="preserve"> on tobacco/cigarette</w:t>
      </w:r>
      <w:r w:rsidR="005872F3" w:rsidRPr="00B6612E">
        <w:rPr>
          <w:rFonts w:ascii="Times New Roman" w:hAnsi="Times New Roman" w:cs="Times New Roman"/>
          <w:sz w:val="24"/>
          <w:szCs w:val="24"/>
        </w:rPr>
        <w:t>.</w:t>
      </w:r>
      <w:r w:rsidR="00063E3B" w:rsidRPr="00B6612E">
        <w:rPr>
          <w:rFonts w:ascii="Times New Roman" w:hAnsi="Times New Roman" w:cs="Times New Roman"/>
          <w:sz w:val="24"/>
          <w:szCs w:val="24"/>
        </w:rPr>
        <w:t xml:space="preserve"> </w:t>
      </w:r>
      <w:r w:rsidR="00063E3B" w:rsidRPr="00B6612E">
        <w:rPr>
          <w:rFonts w:ascii="Times New Roman" w:hAnsi="Times New Roman" w:cs="Times New Roman"/>
          <w:sz w:val="24"/>
          <w:szCs w:val="24"/>
        </w:rPr>
        <w:fldChar w:fldCharType="begin" w:fldLock="1"/>
      </w:r>
      <w:r w:rsidR="009618C1" w:rsidRPr="00B6612E">
        <w:rPr>
          <w:rFonts w:ascii="Times New Roman" w:hAnsi="Times New Roman" w:cs="Times New Roman"/>
          <w:sz w:val="24"/>
          <w:szCs w:val="24"/>
        </w:rPr>
        <w:instrText>ADDIN CSL_CITATION {"citationItems":[{"id":"ITEM-1","itemData":{"DOI":"10.2471/BLT.18.219980","ISSN":"15640604","PMID":"30728616","abstract":"Objective To assess the potential impact of a new tax on sweetened beverages on premature deaths associated with noncommunicable diseases in the Philippines. Methods In January 2018, the Philippines began imposing a tax of 6 Philippine pesos per litre (around 13%) on sweetened beverages to curb the obesity burden. Using national data sources, we conducted an extended cost–effectiveness analysis to estimate the effect of the tax on the numbers of premature deaths averted attributed to type 2 diabetes mellitus, ischaemic heart disease and stroke, across income quintiles over the period 2018–2037. We also estimated the financial benefits of the tax from reductions in out-of-pocket payments, direct medical costs averted and government health-care cost savings. Findings The tax could avert an estimated 5913 deaths related to diabetes, 10 339 deaths from ischaemic heart disease and 7950 deaths from stroke over 20 years. The largest number of deaths averted could be among the fourth and fifth (highest) income quintiles. The tax could generate total health-care savings of 31.6 billion Philippine pesos (627 million United States dollars, US$) over 20 years, and raise 41.0 billion Philippine pesos (US$ 813 million) in revenue per annum. The poorest quintile could bear the smallest tax burden increase (14% of the additional tax; 5.6 billion Philippine pesos) and have the lowest savings in out-of-pocket payments due to relatively large health-care subsidies. Finally, we estimated that 13 890 cases of catastrophic expenditure could be averted. Conclusion The new sweetened beverage tax may help to reduce obesity-related premature deaths and improve financial well-being in the Philippines.","author":[{"dropping-particle":"","family":"Saxena","given":"Akshar","non-dropping-particle":"","parse-names":false,"suffix":""},{"dropping-particle":"","family":"Koon","given":"Adam D.","non-dropping-particle":"","parse-names":false,"suffix":""},{"dropping-particle":"","family":"Lagrada-Rombaua","given":"Leizel","non-dropping-particle":"","parse-names":false,"suffix":""},{"dropping-particle":"","family":"Angeles-Agdeppa","given":"Imelda","non-dropping-particle":"","parse-names":false,"suffix":""},{"dropping-particle":"","family":"Johns","given":"Benjamin","non-dropping-particle":"","parse-names":false,"suffix":""},{"dropping-particle":"","family":"Capanzana","given":"Mario","non-dropping-particle":"","parse-names":false,"suffix":""}],"container-title":"Bulletin of the World Health Organization","id":"ITEM-1","issue":"2","issued":{"date-parts":[["2019"]]},"page":"97-107","title":"Modelling the impact of a tax on sweetened beverages in the Philippines: An extended cost–effectiveness analysis","type":"article-journal","volume":"97"},"uris":["http://www.mendeley.com/documents/?uuid=fae87f9a-2e00-4d1f-87db-e50907c03be1"]}],"mendeley":{"formattedCitation":"(Saxena, Koon, et al., 2019)","manualFormatting":"Saxena et al. (2019a)","plainTextFormattedCitation":"(Saxena, Koon, et al., 2019)","previouslyFormattedCitation":"(Saxena, Koon, et al., 2019)"},"properties":{"noteIndex":0},"schema":"https://github.com/citation-style-language/schema/raw/master/csl-citation.json"}</w:instrText>
      </w:r>
      <w:r w:rsidR="00063E3B" w:rsidRPr="00B6612E">
        <w:rPr>
          <w:rFonts w:ascii="Times New Roman" w:hAnsi="Times New Roman" w:cs="Times New Roman"/>
          <w:sz w:val="24"/>
          <w:szCs w:val="24"/>
        </w:rPr>
        <w:fldChar w:fldCharType="separate"/>
      </w:r>
      <w:r w:rsidR="00063E3B" w:rsidRPr="00B6612E">
        <w:rPr>
          <w:rFonts w:ascii="Times New Roman" w:hAnsi="Times New Roman" w:cs="Times New Roman"/>
          <w:noProof/>
          <w:sz w:val="24"/>
          <w:szCs w:val="24"/>
        </w:rPr>
        <w:t>Saxena et al. (2019</w:t>
      </w:r>
      <w:r w:rsidR="009618C1" w:rsidRPr="00B6612E">
        <w:rPr>
          <w:rFonts w:ascii="Times New Roman" w:hAnsi="Times New Roman" w:cs="Times New Roman"/>
          <w:noProof/>
          <w:sz w:val="24"/>
          <w:szCs w:val="24"/>
        </w:rPr>
        <w:t>a</w:t>
      </w:r>
      <w:r w:rsidR="00063E3B" w:rsidRPr="00B6612E">
        <w:rPr>
          <w:rFonts w:ascii="Times New Roman" w:hAnsi="Times New Roman" w:cs="Times New Roman"/>
          <w:noProof/>
          <w:sz w:val="24"/>
          <w:szCs w:val="24"/>
        </w:rPr>
        <w:t>)</w:t>
      </w:r>
      <w:r w:rsidR="00063E3B" w:rsidRPr="00B6612E">
        <w:rPr>
          <w:rFonts w:ascii="Times New Roman" w:hAnsi="Times New Roman" w:cs="Times New Roman"/>
          <w:sz w:val="24"/>
          <w:szCs w:val="24"/>
        </w:rPr>
        <w:fldChar w:fldCharType="end"/>
      </w:r>
      <w:r w:rsidR="00ED6F46" w:rsidRPr="00B6612E">
        <w:rPr>
          <w:rFonts w:ascii="Times New Roman" w:hAnsi="Times New Roman" w:cs="Times New Roman"/>
          <w:sz w:val="24"/>
          <w:szCs w:val="24"/>
        </w:rPr>
        <w:t>,</w:t>
      </w:r>
      <w:r w:rsidR="002E00C7">
        <w:rPr>
          <w:rFonts w:ascii="Times New Roman" w:hAnsi="Times New Roman" w:cs="Times New Roman"/>
          <w:sz w:val="24"/>
          <w:szCs w:val="24"/>
        </w:rPr>
        <w:t xml:space="preserve"> and</w:t>
      </w:r>
      <w:r w:rsidR="00063E3B" w:rsidRPr="00B6612E">
        <w:rPr>
          <w:rFonts w:ascii="Times New Roman" w:hAnsi="Times New Roman" w:cs="Times New Roman"/>
          <w:sz w:val="24"/>
          <w:szCs w:val="24"/>
        </w:rPr>
        <w:t xml:space="preserve"> </w:t>
      </w:r>
      <w:r w:rsidR="00063E3B" w:rsidRPr="00B6612E">
        <w:rPr>
          <w:rFonts w:ascii="Times New Roman" w:hAnsi="Times New Roman" w:cs="Times New Roman"/>
          <w:sz w:val="24"/>
          <w:szCs w:val="24"/>
        </w:rPr>
        <w:fldChar w:fldCharType="begin" w:fldLock="1"/>
      </w:r>
      <w:r w:rsidR="0035017E" w:rsidRPr="00B6612E">
        <w:rPr>
          <w:rFonts w:ascii="Times New Roman" w:hAnsi="Times New Roman" w:cs="Times New Roman"/>
          <w:sz w:val="24"/>
          <w:szCs w:val="24"/>
        </w:rPr>
        <w:instrText>ADDIN CSL_CITATION {"citationItems":[{"id":"ITEM-1","itemData":{"DOI":"10.1136/bmjgh-2018-001317","ISSN":"20597908","abstract":"Background Facing increasing obesity prevalence and obesity-related disease burden, South Africa has devised an obesity prevention strategy that includes a recently implemented tax on the sugar content of sugar-sweetened beverages (SSB). We assess the potential distributional impact (across socioeconomic groups) of this tax on type 2 diabetes mellitus (T2DM) incidence and associated mortality and its financial burden on households. Methods We conducted an extended cost-effectiveness analysis of the new 10% tax on SSBs in South Africa, and estimated: the averted premature deaths related to T2DM, the financial benefits to households (out-of-pocket (OOP) medical costs and indirect costs due to productivity losses averted), the increased government tax revenues and healthcare savings for the government, all across income quintiles. Findings A 10% SSB tax increase would avert an estimated 8000 T2DM-related premature deaths over 20 years, with most deaths averted among the third and fourth income quintiles. The government would save about South African rand (ZAR) 2 billion (US$140 million) in subsidised healthcare over 20 years; and would raise ZAR6 billion (US$450 million) in tax revenues per annum. The bottom two quintiles would bear the smallest tax burden increase (36% of the additional taxes). The bottom two income quintiles would also have the lowest savings in OOP payments due to significant subsidisation provided by government healthcare. Lastly, an estimated 32 000 T2DM-related cases of catastrophic expenditures and 12 000 cases of poverty would be averted. Conclusions SSB taxation would have a substantial distributional impact on obesity-related premature deaths, cost savings to the government and the financial outcomes of South Africa's population.","author":[{"dropping-particle":"","family":"Saxena","given":"Akshar","non-dropping-particle":"","parse-names":false,"suffix":""},{"dropping-particle":"","family":"Stacey","given":"Nicholas","non-dropping-particle":"","parse-names":false,"suffix":""},{"dropping-particle":"","family":"Puech","given":"Paula Del Ray","non-dropping-particle":"","parse-names":false,"suffix":""},{"dropping-particle":"","family":"Mudara","given":"Caroline","non-dropping-particle":"","parse-names":false,"suffix":""},{"dropping-particle":"","family":"Hofman","given":"Karen","non-dropping-particle":"","parse-names":false,"suffix":""},{"dropping-particle":"","family":"Verguet","given":"Stéphane","non-dropping-particle":"","parse-names":false,"suffix":""}],"container-title":"BMJ Global Health","id":"ITEM-1","issue":"4","issued":{"date-parts":[["2019"]]},"title":"The distributional impact of taxing sugar-sweetened beverages: Findings from an extended cost-effectiveness analysis in South Africa","type":"article-journal","volume":"4"},"uris":["http://www.mendeley.com/documents/?uuid=3ecf6f16-a865-4bea-9b2e-9c30ad261808"]}],"mendeley":{"formattedCitation":"(Saxena, Stacey, et al., 2019)","manualFormatting":"Saxena et al. (2019b)","plainTextFormattedCitation":"(Saxena, Stacey, et al., 2019)","previouslyFormattedCitation":"(Saxena, Stacey, et al., 2019)"},"properties":{"noteIndex":0},"schema":"https://github.com/citation-style-language/schema/raw/master/csl-citation.json"}</w:instrText>
      </w:r>
      <w:r w:rsidR="00063E3B" w:rsidRPr="00B6612E">
        <w:rPr>
          <w:rFonts w:ascii="Times New Roman" w:hAnsi="Times New Roman" w:cs="Times New Roman"/>
          <w:sz w:val="24"/>
          <w:szCs w:val="24"/>
        </w:rPr>
        <w:fldChar w:fldCharType="separate"/>
      </w:r>
      <w:r w:rsidR="00063E3B" w:rsidRPr="00B6612E">
        <w:rPr>
          <w:rFonts w:ascii="Times New Roman" w:hAnsi="Times New Roman" w:cs="Times New Roman"/>
          <w:noProof/>
          <w:sz w:val="24"/>
          <w:szCs w:val="24"/>
        </w:rPr>
        <w:t>Saxena et al. (2019</w:t>
      </w:r>
      <w:r w:rsidR="009618C1" w:rsidRPr="00B6612E">
        <w:rPr>
          <w:rFonts w:ascii="Times New Roman" w:hAnsi="Times New Roman" w:cs="Times New Roman"/>
          <w:noProof/>
          <w:sz w:val="24"/>
          <w:szCs w:val="24"/>
        </w:rPr>
        <w:t>b</w:t>
      </w:r>
      <w:r w:rsidR="00063E3B" w:rsidRPr="00B6612E">
        <w:rPr>
          <w:rFonts w:ascii="Times New Roman" w:hAnsi="Times New Roman" w:cs="Times New Roman"/>
          <w:noProof/>
          <w:sz w:val="24"/>
          <w:szCs w:val="24"/>
        </w:rPr>
        <w:t>)</w:t>
      </w:r>
      <w:r w:rsidR="00063E3B" w:rsidRPr="00B6612E">
        <w:rPr>
          <w:rFonts w:ascii="Times New Roman" w:hAnsi="Times New Roman" w:cs="Times New Roman"/>
          <w:sz w:val="24"/>
          <w:szCs w:val="24"/>
        </w:rPr>
        <w:fldChar w:fldCharType="end"/>
      </w:r>
      <w:r w:rsidR="00063E3B" w:rsidRPr="00B6612E">
        <w:rPr>
          <w:rFonts w:ascii="Times New Roman" w:hAnsi="Times New Roman" w:cs="Times New Roman"/>
          <w:sz w:val="24"/>
          <w:szCs w:val="24"/>
        </w:rPr>
        <w:t>, assessed</w:t>
      </w:r>
      <w:r w:rsidR="00BD1948" w:rsidRPr="00B6612E">
        <w:rPr>
          <w:rFonts w:ascii="Times New Roman" w:hAnsi="Times New Roman" w:cs="Times New Roman"/>
          <w:sz w:val="24"/>
          <w:szCs w:val="24"/>
        </w:rPr>
        <w:t xml:space="preserve"> the </w:t>
      </w:r>
      <w:r w:rsidR="0008189D" w:rsidRPr="00B6612E">
        <w:rPr>
          <w:rFonts w:ascii="Times New Roman" w:hAnsi="Times New Roman" w:cs="Times New Roman"/>
          <w:sz w:val="24"/>
          <w:szCs w:val="24"/>
        </w:rPr>
        <w:t>impact</w:t>
      </w:r>
      <w:r w:rsidR="00BD1948" w:rsidRPr="00B6612E">
        <w:rPr>
          <w:rFonts w:ascii="Times New Roman" w:hAnsi="Times New Roman" w:cs="Times New Roman"/>
          <w:sz w:val="24"/>
          <w:szCs w:val="24"/>
        </w:rPr>
        <w:t xml:space="preserve"> of</w:t>
      </w:r>
      <w:r w:rsidR="00063E3B" w:rsidRPr="00B6612E">
        <w:rPr>
          <w:rFonts w:ascii="Times New Roman" w:hAnsi="Times New Roman" w:cs="Times New Roman"/>
          <w:sz w:val="24"/>
          <w:szCs w:val="24"/>
        </w:rPr>
        <w:t xml:space="preserve"> a tax intervention on sugar-sweetened beverages</w:t>
      </w:r>
      <w:r w:rsidR="009F0C05">
        <w:rPr>
          <w:rFonts w:ascii="Times New Roman" w:hAnsi="Times New Roman" w:cs="Times New Roman"/>
          <w:sz w:val="24"/>
          <w:szCs w:val="24"/>
        </w:rPr>
        <w:t xml:space="preserve"> (10%)</w:t>
      </w:r>
      <w:r w:rsidR="00584788" w:rsidRPr="00B6612E">
        <w:rPr>
          <w:rFonts w:ascii="Times New Roman" w:hAnsi="Times New Roman" w:cs="Times New Roman"/>
          <w:sz w:val="24"/>
          <w:szCs w:val="24"/>
        </w:rPr>
        <w:t>.</w:t>
      </w:r>
      <w:r w:rsidR="00F778AA">
        <w:rPr>
          <w:rFonts w:ascii="Times New Roman" w:hAnsi="Times New Roman" w:cs="Times New Roman"/>
          <w:sz w:val="24"/>
          <w:szCs w:val="24"/>
        </w:rPr>
        <w:t xml:space="preserve"> </w:t>
      </w:r>
    </w:p>
    <w:p w14:paraId="72F99A7F" w14:textId="3702A37B" w:rsidR="0017552A" w:rsidRPr="004605E2" w:rsidRDefault="008F514B" w:rsidP="00BB0D75">
      <w:pPr>
        <w:spacing w:line="480" w:lineRule="auto"/>
        <w:jc w:val="both"/>
        <w:rPr>
          <w:rFonts w:ascii="Times New Roman" w:hAnsi="Times New Roman" w:cs="Times New Roman"/>
          <w:b/>
          <w:bCs/>
          <w:i/>
          <w:iCs/>
          <w:sz w:val="24"/>
          <w:szCs w:val="24"/>
        </w:rPr>
      </w:pPr>
      <w:r w:rsidRPr="004605E2">
        <w:rPr>
          <w:rFonts w:ascii="Times New Roman" w:hAnsi="Times New Roman" w:cs="Times New Roman"/>
          <w:b/>
          <w:bCs/>
          <w:i/>
          <w:iCs/>
          <w:sz w:val="24"/>
          <w:szCs w:val="24"/>
        </w:rPr>
        <w:t>3.</w:t>
      </w:r>
      <w:r w:rsidRPr="004605E2">
        <w:rPr>
          <w:rFonts w:ascii="Times New Roman" w:hAnsi="Times New Roman" w:cs="Times New Roman"/>
          <w:b/>
          <w:bCs/>
          <w:i/>
          <w:iCs/>
          <w:sz w:val="24"/>
          <w:szCs w:val="24"/>
        </w:rPr>
        <w:t xml:space="preserve">3 </w:t>
      </w:r>
      <w:r w:rsidR="0017552A" w:rsidRPr="004605E2">
        <w:rPr>
          <w:rFonts w:ascii="Times New Roman" w:hAnsi="Times New Roman" w:cs="Times New Roman"/>
          <w:b/>
          <w:bCs/>
          <w:i/>
          <w:iCs/>
          <w:sz w:val="24"/>
          <w:szCs w:val="24"/>
        </w:rPr>
        <w:t>Outcome</w:t>
      </w:r>
      <w:r w:rsidR="00EC48E4" w:rsidRPr="004605E2">
        <w:rPr>
          <w:rFonts w:ascii="Times New Roman" w:hAnsi="Times New Roman" w:cs="Times New Roman"/>
          <w:b/>
          <w:bCs/>
          <w:i/>
          <w:iCs/>
          <w:sz w:val="24"/>
          <w:szCs w:val="24"/>
        </w:rPr>
        <w:t>s</w:t>
      </w:r>
      <w:r w:rsidR="0017552A" w:rsidRPr="004605E2">
        <w:rPr>
          <w:rFonts w:ascii="Times New Roman" w:hAnsi="Times New Roman" w:cs="Times New Roman"/>
          <w:b/>
          <w:bCs/>
          <w:i/>
          <w:iCs/>
          <w:sz w:val="24"/>
          <w:szCs w:val="24"/>
        </w:rPr>
        <w:t xml:space="preserve"> of HPA</w:t>
      </w:r>
      <w:r w:rsidR="00A06724">
        <w:rPr>
          <w:rFonts w:ascii="Times New Roman" w:hAnsi="Times New Roman" w:cs="Times New Roman"/>
          <w:b/>
          <w:bCs/>
          <w:i/>
          <w:iCs/>
          <w:sz w:val="24"/>
          <w:szCs w:val="24"/>
        </w:rPr>
        <w:t xml:space="preserve"> in LMICs</w:t>
      </w:r>
    </w:p>
    <w:p w14:paraId="5ADEACE1" w14:textId="3AFEF581" w:rsidR="00FA6C59" w:rsidRDefault="00C8440A" w:rsidP="006D3916">
      <w:pPr>
        <w:spacing w:line="480" w:lineRule="auto"/>
        <w:jc w:val="both"/>
        <w:rPr>
          <w:rFonts w:ascii="Times New Roman" w:hAnsi="Times New Roman" w:cs="Times New Roman"/>
          <w:sz w:val="24"/>
          <w:szCs w:val="24"/>
        </w:rPr>
      </w:pPr>
      <w:r w:rsidRPr="002F0887">
        <w:rPr>
          <w:rFonts w:ascii="Times New Roman" w:hAnsi="Times New Roman" w:cs="Times New Roman"/>
          <w:color w:val="242021"/>
          <w:sz w:val="24"/>
          <w:szCs w:val="24"/>
        </w:rPr>
        <w:t>The</w:t>
      </w:r>
      <w:r w:rsidR="00980CDF" w:rsidRPr="002F0887">
        <w:rPr>
          <w:rFonts w:ascii="Times New Roman" w:hAnsi="Times New Roman" w:cs="Times New Roman"/>
          <w:color w:val="242021"/>
          <w:sz w:val="24"/>
          <w:szCs w:val="24"/>
        </w:rPr>
        <w:t xml:space="preserve"> reviewed articles assessed health polic</w:t>
      </w:r>
      <w:r w:rsidR="008F710B">
        <w:rPr>
          <w:rFonts w:ascii="Times New Roman" w:hAnsi="Times New Roman" w:cs="Times New Roman"/>
          <w:color w:val="242021"/>
          <w:sz w:val="24"/>
          <w:szCs w:val="24"/>
        </w:rPr>
        <w:t>y interventions</w:t>
      </w:r>
      <w:r w:rsidR="00980CDF" w:rsidRPr="002F0887">
        <w:rPr>
          <w:rFonts w:ascii="Times New Roman" w:hAnsi="Times New Roman" w:cs="Times New Roman"/>
          <w:color w:val="242021"/>
          <w:sz w:val="24"/>
          <w:szCs w:val="24"/>
        </w:rPr>
        <w:t xml:space="preserve"> based on four domains: 1</w:t>
      </w:r>
      <w:r w:rsidR="00E61863">
        <w:rPr>
          <w:rFonts w:ascii="Times New Roman" w:hAnsi="Times New Roman" w:cs="Times New Roman"/>
          <w:color w:val="242021"/>
          <w:sz w:val="24"/>
          <w:szCs w:val="24"/>
        </w:rPr>
        <w:t>)</w:t>
      </w:r>
      <w:r w:rsidR="00980CDF" w:rsidRPr="002F0887">
        <w:rPr>
          <w:rFonts w:ascii="Times New Roman" w:hAnsi="Times New Roman" w:cs="Times New Roman"/>
          <w:color w:val="242021"/>
          <w:sz w:val="24"/>
          <w:szCs w:val="24"/>
        </w:rPr>
        <w:t xml:space="preserve"> Health Benefits Gained (HBG)</w:t>
      </w:r>
      <w:r w:rsidR="00597EF4">
        <w:rPr>
          <w:rFonts w:ascii="Times New Roman" w:hAnsi="Times New Roman" w:cs="Times New Roman"/>
          <w:color w:val="242021"/>
          <w:sz w:val="24"/>
          <w:szCs w:val="24"/>
        </w:rPr>
        <w:t>,</w:t>
      </w:r>
      <w:r w:rsidR="00980CDF" w:rsidRPr="002F0887">
        <w:rPr>
          <w:rFonts w:ascii="Times New Roman" w:hAnsi="Times New Roman" w:cs="Times New Roman"/>
          <w:color w:val="242021"/>
          <w:sz w:val="24"/>
          <w:szCs w:val="24"/>
        </w:rPr>
        <w:t xml:space="preserve"> 2</w:t>
      </w:r>
      <w:r w:rsidR="00E61863">
        <w:rPr>
          <w:rFonts w:ascii="Times New Roman" w:hAnsi="Times New Roman" w:cs="Times New Roman"/>
          <w:color w:val="242021"/>
          <w:sz w:val="24"/>
          <w:szCs w:val="24"/>
        </w:rPr>
        <w:t>)</w:t>
      </w:r>
      <w:r w:rsidR="00980CDF" w:rsidRPr="002F0887">
        <w:rPr>
          <w:rFonts w:ascii="Times New Roman" w:hAnsi="Times New Roman" w:cs="Times New Roman"/>
          <w:color w:val="242021"/>
          <w:sz w:val="24"/>
          <w:szCs w:val="24"/>
        </w:rPr>
        <w:t xml:space="preserve"> F</w:t>
      </w:r>
      <w:r w:rsidR="00E61863">
        <w:rPr>
          <w:rFonts w:ascii="Times New Roman" w:hAnsi="Times New Roman" w:cs="Times New Roman"/>
          <w:color w:val="242021"/>
          <w:sz w:val="24"/>
          <w:szCs w:val="24"/>
        </w:rPr>
        <w:t>C</w:t>
      </w:r>
      <w:r w:rsidR="00980CDF" w:rsidRPr="002F0887">
        <w:rPr>
          <w:rFonts w:ascii="Times New Roman" w:hAnsi="Times New Roman" w:cs="Times New Roman"/>
          <w:color w:val="242021"/>
          <w:sz w:val="24"/>
          <w:szCs w:val="24"/>
        </w:rPr>
        <w:t xml:space="preserve"> 3</w:t>
      </w:r>
      <w:r w:rsidR="00E61863">
        <w:rPr>
          <w:rFonts w:ascii="Times New Roman" w:hAnsi="Times New Roman" w:cs="Times New Roman"/>
          <w:color w:val="242021"/>
          <w:sz w:val="24"/>
          <w:szCs w:val="24"/>
        </w:rPr>
        <w:t>)</w:t>
      </w:r>
      <w:r w:rsidR="00980CDF" w:rsidRPr="002F0887">
        <w:rPr>
          <w:rFonts w:ascii="Times New Roman" w:hAnsi="Times New Roman" w:cs="Times New Roman"/>
          <w:color w:val="242021"/>
          <w:sz w:val="24"/>
          <w:szCs w:val="24"/>
        </w:rPr>
        <w:t xml:space="preserve"> F</w:t>
      </w:r>
      <w:r w:rsidR="00E61863">
        <w:rPr>
          <w:rFonts w:ascii="Times New Roman" w:hAnsi="Times New Roman" w:cs="Times New Roman"/>
          <w:color w:val="242021"/>
          <w:sz w:val="24"/>
          <w:szCs w:val="24"/>
        </w:rPr>
        <w:t>RP</w:t>
      </w:r>
      <w:r w:rsidR="00980CDF" w:rsidRPr="002F0887">
        <w:rPr>
          <w:rFonts w:ascii="Times New Roman" w:hAnsi="Times New Roman" w:cs="Times New Roman"/>
          <w:color w:val="242021"/>
          <w:sz w:val="24"/>
          <w:szCs w:val="24"/>
        </w:rPr>
        <w:t xml:space="preserve"> </w:t>
      </w:r>
      <w:r w:rsidR="00CE7EBD">
        <w:rPr>
          <w:rFonts w:ascii="Times New Roman" w:hAnsi="Times New Roman" w:cs="Times New Roman"/>
          <w:color w:val="242021"/>
          <w:sz w:val="24"/>
          <w:szCs w:val="24"/>
        </w:rPr>
        <w:t xml:space="preserve">and </w:t>
      </w:r>
      <w:r w:rsidR="00980CDF" w:rsidRPr="002F0887">
        <w:rPr>
          <w:rFonts w:ascii="Times New Roman" w:hAnsi="Times New Roman" w:cs="Times New Roman"/>
          <w:color w:val="242021"/>
          <w:sz w:val="24"/>
          <w:szCs w:val="24"/>
        </w:rPr>
        <w:t>4</w:t>
      </w:r>
      <w:r w:rsidR="00E61863">
        <w:rPr>
          <w:rFonts w:ascii="Times New Roman" w:hAnsi="Times New Roman" w:cs="Times New Roman"/>
          <w:color w:val="242021"/>
          <w:sz w:val="24"/>
          <w:szCs w:val="24"/>
        </w:rPr>
        <w:t>)</w:t>
      </w:r>
      <w:r w:rsidR="00FA6C59" w:rsidRPr="002F0887">
        <w:rPr>
          <w:rFonts w:ascii="Times New Roman" w:hAnsi="Times New Roman" w:cs="Times New Roman"/>
          <w:color w:val="242021"/>
          <w:sz w:val="24"/>
          <w:szCs w:val="24"/>
        </w:rPr>
        <w:t xml:space="preserve"> Equity.</w:t>
      </w:r>
      <w:r w:rsidR="00B44665">
        <w:rPr>
          <w:rFonts w:ascii="Times New Roman" w:hAnsi="Times New Roman" w:cs="Times New Roman"/>
          <w:color w:val="242021"/>
          <w:sz w:val="24"/>
          <w:szCs w:val="24"/>
        </w:rPr>
        <w:t xml:space="preserve"> N</w:t>
      </w:r>
      <w:r w:rsidR="00B44665" w:rsidRPr="002F0887">
        <w:rPr>
          <w:rFonts w:ascii="Times New Roman" w:hAnsi="Times New Roman" w:cs="Times New Roman"/>
          <w:color w:val="242021"/>
          <w:sz w:val="24"/>
          <w:szCs w:val="24"/>
        </w:rPr>
        <w:t xml:space="preserve">on-health impacts </w:t>
      </w:r>
      <w:r w:rsidR="00B44665">
        <w:rPr>
          <w:rFonts w:ascii="Times New Roman" w:hAnsi="Times New Roman" w:cs="Times New Roman"/>
          <w:color w:val="242021"/>
          <w:sz w:val="24"/>
          <w:szCs w:val="24"/>
        </w:rPr>
        <w:t xml:space="preserve">of </w:t>
      </w:r>
      <w:r w:rsidR="00C154CF">
        <w:rPr>
          <w:rFonts w:ascii="Times New Roman" w:hAnsi="Times New Roman" w:cs="Times New Roman"/>
          <w:color w:val="242021"/>
          <w:sz w:val="24"/>
          <w:szCs w:val="24"/>
        </w:rPr>
        <w:t xml:space="preserve">health </w:t>
      </w:r>
      <w:r w:rsidR="00B44665">
        <w:rPr>
          <w:rFonts w:ascii="Times New Roman" w:hAnsi="Times New Roman" w:cs="Times New Roman"/>
          <w:color w:val="242021"/>
          <w:sz w:val="24"/>
          <w:szCs w:val="24"/>
        </w:rPr>
        <w:t>policies comprise FC and FRP</w:t>
      </w:r>
      <w:r w:rsidR="00B44665" w:rsidRPr="002F0887">
        <w:rPr>
          <w:rFonts w:ascii="Times New Roman" w:hAnsi="Times New Roman" w:cs="Times New Roman"/>
          <w:color w:val="242021"/>
          <w:sz w:val="24"/>
          <w:szCs w:val="24"/>
        </w:rPr>
        <w:t>.</w:t>
      </w:r>
      <w:r w:rsidR="007A0B57">
        <w:rPr>
          <w:rFonts w:ascii="Times New Roman" w:hAnsi="Times New Roman" w:cs="Times New Roman"/>
          <w:color w:val="242021"/>
          <w:sz w:val="24"/>
          <w:szCs w:val="24"/>
        </w:rPr>
        <w:t xml:space="preserve"> </w:t>
      </w:r>
    </w:p>
    <w:p w14:paraId="53D918DC" w14:textId="4BA838F8" w:rsidR="0017552A" w:rsidRPr="00CB2EF3" w:rsidRDefault="00CB2EF3" w:rsidP="0017552A">
      <w:pPr>
        <w:spacing w:line="480" w:lineRule="auto"/>
        <w:rPr>
          <w:rFonts w:ascii="Times New Roman" w:hAnsi="Times New Roman" w:cs="Times New Roman"/>
          <w:b/>
          <w:bCs/>
          <w:i/>
          <w:iCs/>
          <w:color w:val="242021"/>
          <w:sz w:val="24"/>
          <w:szCs w:val="24"/>
        </w:rPr>
      </w:pPr>
      <w:r w:rsidRPr="00CB2EF3">
        <w:rPr>
          <w:rFonts w:ascii="Times New Roman" w:hAnsi="Times New Roman" w:cs="Times New Roman"/>
          <w:b/>
          <w:bCs/>
          <w:i/>
          <w:iCs/>
          <w:color w:val="242021"/>
          <w:sz w:val="24"/>
          <w:szCs w:val="24"/>
        </w:rPr>
        <w:t xml:space="preserve">3.3.1 </w:t>
      </w:r>
      <w:r w:rsidR="0017552A" w:rsidRPr="00CB2EF3">
        <w:rPr>
          <w:rFonts w:ascii="Times New Roman" w:hAnsi="Times New Roman" w:cs="Times New Roman"/>
          <w:b/>
          <w:bCs/>
          <w:i/>
          <w:iCs/>
          <w:color w:val="242021"/>
          <w:sz w:val="24"/>
          <w:szCs w:val="24"/>
        </w:rPr>
        <w:t>Health Benefits gained (HBG):</w:t>
      </w:r>
    </w:p>
    <w:p w14:paraId="4A9B941A" w14:textId="2EFE9844" w:rsidR="0017552A" w:rsidRPr="000C11CB" w:rsidRDefault="0017552A" w:rsidP="0017552A">
      <w:pPr>
        <w:spacing w:line="480" w:lineRule="auto"/>
        <w:jc w:val="both"/>
        <w:rPr>
          <w:rFonts w:ascii="Times New Roman" w:hAnsi="Times New Roman" w:cs="Times New Roman"/>
          <w:sz w:val="24"/>
          <w:szCs w:val="24"/>
        </w:rPr>
      </w:pPr>
      <w:r w:rsidRPr="006D3916">
        <w:rPr>
          <w:rFonts w:ascii="Times New Roman" w:hAnsi="Times New Roman" w:cs="Times New Roman"/>
          <w:color w:val="242021"/>
          <w:sz w:val="24"/>
          <w:szCs w:val="24"/>
        </w:rPr>
        <w:t xml:space="preserve">Most articles (75%) assessed </w:t>
      </w:r>
      <w:r w:rsidR="00DD7A8D">
        <w:rPr>
          <w:rFonts w:ascii="Times New Roman" w:hAnsi="Times New Roman" w:cs="Times New Roman"/>
          <w:color w:val="242021"/>
          <w:sz w:val="24"/>
          <w:szCs w:val="24"/>
        </w:rPr>
        <w:t xml:space="preserve">the HBG of </w:t>
      </w:r>
      <w:r w:rsidR="00043549">
        <w:rPr>
          <w:rFonts w:ascii="Times New Roman" w:hAnsi="Times New Roman" w:cs="Times New Roman"/>
          <w:color w:val="242021"/>
          <w:sz w:val="24"/>
          <w:szCs w:val="24"/>
        </w:rPr>
        <w:t>interventions</w:t>
      </w:r>
      <w:r w:rsidR="00043549" w:rsidRPr="002F0887">
        <w:rPr>
          <w:rFonts w:ascii="Times New Roman" w:hAnsi="Times New Roman" w:cs="Times New Roman"/>
          <w:color w:val="242021"/>
          <w:sz w:val="24"/>
          <w:szCs w:val="24"/>
        </w:rPr>
        <w:t xml:space="preserve"> </w:t>
      </w:r>
      <w:r w:rsidRPr="006D3916">
        <w:rPr>
          <w:rFonts w:ascii="Times New Roman" w:hAnsi="Times New Roman" w:cs="Times New Roman"/>
          <w:color w:val="242021"/>
          <w:sz w:val="24"/>
          <w:szCs w:val="24"/>
        </w:rPr>
        <w:t>based on deaths and DALYs averted</w:t>
      </w:r>
      <w:r>
        <w:rPr>
          <w:rFonts w:ascii="Times New Roman" w:hAnsi="Times New Roman" w:cs="Times New Roman"/>
          <w:color w:val="242021"/>
          <w:sz w:val="24"/>
          <w:szCs w:val="24"/>
        </w:rPr>
        <w:t>,</w:t>
      </w:r>
      <w:r w:rsidRPr="006D3916">
        <w:rPr>
          <w:rFonts w:ascii="Times New Roman" w:hAnsi="Times New Roman" w:cs="Times New Roman"/>
          <w:color w:val="242021"/>
          <w:sz w:val="24"/>
          <w:szCs w:val="24"/>
        </w:rPr>
        <w:t xml:space="preserve"> and a few measured HBG in terms of HALYs gained or lives saved. </w:t>
      </w:r>
      <w:r w:rsidRPr="006D3916">
        <w:rPr>
          <w:rFonts w:ascii="Times New Roman" w:hAnsi="Times New Roman" w:cs="Times New Roman"/>
          <w:color w:val="242021"/>
          <w:sz w:val="24"/>
          <w:szCs w:val="24"/>
        </w:rPr>
        <w:fldChar w:fldCharType="begin" w:fldLock="1"/>
      </w:r>
      <w:r w:rsidRPr="006D3916">
        <w:rPr>
          <w:rFonts w:ascii="Times New Roman" w:hAnsi="Times New Roman" w:cs="Times New Roman"/>
          <w:color w:val="242021"/>
          <w:sz w:val="24"/>
          <w:szCs w:val="24"/>
        </w:rPr>
        <w:instrText>ADDIN CSL_CITATION {"citationItems":[{"id":"ITEM-1","itemData":{"DOI":"10.1093/heapol/czv023","ISSN":"14602237","PMID":"25841771","abstract":"The South African Government recently set targets to reduce cardiovascular disease (CVD) by lowering salt consumption. We conducted an extended cost-effectiveness analysis (ECEA) to model the potential health and economic impacts of this salt policy. We used surveys and epidemiologic studies to estimate reductions in CVD resulting from lower salt intake. We calculated the average out-of-pocket (OOP) cost of CVD care, using facility fee schedules and drug prices. We estimated the reduction in OOP expenditures and government subsidies due to the policy. We estimated public and private sector costs of policy implementation. We estimated financial risk protection (FRP) from the policy as (1) cases of catastrophic health expenditure (CHE) averted or (2) cases of poverty averted. We also performed a sensitivity analysis. We found that the salt policy could reduce CVD deaths by 11%, with similar health gains across income quintiles. The policy could save households US$ 4.06 million (2012) in OOP expenditures (US$ 0.29 per capita) and save the government US$ 51.25 million in healthcare subsidies (US$ 2.52 per capita) each year. The cost to the government would be only US$ 0.01 per capita; hence, the policy would be cost saving. If the private sector food reformulation costs were passed on to consumers, food expenditures would increase by &lt;0.2% across all income quintiles. Preventing CVD could avert 2400 cases of CHE or 2000 cases of poverty yearly. Our results were sensitive to baseline CVD mortality rates and the cost of treatment. We conclude that, in addition to health gains, population salt reduction can have positive economic impacts - substantially reducing OOP expenditures and providing FRP, particularly for the middle class. The policy could also provide large government savings on health care.","author":[{"dropping-particle":"","family":"Watkins","given":"David A.","non-dropping-particle":"","parse-names":false,"suffix":""},{"dropping-particle":"","family":"Olson","given":"Zachary D.","non-dropping-particle":"","parse-names":false,"suffix":""},{"dropping-particle":"","family":"Verguet","given":"Stéphane","non-dropping-particle":"","parse-names":false,"suffix":""},{"dropping-particle":"","family":"Nugent","given":"Rachel A.","non-dropping-particle":"","parse-names":false,"suffix":""},{"dropping-particle":"","family":"Jamison","given":"Dean T.","non-dropping-particle":"","parse-names":false,"suffix":""}],"container-title":"Health Policy and Planning","id":"ITEM-1","issue":"1","issued":{"date-parts":[["2016"]]},"page":"75-82","title":"Cardiovascular disease and impoverishment averted due to a salt reduction policy in South Africa: An extended cost-effectiveness analysis","type":"article-journal","volume":"31"},"uris":["http://www.mendeley.com/documents/?uuid=d679fbf4-82d3-45e6-be72-67eba9fe64ae"]}],"mendeley":{"formattedCitation":"(Watkins et al., 2016)","manualFormatting":"Watkins et al. (2016)","plainTextFormattedCitation":"(Watkins et al., 2016)","previouslyFormattedCitation":"(Watkins et al., 2016)"},"properties":{"noteIndex":0},"schema":"https://github.com/citation-style-language/schema/raw/master/csl-citation.json"}</w:instrText>
      </w:r>
      <w:r w:rsidRPr="006D3916">
        <w:rPr>
          <w:rFonts w:ascii="Times New Roman" w:hAnsi="Times New Roman" w:cs="Times New Roman"/>
          <w:color w:val="242021"/>
          <w:sz w:val="24"/>
          <w:szCs w:val="24"/>
        </w:rPr>
        <w:fldChar w:fldCharType="separate"/>
      </w:r>
      <w:r w:rsidRPr="006D3916">
        <w:rPr>
          <w:rFonts w:ascii="Times New Roman" w:hAnsi="Times New Roman" w:cs="Times New Roman"/>
          <w:noProof/>
          <w:color w:val="242021"/>
          <w:sz w:val="24"/>
          <w:szCs w:val="24"/>
        </w:rPr>
        <w:t>Watkins et al. (2016)</w:t>
      </w:r>
      <w:r w:rsidRPr="006D3916">
        <w:rPr>
          <w:rFonts w:ascii="Times New Roman" w:hAnsi="Times New Roman" w:cs="Times New Roman"/>
          <w:color w:val="242021"/>
          <w:sz w:val="24"/>
          <w:szCs w:val="24"/>
        </w:rPr>
        <w:fldChar w:fldCharType="end"/>
      </w:r>
      <w:r w:rsidRPr="006D3916">
        <w:rPr>
          <w:rFonts w:ascii="Times New Roman" w:hAnsi="Times New Roman" w:cs="Times New Roman"/>
          <w:color w:val="242021"/>
          <w:sz w:val="24"/>
          <w:szCs w:val="24"/>
        </w:rPr>
        <w:t xml:space="preserve"> found that implement</w:t>
      </w:r>
      <w:r>
        <w:rPr>
          <w:rFonts w:ascii="Times New Roman" w:hAnsi="Times New Roman" w:cs="Times New Roman"/>
          <w:color w:val="242021"/>
          <w:sz w:val="24"/>
          <w:szCs w:val="24"/>
        </w:rPr>
        <w:t>ing</w:t>
      </w:r>
      <w:r w:rsidRPr="006D3916">
        <w:rPr>
          <w:rFonts w:ascii="Times New Roman" w:hAnsi="Times New Roman" w:cs="Times New Roman"/>
          <w:color w:val="242021"/>
          <w:sz w:val="24"/>
          <w:szCs w:val="24"/>
        </w:rPr>
        <w:t xml:space="preserve"> </w:t>
      </w:r>
      <w:r>
        <w:rPr>
          <w:rFonts w:ascii="Times New Roman" w:hAnsi="Times New Roman" w:cs="Times New Roman"/>
          <w:color w:val="242021"/>
          <w:sz w:val="24"/>
          <w:szCs w:val="24"/>
        </w:rPr>
        <w:t xml:space="preserve">a </w:t>
      </w:r>
      <w:r w:rsidRPr="006D3916">
        <w:rPr>
          <w:rFonts w:ascii="Times New Roman" w:hAnsi="Times New Roman" w:cs="Times New Roman"/>
          <w:color w:val="242021"/>
          <w:sz w:val="24"/>
          <w:szCs w:val="24"/>
        </w:rPr>
        <w:t xml:space="preserve">salt reduction policy could avert 403 cardiovascular disease-related (CVD) deaths in South Africa. </w:t>
      </w:r>
      <w:r w:rsidRPr="006D3916">
        <w:rPr>
          <w:rFonts w:ascii="Times New Roman" w:hAnsi="Times New Roman" w:cs="Times New Roman"/>
          <w:color w:val="242021"/>
          <w:sz w:val="24"/>
          <w:szCs w:val="24"/>
        </w:rPr>
        <w:fldChar w:fldCharType="begin" w:fldLock="1"/>
      </w:r>
      <w:r w:rsidRPr="006D3916">
        <w:rPr>
          <w:rFonts w:ascii="Times New Roman" w:hAnsi="Times New Roman" w:cs="Times New Roman"/>
          <w:color w:val="242021"/>
          <w:sz w:val="24"/>
          <w:szCs w:val="24"/>
        </w:rPr>
        <w:instrText>ADDIN CSL_CITATION {"citationItems":[{"id":"ITEM-1","itemData":{"DOI":"10.1371/journal.pone.0142691","ISSN":"19326203","PMID":"26650078","abstract":"Background Pneumonia and pneumococcal disease cause a large disease burden in resource-constrained settings. We pursue an extended cost-effectiveness analysis (ECEA) of two fully publicly financed interventions in Ethiopia: pneumococcal vaccination for newborns and pneumonia treatment for under-five children in Ethiopia. Methods We apply ECEA methods and estimate the program impact on: (1) government program costs; (2) pneumonia and pneumococcal deaths averted; (3) household expenses related to pneumonia/pneumococcal disease treatment averted; (4) prevention of household medical impoverishment measured by an imputed money-metric value of financial risk protection; and (5) distributional consequences across the wealth strata of the country population. Available epidemiological and cost data from Ethiopia are applied and the two interventions are assessed separately at various incremental coverage levels. Results Scaling-up pneumococcal vaccines at around 40% coverage would cost about $11.5 million and avert about 2090 child deaths annually, while a 10% increase of pneumonia treatment to all children under 5 years of age would cost about $13.9 million and avert 2610 deaths annually. Health benefits of the two interventions publicly financed would be concentrated among the bottom income quintile, where 3040% of all deaths averted would be expected to occur in the poorest quintile. In sum, the two interventions would eliminate a total of $2.4 million of private household expenditures annually, where the richest quintile benefits from around 30% of the total private expenditures averted. The financial risk protection benefits would be largely concentrated among the bottom income quintile. The results are most sensitive to variations in vaccine price, population size, number of deaths due to pneumonia, efficacy of interventions and out-of-pocket copayment share. Conclusions Vaccine and treatment interventions for children, as shown with the illustrative examples of pneumococcal vaccine and pneumonia treatment, can bring large health and financial benefits to households in Ethiopia, most particularly among the poorest socio-economic groups.","author":[{"dropping-particle":"","family":"Johansson","given":"Kjell Arne","non-dropping-particle":"","parse-names":false,"suffix":""},{"dropping-particle":"","family":"Memirie","given":"Solomon Tessema","non-dropping-particle":"","parse-names":false,"suffix":""},{"dropping-particle":"","family":"Pecenka","given":"Clint","non-dropping-particle":"","parse-names":false,"suffix":""},{"dropping-particle":"","family":"Jamison","given":"Dean T.","non-dropping-particle":"","parse-names":false,"suffix":""},{"dropping-particle":"","family":"Verguet","given":"Stéphane","non-dropping-particle":"","parse-names":false,"suffix":""}],"container-title":"PLoS ONE","id":"ITEM-1","issue":"12","issued":{"date-parts":[["2015"]]},"page":"1-16","title":"Health Gains and Financial Protection from Pneumococcal Vaccination and Pneumonia Treatment in Ethiopia: Results from an Extended Cost-Effectiveness Analysis","type":"article-journal","volume":"10"},"uris":["http://www.mendeley.com/documents/?uuid=94edce7c-522a-4086-a11e-1a21d1ee8380"]}],"mendeley":{"formattedCitation":"(Johansson et al., 2015)","manualFormatting":"Johansson et al. (2015)","plainTextFormattedCitation":"(Johansson et al., 2015)","previouslyFormattedCitation":"(Johansson et al., 2015)"},"properties":{"noteIndex":0},"schema":"https://github.com/citation-style-language/schema/raw/master/csl-citation.json"}</w:instrText>
      </w:r>
      <w:r w:rsidRPr="006D3916">
        <w:rPr>
          <w:rFonts w:ascii="Times New Roman" w:hAnsi="Times New Roman" w:cs="Times New Roman"/>
          <w:color w:val="242021"/>
          <w:sz w:val="24"/>
          <w:szCs w:val="24"/>
        </w:rPr>
        <w:fldChar w:fldCharType="separate"/>
      </w:r>
      <w:r w:rsidRPr="006D3916">
        <w:rPr>
          <w:rFonts w:ascii="Times New Roman" w:hAnsi="Times New Roman" w:cs="Times New Roman"/>
          <w:noProof/>
          <w:color w:val="242021"/>
          <w:sz w:val="24"/>
          <w:szCs w:val="24"/>
        </w:rPr>
        <w:t>Johansson et al. (2015)</w:t>
      </w:r>
      <w:r w:rsidRPr="006D3916">
        <w:rPr>
          <w:rFonts w:ascii="Times New Roman" w:hAnsi="Times New Roman" w:cs="Times New Roman"/>
          <w:color w:val="242021"/>
          <w:sz w:val="24"/>
          <w:szCs w:val="24"/>
        </w:rPr>
        <w:fldChar w:fldCharType="end"/>
      </w:r>
      <w:r w:rsidRPr="006D3916">
        <w:rPr>
          <w:rFonts w:ascii="Times New Roman" w:hAnsi="Times New Roman" w:cs="Times New Roman"/>
          <w:color w:val="242021"/>
          <w:sz w:val="24"/>
          <w:szCs w:val="24"/>
        </w:rPr>
        <w:t xml:space="preserve"> revealed that </w:t>
      </w:r>
      <w:r w:rsidRPr="006D3916">
        <w:rPr>
          <w:rFonts w:ascii="Times New Roman" w:hAnsi="Times New Roman" w:cs="Times New Roman"/>
          <w:sz w:val="24"/>
          <w:szCs w:val="24"/>
        </w:rPr>
        <w:t>a 40% pneumonia treatment coverage would avert 2610 under-five deaths annually.</w:t>
      </w:r>
    </w:p>
    <w:p w14:paraId="4D8D7DAA" w14:textId="1A78CDF0" w:rsidR="0017552A" w:rsidRPr="00CB2EF3" w:rsidRDefault="00CB2EF3" w:rsidP="0017552A">
      <w:pPr>
        <w:spacing w:line="480" w:lineRule="auto"/>
        <w:rPr>
          <w:rFonts w:ascii="Times New Roman" w:hAnsi="Times New Roman" w:cs="Times New Roman"/>
          <w:b/>
          <w:bCs/>
          <w:i/>
          <w:iCs/>
          <w:color w:val="242021"/>
          <w:sz w:val="24"/>
          <w:szCs w:val="24"/>
        </w:rPr>
      </w:pPr>
      <w:r w:rsidRPr="00CB2EF3">
        <w:rPr>
          <w:rFonts w:ascii="Times New Roman" w:hAnsi="Times New Roman" w:cs="Times New Roman"/>
          <w:b/>
          <w:bCs/>
          <w:i/>
          <w:iCs/>
          <w:color w:val="242021"/>
          <w:sz w:val="24"/>
          <w:szCs w:val="24"/>
        </w:rPr>
        <w:t>3.3.</w:t>
      </w:r>
      <w:r w:rsidRPr="00CB2EF3">
        <w:rPr>
          <w:rFonts w:ascii="Times New Roman" w:hAnsi="Times New Roman" w:cs="Times New Roman"/>
          <w:b/>
          <w:bCs/>
          <w:i/>
          <w:iCs/>
          <w:color w:val="242021"/>
          <w:sz w:val="24"/>
          <w:szCs w:val="24"/>
        </w:rPr>
        <w:t xml:space="preserve">2 </w:t>
      </w:r>
      <w:r w:rsidR="0017552A" w:rsidRPr="00CB2EF3">
        <w:rPr>
          <w:rFonts w:ascii="Times New Roman" w:hAnsi="Times New Roman" w:cs="Times New Roman"/>
          <w:b/>
          <w:bCs/>
          <w:i/>
          <w:iCs/>
          <w:color w:val="242021"/>
          <w:sz w:val="24"/>
          <w:szCs w:val="24"/>
        </w:rPr>
        <w:t>Financial Consequences (FC):</w:t>
      </w:r>
    </w:p>
    <w:p w14:paraId="481AC2E4" w14:textId="7674EE52" w:rsidR="0017552A" w:rsidRPr="00B174A7" w:rsidRDefault="0017552A" w:rsidP="0017552A">
      <w:pPr>
        <w:spacing w:line="480" w:lineRule="auto"/>
        <w:jc w:val="both"/>
        <w:rPr>
          <w:rFonts w:ascii="Times New Roman" w:hAnsi="Times New Roman" w:cs="Times New Roman"/>
          <w:sz w:val="24"/>
          <w:szCs w:val="24"/>
        </w:rPr>
      </w:pPr>
      <w:r w:rsidRPr="002F0887">
        <w:rPr>
          <w:rFonts w:ascii="Times New Roman" w:hAnsi="Times New Roman" w:cs="Times New Roman"/>
          <w:color w:val="242021"/>
          <w:sz w:val="24"/>
          <w:szCs w:val="24"/>
        </w:rPr>
        <w:t xml:space="preserve">About 95% (19 out of 20) of the articles reported on the </w:t>
      </w:r>
      <w:r w:rsidR="000648C8">
        <w:rPr>
          <w:rFonts w:ascii="Times New Roman" w:hAnsi="Times New Roman" w:cs="Times New Roman"/>
          <w:color w:val="242021"/>
          <w:sz w:val="24"/>
          <w:szCs w:val="24"/>
        </w:rPr>
        <w:t>FC</w:t>
      </w:r>
      <w:r w:rsidRPr="002F0887">
        <w:rPr>
          <w:rFonts w:ascii="Times New Roman" w:hAnsi="Times New Roman" w:cs="Times New Roman"/>
          <w:color w:val="242021"/>
          <w:sz w:val="24"/>
          <w:szCs w:val="24"/>
        </w:rPr>
        <w:t xml:space="preserve"> of </w:t>
      </w:r>
      <w:r w:rsidR="00043549">
        <w:rPr>
          <w:rFonts w:ascii="Times New Roman" w:hAnsi="Times New Roman" w:cs="Times New Roman"/>
          <w:color w:val="242021"/>
          <w:sz w:val="24"/>
          <w:szCs w:val="24"/>
        </w:rPr>
        <w:t>interventions</w:t>
      </w:r>
      <w:r w:rsidRPr="002F0887">
        <w:rPr>
          <w:rFonts w:ascii="Times New Roman" w:hAnsi="Times New Roman" w:cs="Times New Roman"/>
          <w:color w:val="242021"/>
          <w:sz w:val="24"/>
          <w:szCs w:val="24"/>
        </w:rPr>
        <w:t xml:space="preserve"> such as direct medical and non-medical out-of-pocket (OOP) expenditure</w:t>
      </w:r>
      <w:r>
        <w:rPr>
          <w:rFonts w:ascii="Times New Roman" w:hAnsi="Times New Roman" w:cs="Times New Roman"/>
          <w:color w:val="242021"/>
          <w:sz w:val="24"/>
          <w:szCs w:val="24"/>
        </w:rPr>
        <w:t xml:space="preserve"> averted</w:t>
      </w:r>
      <w:r w:rsidRPr="002F0887">
        <w:rPr>
          <w:rFonts w:ascii="Times New Roman" w:hAnsi="Times New Roman" w:cs="Times New Roman"/>
          <w:color w:val="242021"/>
          <w:sz w:val="24"/>
          <w:szCs w:val="24"/>
        </w:rPr>
        <w:t>, indirect costs averted</w:t>
      </w:r>
      <w:r w:rsidRPr="000E20E3">
        <w:rPr>
          <w:rFonts w:ascii="Times New Roman" w:hAnsi="Times New Roman" w:cs="Times New Roman"/>
          <w:color w:val="242021"/>
          <w:sz w:val="24"/>
          <w:szCs w:val="24"/>
        </w:rPr>
        <w:t xml:space="preserve">, government </w:t>
      </w:r>
      <w:r w:rsidRPr="000E20E3">
        <w:rPr>
          <w:rFonts w:ascii="Times New Roman" w:hAnsi="Times New Roman" w:cs="Times New Roman"/>
          <w:color w:val="242021"/>
          <w:sz w:val="24"/>
          <w:szCs w:val="24"/>
        </w:rPr>
        <w:lastRenderedPageBreak/>
        <w:t>savings/costs</w:t>
      </w:r>
      <w:r>
        <w:rPr>
          <w:rFonts w:ascii="Times New Roman" w:hAnsi="Times New Roman" w:cs="Times New Roman"/>
          <w:color w:val="242021"/>
          <w:sz w:val="24"/>
          <w:szCs w:val="24"/>
        </w:rPr>
        <w:t>,</w:t>
      </w:r>
      <w:r w:rsidRPr="000E20E3">
        <w:rPr>
          <w:rFonts w:ascii="Times New Roman" w:hAnsi="Times New Roman" w:cs="Times New Roman"/>
          <w:color w:val="242021"/>
          <w:sz w:val="24"/>
          <w:szCs w:val="24"/>
        </w:rPr>
        <w:t xml:space="preserve"> and productivity losses. </w:t>
      </w:r>
      <w:r w:rsidRPr="000E20E3">
        <w:rPr>
          <w:rFonts w:ascii="Times New Roman" w:hAnsi="Times New Roman" w:cs="Times New Roman"/>
          <w:color w:val="242021"/>
          <w:sz w:val="24"/>
          <w:szCs w:val="24"/>
        </w:rPr>
        <w:fldChar w:fldCharType="begin" w:fldLock="1"/>
      </w:r>
      <w:r>
        <w:rPr>
          <w:rFonts w:ascii="Times New Roman" w:hAnsi="Times New Roman" w:cs="Times New Roman"/>
          <w:color w:val="242021"/>
          <w:sz w:val="24"/>
          <w:szCs w:val="24"/>
        </w:rPr>
        <w:instrText>ADDIN CSL_CITATION {"citationItems":[{"id":"ITEM-1","itemData":{"DOI":"10.1093/heapol/czw134","ISSN":"14602237","PMID":"27935798","abstract":"Background: Mental and neurological (MN) health care has long been neglected in low-income settings. This paper estimates health and non-health impacts of fully publicly financed care for selected key interventions in the National Mental Health Strategy in Ethiopia for depression, bipolar disorder, schizophrenia and epilepsy. Methods: A methodology of extended cost-effectiveness analysis (ECEA) is applied to MN health care in Ethiopia. The impact of providing a package of selected MN interventions free of charge in Ethiopia is estimated for: epilepsy (75% coverage, phenobarbital), depression (30% coverage, fluoxetine, cognitive therapy and proactive case management), bipolar affective disorder (50% coverage, valproate and psychosocial therapy) and schizophrenia (75% coverage, haloperidol plus psychosocial treatment). Multiple outcomes are estimated and disaggregated across wealth quintiles: (1) healthy-life-years (HALYs) gained; (2) household out-of-pocket (OOP) expenditures averted; (3) expected financial risk protection (FRP); and (4) productivity impact. Results: The MN package is expected to cost US$177 million and gain 155,000 HALYs (epilepsy US$37m and 64,500 HALYs; depression US$65m and 61,300 HALYs; bipolar disorder US$44m and 20,300 HALYs; and schizophrenia US$31m and 8,900 HALYs) annually. The health benefits would be concentrated among the poorest groups for all interventions. Universal public finance averts little household OOP expenditures and provides minimal FRP because of the low current utilization of these MN services in Ethiopia. In addition, economic benefits of US$ 51 million annually are expected from depression treatment in Ethiopia as a result of productivity gains, equivalent to 78% of the investment cost. Conclusions: The total MN package in Ethiopia is estimated to cost equivalent to US$1.8 per capita and yields large progressive health benefits. The expected productivity gain is substantially higher than the expected FRP. The ECEA approach seems to fit well with the current policy challenges and captures important equity concerns of scaling up MN programmes.","author":[{"dropping-particle":"","family":"Johansson","given":"Kjell Arne","non-dropping-particle":"","parse-names":false,"suffix":""},{"dropping-particle":"","family":"Strand","given":"Kirsten Bjerkreim","non-dropping-particle":"","parse-names":false,"suffix":""},{"dropping-particle":"","family":"Fekadu","given":"Abebaw","non-dropping-particle":"","parse-names":false,"suffix":""},{"dropping-particle":"","family":"Chisholm","given":"Dan","non-dropping-particle":"","parse-names":false,"suffix":""}],"container-title":"Health Policy and Planning","id":"ITEM-1","issue":"3","issued":{"date-parts":[["2016"]]},"page":"376-383","title":"Health Gains and Financial Protection Provided by the Ethiopian Mental Health Strategy: An Extended Cost-Effectiveness Analysis","type":"article-journal","volume":"32"},"uris":["http://www.mendeley.com/documents/?uuid=973770fe-ca13-4aa7-8cfc-925c9ac0e763"]}],"mendeley":{"formattedCitation":"(Johansson et al., 2016)","manualFormatting":"Johansson et al. (2016)","plainTextFormattedCitation":"(Johansson et al., 2016)","previouslyFormattedCitation":"(Johansson et al., 2016)"},"properties":{"noteIndex":0},"schema":"https://github.com/citation-style-language/schema/raw/master/csl-citation.json"}</w:instrText>
      </w:r>
      <w:r w:rsidRPr="000E20E3">
        <w:rPr>
          <w:rFonts w:ascii="Times New Roman" w:hAnsi="Times New Roman" w:cs="Times New Roman"/>
          <w:color w:val="242021"/>
          <w:sz w:val="24"/>
          <w:szCs w:val="24"/>
        </w:rPr>
        <w:fldChar w:fldCharType="separate"/>
      </w:r>
      <w:r w:rsidRPr="000E20E3">
        <w:rPr>
          <w:rFonts w:ascii="Times New Roman" w:hAnsi="Times New Roman" w:cs="Times New Roman"/>
          <w:noProof/>
          <w:color w:val="242021"/>
          <w:sz w:val="24"/>
          <w:szCs w:val="24"/>
        </w:rPr>
        <w:t>Johansson et al. (2016)</w:t>
      </w:r>
      <w:r w:rsidRPr="000E20E3">
        <w:rPr>
          <w:rFonts w:ascii="Times New Roman" w:hAnsi="Times New Roman" w:cs="Times New Roman"/>
          <w:color w:val="242021"/>
          <w:sz w:val="24"/>
          <w:szCs w:val="24"/>
        </w:rPr>
        <w:fldChar w:fldCharType="end"/>
      </w:r>
      <w:r w:rsidRPr="000E20E3">
        <w:rPr>
          <w:rFonts w:ascii="Times New Roman" w:hAnsi="Times New Roman" w:cs="Times New Roman"/>
          <w:color w:val="242021"/>
          <w:sz w:val="24"/>
          <w:szCs w:val="24"/>
        </w:rPr>
        <w:t xml:space="preserve"> found that the </w:t>
      </w:r>
      <w:r w:rsidRPr="000E20E3">
        <w:rPr>
          <w:rFonts w:ascii="Times New Roman" w:hAnsi="Times New Roman" w:cs="Times New Roman"/>
          <w:sz w:val="24"/>
          <w:szCs w:val="24"/>
        </w:rPr>
        <w:t xml:space="preserve">expected annual cost of implementing </w:t>
      </w:r>
      <w:r>
        <w:rPr>
          <w:rFonts w:ascii="Times New Roman" w:hAnsi="Times New Roman" w:cs="Times New Roman"/>
          <w:sz w:val="24"/>
          <w:szCs w:val="24"/>
        </w:rPr>
        <w:t>a</w:t>
      </w:r>
      <w:r w:rsidRPr="000E20E3">
        <w:rPr>
          <w:rFonts w:ascii="Times New Roman" w:hAnsi="Times New Roman" w:cs="Times New Roman"/>
          <w:sz w:val="24"/>
          <w:szCs w:val="24"/>
        </w:rPr>
        <w:t xml:space="preserve"> Mental health care </w:t>
      </w:r>
      <w:r>
        <w:rPr>
          <w:rFonts w:ascii="Times New Roman" w:hAnsi="Times New Roman" w:cs="Times New Roman"/>
          <w:sz w:val="24"/>
          <w:szCs w:val="24"/>
        </w:rPr>
        <w:t>strategy</w:t>
      </w:r>
      <w:r w:rsidR="00797C9E">
        <w:rPr>
          <w:rFonts w:ascii="Times New Roman" w:hAnsi="Times New Roman" w:cs="Times New Roman"/>
          <w:sz w:val="24"/>
          <w:szCs w:val="24"/>
        </w:rPr>
        <w:t xml:space="preserve"> </w:t>
      </w:r>
      <w:r>
        <w:rPr>
          <w:rFonts w:ascii="Times New Roman" w:hAnsi="Times New Roman" w:cs="Times New Roman"/>
          <w:sz w:val="24"/>
          <w:szCs w:val="24"/>
        </w:rPr>
        <w:t>to the Ethiopian government would be</w:t>
      </w:r>
      <w:r w:rsidRPr="000E20E3">
        <w:rPr>
          <w:rFonts w:ascii="Times New Roman" w:hAnsi="Times New Roman" w:cs="Times New Roman"/>
          <w:sz w:val="24"/>
          <w:szCs w:val="24"/>
        </w:rPr>
        <w:t xml:space="preserve"> about US$ 177 million. The expected productivity gain from </w:t>
      </w:r>
      <w:r>
        <w:rPr>
          <w:rFonts w:ascii="Times New Roman" w:hAnsi="Times New Roman" w:cs="Times New Roman"/>
          <w:sz w:val="24"/>
          <w:szCs w:val="24"/>
        </w:rPr>
        <w:t xml:space="preserve">a </w:t>
      </w:r>
      <w:r w:rsidRPr="000E20E3">
        <w:rPr>
          <w:rFonts w:ascii="Times New Roman" w:hAnsi="Times New Roman" w:cs="Times New Roman"/>
          <w:sz w:val="24"/>
          <w:szCs w:val="24"/>
        </w:rPr>
        <w:t>scaled-up depression treatment w</w:t>
      </w:r>
      <w:r>
        <w:rPr>
          <w:rFonts w:ascii="Times New Roman" w:hAnsi="Times New Roman" w:cs="Times New Roman"/>
          <w:sz w:val="24"/>
          <w:szCs w:val="24"/>
        </w:rPr>
        <w:t>ould be</w:t>
      </w:r>
      <w:r w:rsidRPr="000E20E3">
        <w:rPr>
          <w:rFonts w:ascii="Times New Roman" w:hAnsi="Times New Roman" w:cs="Times New Roman"/>
          <w:sz w:val="24"/>
          <w:szCs w:val="24"/>
        </w:rPr>
        <w:t xml:space="preserve"> US$ 51 million annually.</w:t>
      </w:r>
      <w:r w:rsidRPr="000E20E3">
        <w:rPr>
          <w:rFonts w:ascii="Times New Roman" w:hAnsi="Times New Roman" w:cs="Times New Roman"/>
          <w:color w:val="242021"/>
          <w:sz w:val="24"/>
          <w:szCs w:val="24"/>
        </w:rPr>
        <w:t xml:space="preserve"> </w:t>
      </w:r>
      <w:r w:rsidR="00561F2F">
        <w:rPr>
          <w:rFonts w:ascii="Times New Roman" w:hAnsi="Times New Roman" w:cs="Times New Roman"/>
          <w:color w:val="242021"/>
          <w:sz w:val="24"/>
          <w:szCs w:val="24"/>
        </w:rPr>
        <w:t>T</w:t>
      </w:r>
      <w:r w:rsidRPr="000E20E3">
        <w:rPr>
          <w:rFonts w:ascii="Times New Roman" w:hAnsi="Times New Roman" w:cs="Times New Roman"/>
          <w:sz w:val="24"/>
          <w:szCs w:val="24"/>
        </w:rPr>
        <w:t xml:space="preserve">he OOP </w:t>
      </w:r>
      <w:r>
        <w:rPr>
          <w:rFonts w:ascii="Times New Roman" w:hAnsi="Times New Roman" w:cs="Times New Roman"/>
          <w:sz w:val="24"/>
          <w:szCs w:val="24"/>
        </w:rPr>
        <w:t xml:space="preserve">that would be </w:t>
      </w:r>
      <w:r w:rsidRPr="000E20E3">
        <w:rPr>
          <w:rFonts w:ascii="Times New Roman" w:hAnsi="Times New Roman" w:cs="Times New Roman"/>
          <w:sz w:val="24"/>
          <w:szCs w:val="24"/>
        </w:rPr>
        <w:t xml:space="preserve">averted </w:t>
      </w:r>
      <w:r>
        <w:rPr>
          <w:rFonts w:ascii="Times New Roman" w:hAnsi="Times New Roman" w:cs="Times New Roman"/>
          <w:sz w:val="24"/>
          <w:szCs w:val="24"/>
        </w:rPr>
        <w:t xml:space="preserve">would </w:t>
      </w:r>
      <w:r w:rsidRPr="000E20E3">
        <w:rPr>
          <w:rFonts w:ascii="Times New Roman" w:hAnsi="Times New Roman" w:cs="Times New Roman"/>
          <w:sz w:val="24"/>
          <w:szCs w:val="24"/>
        </w:rPr>
        <w:t>include US$544,000 for epilepsy, US$162,000 for depression, US$241,000 for bipolar disorder</w:t>
      </w:r>
      <w:r>
        <w:rPr>
          <w:rFonts w:ascii="Times New Roman" w:hAnsi="Times New Roman" w:cs="Times New Roman"/>
          <w:sz w:val="24"/>
          <w:szCs w:val="24"/>
        </w:rPr>
        <w:t>,</w:t>
      </w:r>
      <w:r w:rsidRPr="000E20E3">
        <w:rPr>
          <w:rFonts w:ascii="Times New Roman" w:hAnsi="Times New Roman" w:cs="Times New Roman"/>
          <w:sz w:val="24"/>
          <w:szCs w:val="24"/>
        </w:rPr>
        <w:t xml:space="preserve"> and US$81,000 for Schizophrenia. </w:t>
      </w:r>
    </w:p>
    <w:p w14:paraId="45B38064" w14:textId="79BC57D6" w:rsidR="0017552A" w:rsidRPr="00CB2EF3" w:rsidRDefault="00CB2EF3" w:rsidP="0017552A">
      <w:pPr>
        <w:spacing w:line="480" w:lineRule="auto"/>
        <w:rPr>
          <w:rFonts w:ascii="Times New Roman" w:hAnsi="Times New Roman" w:cs="Times New Roman"/>
          <w:b/>
          <w:bCs/>
          <w:i/>
          <w:iCs/>
          <w:color w:val="242021"/>
          <w:sz w:val="24"/>
          <w:szCs w:val="24"/>
        </w:rPr>
      </w:pPr>
      <w:r w:rsidRPr="00CB2EF3">
        <w:rPr>
          <w:rFonts w:ascii="Times New Roman" w:hAnsi="Times New Roman" w:cs="Times New Roman"/>
          <w:b/>
          <w:bCs/>
          <w:i/>
          <w:iCs/>
          <w:color w:val="242021"/>
          <w:sz w:val="24"/>
          <w:szCs w:val="24"/>
        </w:rPr>
        <w:t>3.3.</w:t>
      </w:r>
      <w:r w:rsidRPr="00CB2EF3">
        <w:rPr>
          <w:rFonts w:ascii="Times New Roman" w:hAnsi="Times New Roman" w:cs="Times New Roman"/>
          <w:b/>
          <w:bCs/>
          <w:i/>
          <w:iCs/>
          <w:color w:val="242021"/>
          <w:sz w:val="24"/>
          <w:szCs w:val="24"/>
        </w:rPr>
        <w:t xml:space="preserve">3 </w:t>
      </w:r>
      <w:r w:rsidR="0017552A" w:rsidRPr="00CB2EF3">
        <w:rPr>
          <w:rFonts w:ascii="Times New Roman" w:hAnsi="Times New Roman" w:cs="Times New Roman"/>
          <w:b/>
          <w:bCs/>
          <w:i/>
          <w:iCs/>
          <w:color w:val="242021"/>
          <w:sz w:val="24"/>
          <w:szCs w:val="24"/>
        </w:rPr>
        <w:t>Financial Risk Protection (FRP):</w:t>
      </w:r>
    </w:p>
    <w:p w14:paraId="552FC39F" w14:textId="2619FA3D" w:rsidR="0017552A" w:rsidRPr="009F308A" w:rsidRDefault="0017552A" w:rsidP="0017552A">
      <w:pPr>
        <w:spacing w:line="480" w:lineRule="auto"/>
        <w:jc w:val="both"/>
        <w:rPr>
          <w:rFonts w:ascii="Times New Roman" w:hAnsi="Times New Roman" w:cs="Times New Roman"/>
          <w:sz w:val="24"/>
          <w:szCs w:val="24"/>
        </w:rPr>
      </w:pPr>
      <w:r w:rsidRPr="002F0887">
        <w:rPr>
          <w:rFonts w:ascii="Times New Roman" w:hAnsi="Times New Roman" w:cs="Times New Roman"/>
          <w:color w:val="242021"/>
          <w:sz w:val="24"/>
          <w:szCs w:val="24"/>
        </w:rPr>
        <w:t xml:space="preserve">About 95% of the article reported </w:t>
      </w:r>
      <w:r>
        <w:rPr>
          <w:rFonts w:ascii="Times New Roman" w:hAnsi="Times New Roman" w:cs="Times New Roman"/>
          <w:color w:val="242021"/>
          <w:sz w:val="24"/>
          <w:szCs w:val="24"/>
        </w:rPr>
        <w:t>FRP</w:t>
      </w:r>
      <w:r w:rsidRPr="002F0887">
        <w:rPr>
          <w:rFonts w:ascii="Times New Roman" w:hAnsi="Times New Roman" w:cs="Times New Roman"/>
          <w:color w:val="242021"/>
          <w:sz w:val="24"/>
          <w:szCs w:val="24"/>
        </w:rPr>
        <w:t xml:space="preserve"> of the </w:t>
      </w:r>
      <w:r w:rsidR="00437072">
        <w:rPr>
          <w:rFonts w:ascii="Times New Roman" w:hAnsi="Times New Roman" w:cs="Times New Roman"/>
          <w:color w:val="242021"/>
          <w:sz w:val="24"/>
          <w:szCs w:val="24"/>
        </w:rPr>
        <w:t xml:space="preserve">interventions </w:t>
      </w:r>
      <w:r w:rsidRPr="002F0887">
        <w:rPr>
          <w:rFonts w:ascii="Times New Roman" w:hAnsi="Times New Roman" w:cs="Times New Roman"/>
          <w:color w:val="242021"/>
          <w:sz w:val="24"/>
          <w:szCs w:val="24"/>
        </w:rPr>
        <w:t xml:space="preserve">such as </w:t>
      </w:r>
      <w:r w:rsidR="00A63652">
        <w:rPr>
          <w:rFonts w:ascii="Times New Roman" w:hAnsi="Times New Roman" w:cs="Times New Roman"/>
          <w:color w:val="242021"/>
          <w:sz w:val="24"/>
          <w:szCs w:val="24"/>
        </w:rPr>
        <w:t>CHE and</w:t>
      </w:r>
      <w:r w:rsidRPr="002F0887">
        <w:rPr>
          <w:rFonts w:ascii="Times New Roman" w:hAnsi="Times New Roman" w:cs="Times New Roman"/>
          <w:color w:val="242021"/>
          <w:sz w:val="24"/>
          <w:szCs w:val="24"/>
        </w:rPr>
        <w:t xml:space="preserve"> poverty</w:t>
      </w:r>
      <w:r w:rsidR="00A63652">
        <w:rPr>
          <w:rFonts w:ascii="Times New Roman" w:hAnsi="Times New Roman" w:cs="Times New Roman"/>
          <w:color w:val="242021"/>
          <w:sz w:val="24"/>
          <w:szCs w:val="24"/>
        </w:rPr>
        <w:t xml:space="preserve"> cases</w:t>
      </w:r>
      <w:r w:rsidRPr="002F0887">
        <w:rPr>
          <w:rFonts w:ascii="Times New Roman" w:hAnsi="Times New Roman" w:cs="Times New Roman"/>
          <w:color w:val="242021"/>
          <w:sz w:val="24"/>
          <w:szCs w:val="24"/>
        </w:rPr>
        <w:t xml:space="preserve"> averted, </w:t>
      </w:r>
      <w:r>
        <w:rPr>
          <w:rFonts w:ascii="Times New Roman" w:hAnsi="Times New Roman" w:cs="Times New Roman"/>
          <w:color w:val="242021"/>
          <w:sz w:val="24"/>
          <w:szCs w:val="24"/>
        </w:rPr>
        <w:t xml:space="preserve">the </w:t>
      </w:r>
      <w:r w:rsidRPr="002F0887">
        <w:rPr>
          <w:rFonts w:ascii="Times New Roman" w:hAnsi="Times New Roman" w:cs="Times New Roman"/>
          <w:color w:val="242021"/>
          <w:sz w:val="24"/>
          <w:szCs w:val="24"/>
        </w:rPr>
        <w:t>money-metric value of insurance provided</w:t>
      </w:r>
      <w:r>
        <w:rPr>
          <w:rFonts w:ascii="Times New Roman" w:hAnsi="Times New Roman" w:cs="Times New Roman"/>
          <w:color w:val="242021"/>
          <w:sz w:val="24"/>
          <w:szCs w:val="24"/>
        </w:rPr>
        <w:t xml:space="preserve">. </w:t>
      </w:r>
      <w:r>
        <w:rPr>
          <w:rFonts w:ascii="Times New Roman" w:hAnsi="Times New Roman" w:cs="Times New Roman"/>
          <w:color w:val="242021"/>
          <w:sz w:val="24"/>
          <w:szCs w:val="24"/>
        </w:rPr>
        <w:fldChar w:fldCharType="begin" w:fldLock="1"/>
      </w:r>
      <w:r>
        <w:rPr>
          <w:rFonts w:ascii="Times New Roman" w:hAnsi="Times New Roman" w:cs="Times New Roman"/>
          <w:color w:val="242021"/>
          <w:sz w:val="24"/>
          <w:szCs w:val="24"/>
        </w:rPr>
        <w:instrText>ADDIN CSL_CITATION {"citationItems":[{"id":"ITEM-1","itemData":{"DOI":"10.1093/heapol/czz181","ISSN":"14602237","PMID":"32031615","abstract":"Treatment costs remain a barrier for having timely cataract surgery in Vietnam, particularly for females and the poor, despite significant progress in achieving universal health coverage (UHC). This study evaluated the potential impact, on health and financial protection, of eliminating medical and non-medical out-of-pocket costs associated with cataract surgery. An extended cost-effectiveness analysis (ECEA) was conducted with a societal perspective. The ECEA modelled how many more disability-adjusted life years (DALYs) and cases of catastrophic health expenditure (CHE) and medical impoverishment could be averted across income quintiles and between males and females. Two programmes were evaluated: (1) eliminating medical out-of-pocket costs for small incision cataract surgery and (2) Programme A plus a voucher programme covering non-medical out-of-pocket costs. Compared with current, the incremental cost per year of Programme A was estimated to be $833 396 and $1 641 835 for Programme B, each representing &lt;0.01% of total health care spending in 2016. Males and females in the richest income quintiles would avert more DALYs than those in the poorest quintiles. For both programmes, most cases of CHE would be averted by individuals in the poorest income quintile. Programme B would avert the most CHE cases overall and females would have a greater share of benefits. All cases of impoverishing medical expenditure would be averted by individuals in the poorest quintile (A: 115 cases and B: 493 cases) for both programmes. The cost to avert each case of CHE with Programme A ranged from $67 to $292 and $100 to $232 for Programme B. We found a pro-rich health distribution and a pro-poor CHE distribution associated with eliminating out-of-pocket costs of cataract surgery in Vietnam. A programme that addressed both medical and non-medical out-of-pocket costs could have the greatest impact on improving financial protection in this population, particularly among the poorest income quintiles and for females. This study supports the concordance between the objectives of UHC and gender equity.","author":[{"dropping-particle":"","family":"Essue","given":"Beverley M.","non-dropping-particle":"","parse-names":false,"suffix":""},{"dropping-particle":"","family":"Jan","given":"Stephen","non-dropping-particle":"","parse-names":false,"suffix":""},{"dropping-particle":"","family":"Phuc","given":"Huynh Tan","non-dropping-particle":"","parse-names":false,"suffix":""},{"dropping-particle":"","family":"Dodson","given":"Sarity","non-dropping-particle":"","parse-names":false,"suffix":""},{"dropping-particle":"","family":"Armstrong","given":"Kirsten","non-dropping-particle":"","parse-names":false,"suffix":""},{"dropping-particle":"","family":"Laba","given":"Tracey Lea","non-dropping-particle":"","parse-names":false,"suffix":""}],"container-title":"Health Policy and Planning","id":"ITEM-1","issue":"4","issued":{"date-parts":[["2020"]]},"page":"399-407","title":"Who benefits most from extending financial protection for cataract surgery in Vietnam? An extended cost-effectiveness analysis of small incision surgery","type":"article-journal","volume":"35"},"uris":["http://www.mendeley.com/documents/?uuid=60f525c3-7ceb-4a67-8c0b-85a3c7db2c8c"]}],"mendeley":{"formattedCitation":"(Essue et al., 2020)","manualFormatting":"Essue et al. (2020)","plainTextFormattedCitation":"(Essue et al., 2020)","previouslyFormattedCitation":"(Essue et al., 2020)"},"properties":{"noteIndex":0},"schema":"https://github.com/citation-style-language/schema/raw/master/csl-citation.json"}</w:instrText>
      </w:r>
      <w:r>
        <w:rPr>
          <w:rFonts w:ascii="Times New Roman" w:hAnsi="Times New Roman" w:cs="Times New Roman"/>
          <w:color w:val="242021"/>
          <w:sz w:val="24"/>
          <w:szCs w:val="24"/>
        </w:rPr>
        <w:fldChar w:fldCharType="separate"/>
      </w:r>
      <w:r w:rsidRPr="00EA358D">
        <w:rPr>
          <w:rFonts w:ascii="Times New Roman" w:hAnsi="Times New Roman" w:cs="Times New Roman"/>
          <w:noProof/>
          <w:color w:val="242021"/>
          <w:sz w:val="24"/>
          <w:szCs w:val="24"/>
        </w:rPr>
        <w:t xml:space="preserve">Essue et al. </w:t>
      </w:r>
      <w:r>
        <w:rPr>
          <w:rFonts w:ascii="Times New Roman" w:hAnsi="Times New Roman" w:cs="Times New Roman"/>
          <w:noProof/>
          <w:color w:val="242021"/>
          <w:sz w:val="24"/>
          <w:szCs w:val="24"/>
        </w:rPr>
        <w:t>(</w:t>
      </w:r>
      <w:r w:rsidRPr="00EA358D">
        <w:rPr>
          <w:rFonts w:ascii="Times New Roman" w:hAnsi="Times New Roman" w:cs="Times New Roman"/>
          <w:noProof/>
          <w:color w:val="242021"/>
          <w:sz w:val="24"/>
          <w:szCs w:val="24"/>
        </w:rPr>
        <w:t>2020)</w:t>
      </w:r>
      <w:r>
        <w:rPr>
          <w:rFonts w:ascii="Times New Roman" w:hAnsi="Times New Roman" w:cs="Times New Roman"/>
          <w:color w:val="242021"/>
          <w:sz w:val="24"/>
          <w:szCs w:val="24"/>
        </w:rPr>
        <w:fldChar w:fldCharType="end"/>
      </w:r>
      <w:r>
        <w:rPr>
          <w:rFonts w:ascii="Times New Roman" w:hAnsi="Times New Roman" w:cs="Times New Roman"/>
          <w:color w:val="242021"/>
          <w:sz w:val="24"/>
          <w:szCs w:val="24"/>
        </w:rPr>
        <w:t xml:space="preserve"> found that when both medical and non-medical costs associated with small incision surgery are eliminated for patients, it will </w:t>
      </w:r>
      <w:r w:rsidRPr="00EA358D">
        <w:rPr>
          <w:rFonts w:ascii="Times New Roman" w:hAnsi="Times New Roman" w:cs="Times New Roman"/>
          <w:color w:val="242021"/>
          <w:sz w:val="24"/>
          <w:szCs w:val="24"/>
        </w:rPr>
        <w:t xml:space="preserve">avert </w:t>
      </w:r>
      <w:r w:rsidRPr="00EA358D">
        <w:rPr>
          <w:rFonts w:ascii="Times New Roman" w:hAnsi="Times New Roman" w:cs="Times New Roman"/>
          <w:sz w:val="24"/>
          <w:szCs w:val="24"/>
        </w:rPr>
        <w:t>5,473 cases of CHE and 493 poverty cases</w:t>
      </w:r>
      <w:r>
        <w:rPr>
          <w:rFonts w:ascii="Times New Roman" w:hAnsi="Times New Roman" w:cs="Times New Roman"/>
          <w:sz w:val="24"/>
          <w:szCs w:val="24"/>
        </w:rPr>
        <w:t xml:space="preserve"> </w:t>
      </w:r>
      <w:r>
        <w:rPr>
          <w:rFonts w:ascii="Times New Roman" w:hAnsi="Times New Roman" w:cs="Times New Roman"/>
          <w:color w:val="242021"/>
          <w:sz w:val="24"/>
          <w:szCs w:val="24"/>
        </w:rPr>
        <w:t>in Vietnam</w:t>
      </w:r>
      <w:r w:rsidRPr="00EA358D">
        <w:rPr>
          <w:rFonts w:ascii="Times New Roman" w:hAnsi="Times New Roman" w:cs="Times New Roman"/>
          <w:sz w:val="24"/>
          <w:szCs w:val="24"/>
        </w:rPr>
        <w:t>.</w:t>
      </w:r>
    </w:p>
    <w:p w14:paraId="2470819B" w14:textId="1A068FCB" w:rsidR="0017552A" w:rsidRPr="00CB2EF3" w:rsidRDefault="00CB2EF3" w:rsidP="0017552A">
      <w:pPr>
        <w:spacing w:line="480" w:lineRule="auto"/>
        <w:rPr>
          <w:rFonts w:ascii="Times New Roman" w:hAnsi="Times New Roman" w:cs="Times New Roman"/>
          <w:b/>
          <w:bCs/>
          <w:i/>
          <w:iCs/>
          <w:color w:val="242021"/>
          <w:sz w:val="24"/>
          <w:szCs w:val="24"/>
        </w:rPr>
      </w:pPr>
      <w:r w:rsidRPr="00CB2EF3">
        <w:rPr>
          <w:rFonts w:ascii="Times New Roman" w:hAnsi="Times New Roman" w:cs="Times New Roman"/>
          <w:b/>
          <w:bCs/>
          <w:i/>
          <w:iCs/>
          <w:color w:val="242021"/>
          <w:sz w:val="24"/>
          <w:szCs w:val="24"/>
        </w:rPr>
        <w:t>3.3.</w:t>
      </w:r>
      <w:r w:rsidRPr="00CB2EF3">
        <w:rPr>
          <w:rFonts w:ascii="Times New Roman" w:hAnsi="Times New Roman" w:cs="Times New Roman"/>
          <w:b/>
          <w:bCs/>
          <w:i/>
          <w:iCs/>
          <w:color w:val="242021"/>
          <w:sz w:val="24"/>
          <w:szCs w:val="24"/>
        </w:rPr>
        <w:t xml:space="preserve">4 </w:t>
      </w:r>
      <w:r w:rsidR="0017552A" w:rsidRPr="00CB2EF3">
        <w:rPr>
          <w:rFonts w:ascii="Times New Roman" w:hAnsi="Times New Roman" w:cs="Times New Roman"/>
          <w:b/>
          <w:bCs/>
          <w:i/>
          <w:iCs/>
          <w:color w:val="242021"/>
          <w:sz w:val="24"/>
          <w:szCs w:val="24"/>
        </w:rPr>
        <w:t>Equity:</w:t>
      </w:r>
    </w:p>
    <w:p w14:paraId="5FA4EF61" w14:textId="1A4C36A6" w:rsidR="0042647A" w:rsidRPr="007417EE" w:rsidRDefault="0017552A" w:rsidP="006D3916">
      <w:pPr>
        <w:spacing w:line="480" w:lineRule="auto"/>
        <w:jc w:val="both"/>
        <w:rPr>
          <w:rFonts w:ascii="Times New Roman" w:hAnsi="Times New Roman" w:cs="Times New Roman"/>
          <w:color w:val="242021"/>
          <w:sz w:val="24"/>
          <w:szCs w:val="24"/>
        </w:rPr>
      </w:pPr>
      <w:r w:rsidRPr="002F0887">
        <w:rPr>
          <w:rFonts w:ascii="Times New Roman" w:hAnsi="Times New Roman" w:cs="Times New Roman"/>
          <w:color w:val="242021"/>
          <w:sz w:val="24"/>
          <w:szCs w:val="24"/>
        </w:rPr>
        <w:t>Mostly</w:t>
      </w:r>
      <w:r>
        <w:rPr>
          <w:rFonts w:ascii="Times New Roman" w:hAnsi="Times New Roman" w:cs="Times New Roman"/>
          <w:color w:val="242021"/>
          <w:sz w:val="24"/>
          <w:szCs w:val="24"/>
        </w:rPr>
        <w:t>,</w:t>
      </w:r>
      <w:r w:rsidRPr="002F0887">
        <w:rPr>
          <w:rFonts w:ascii="Times New Roman" w:hAnsi="Times New Roman" w:cs="Times New Roman"/>
          <w:color w:val="242021"/>
          <w:sz w:val="24"/>
          <w:szCs w:val="24"/>
        </w:rPr>
        <w:t xml:space="preserve"> </w:t>
      </w:r>
      <w:r w:rsidR="001D323B">
        <w:rPr>
          <w:rFonts w:ascii="Times New Roman" w:hAnsi="Times New Roman" w:cs="Times New Roman"/>
          <w:color w:val="242021"/>
          <w:sz w:val="24"/>
          <w:szCs w:val="24"/>
        </w:rPr>
        <w:t xml:space="preserve">interventions </w:t>
      </w:r>
      <w:r w:rsidRPr="002F0887">
        <w:rPr>
          <w:rFonts w:ascii="Times New Roman" w:hAnsi="Times New Roman" w:cs="Times New Roman"/>
          <w:color w:val="242021"/>
          <w:sz w:val="24"/>
          <w:szCs w:val="24"/>
        </w:rPr>
        <w:t>unequally</w:t>
      </w:r>
      <w:r>
        <w:rPr>
          <w:rFonts w:ascii="Times New Roman" w:hAnsi="Times New Roman" w:cs="Times New Roman"/>
          <w:color w:val="242021"/>
          <w:sz w:val="24"/>
          <w:szCs w:val="24"/>
        </w:rPr>
        <w:t xml:space="preserve"> </w:t>
      </w:r>
      <w:r w:rsidRPr="002F0887">
        <w:rPr>
          <w:rFonts w:ascii="Times New Roman" w:hAnsi="Times New Roman" w:cs="Times New Roman"/>
          <w:color w:val="242021"/>
          <w:sz w:val="24"/>
          <w:szCs w:val="24"/>
        </w:rPr>
        <w:t xml:space="preserve">benefited </w:t>
      </w:r>
      <w:r>
        <w:rPr>
          <w:rFonts w:ascii="Times New Roman" w:hAnsi="Times New Roman" w:cs="Times New Roman"/>
          <w:color w:val="242021"/>
          <w:sz w:val="24"/>
          <w:szCs w:val="24"/>
        </w:rPr>
        <w:t>certain income groups (poor or rich) or gender (male or female)</w:t>
      </w:r>
      <w:r w:rsidRPr="002F0887">
        <w:rPr>
          <w:rFonts w:ascii="Times New Roman" w:hAnsi="Times New Roman" w:cs="Times New Roman"/>
          <w:color w:val="242021"/>
          <w:sz w:val="24"/>
          <w:szCs w:val="24"/>
        </w:rPr>
        <w:t>.</w:t>
      </w:r>
      <w:r>
        <w:rPr>
          <w:rFonts w:ascii="Times New Roman" w:hAnsi="Times New Roman" w:cs="Times New Roman"/>
          <w:color w:val="242021"/>
          <w:sz w:val="24"/>
          <w:szCs w:val="24"/>
        </w:rPr>
        <w:t xml:space="preserve"> Only </w:t>
      </w:r>
      <w:r>
        <w:rPr>
          <w:rFonts w:ascii="Times New Roman" w:hAnsi="Times New Roman" w:cs="Times New Roman"/>
          <w:color w:val="242021"/>
          <w:sz w:val="24"/>
          <w:szCs w:val="24"/>
        </w:rPr>
        <w:fldChar w:fldCharType="begin" w:fldLock="1"/>
      </w:r>
      <w:r>
        <w:rPr>
          <w:rFonts w:ascii="Times New Roman" w:hAnsi="Times New Roman" w:cs="Times New Roman"/>
          <w:color w:val="242021"/>
          <w:sz w:val="24"/>
          <w:szCs w:val="24"/>
        </w:rPr>
        <w:instrText>ADDIN CSL_CITATION {"citationItems":[{"id":"ITEM-1","itemData":{"DOI":"10.1093/heapol/czz181","ISSN":"14602237","PMID":"32031615","abstract":"Treatment costs remain a barrier for having timely cataract surgery in Vietnam, particularly for females and the poor, despite significant progress in achieving universal health coverage (UHC). This study evaluated the potential impact, on health and financial protection, of eliminating medical and non-medical out-of-pocket costs associated with cataract surgery. An extended cost-effectiveness analysis (ECEA) was conducted with a societal perspective. The ECEA modelled how many more disability-adjusted life years (DALYs) and cases of catastrophic health expenditure (CHE) and medical impoverishment could be averted across income quintiles and between males and females. Two programmes were evaluated: (1) eliminating medical out-of-pocket costs for small incision cataract surgery and (2) Programme A plus a voucher programme covering non-medical out-of-pocket costs. Compared with current, the incremental cost per year of Programme A was estimated to be $833 396 and $1 641 835 for Programme B, each representing &lt;0.01% of total health care spending in 2016. Males and females in the richest income quintiles would avert more DALYs than those in the poorest quintiles. For both programmes, most cases of CHE would be averted by individuals in the poorest income quintile. Programme B would avert the most CHE cases overall and females would have a greater share of benefits. All cases of impoverishing medical expenditure would be averted by individuals in the poorest quintile (A: 115 cases and B: 493 cases) for both programmes. The cost to avert each case of CHE with Programme A ranged from $67 to $292 and $100 to $232 for Programme B. We found a pro-rich health distribution and a pro-poor CHE distribution associated with eliminating out-of-pocket costs of cataract surgery in Vietnam. A programme that addressed both medical and non-medical out-of-pocket costs could have the greatest impact on improving financial protection in this population, particularly among the poorest income quintiles and for females. This study supports the concordance between the objectives of UHC and gender equity.","author":[{"dropping-particle":"","family":"Essue","given":"Beverley M.","non-dropping-particle":"","parse-names":false,"suffix":""},{"dropping-particle":"","family":"Jan","given":"Stephen","non-dropping-particle":"","parse-names":false,"suffix":""},{"dropping-particle":"","family":"Phuc","given":"Huynh Tan","non-dropping-particle":"","parse-names":false,"suffix":""},{"dropping-particle":"","family":"Dodson","given":"Sarity","non-dropping-particle":"","parse-names":false,"suffix":""},{"dropping-particle":"","family":"Armstrong","given":"Kirsten","non-dropping-particle":"","parse-names":false,"suffix":""},{"dropping-particle":"","family":"Laba","given":"Tracey Lea","non-dropping-particle":"","parse-names":false,"suffix":""}],"container-title":"Health Policy and Planning","id":"ITEM-1","issue":"4","issued":{"date-parts":[["2020"]]},"page":"399-407","title":"Who benefits most from extending financial protection for cataract surgery in Vietnam? An extended cost-effectiveness analysis of small incision surgery","type":"article-journal","volume":"35"},"uris":["http://www.mendeley.com/documents/?uuid=60f525c3-7ceb-4a67-8c0b-85a3c7db2c8c"]}],"mendeley":{"formattedCitation":"(Essue et al., 2020)","manualFormatting":"Essue et al. (2020)","plainTextFormattedCitation":"(Essue et al., 2020)","previouslyFormattedCitation":"(Essue et al., 2020)"},"properties":{"noteIndex":0},"schema":"https://github.com/citation-style-language/schema/raw/master/csl-citation.json"}</w:instrText>
      </w:r>
      <w:r>
        <w:rPr>
          <w:rFonts w:ascii="Times New Roman" w:hAnsi="Times New Roman" w:cs="Times New Roman"/>
          <w:color w:val="242021"/>
          <w:sz w:val="24"/>
          <w:szCs w:val="24"/>
        </w:rPr>
        <w:fldChar w:fldCharType="separate"/>
      </w:r>
      <w:r w:rsidRPr="00D311E2">
        <w:rPr>
          <w:rFonts w:ascii="Times New Roman" w:hAnsi="Times New Roman" w:cs="Times New Roman"/>
          <w:noProof/>
          <w:color w:val="242021"/>
          <w:sz w:val="24"/>
          <w:szCs w:val="24"/>
        </w:rPr>
        <w:t xml:space="preserve">Essue et al. </w:t>
      </w:r>
      <w:r>
        <w:rPr>
          <w:rFonts w:ascii="Times New Roman" w:hAnsi="Times New Roman" w:cs="Times New Roman"/>
          <w:noProof/>
          <w:color w:val="242021"/>
          <w:sz w:val="24"/>
          <w:szCs w:val="24"/>
        </w:rPr>
        <w:t>(</w:t>
      </w:r>
      <w:r w:rsidRPr="00D311E2">
        <w:rPr>
          <w:rFonts w:ascii="Times New Roman" w:hAnsi="Times New Roman" w:cs="Times New Roman"/>
          <w:noProof/>
          <w:color w:val="242021"/>
          <w:sz w:val="24"/>
          <w:szCs w:val="24"/>
        </w:rPr>
        <w:t>2020)</w:t>
      </w:r>
      <w:r>
        <w:rPr>
          <w:rFonts w:ascii="Times New Roman" w:hAnsi="Times New Roman" w:cs="Times New Roman"/>
          <w:color w:val="242021"/>
          <w:sz w:val="24"/>
          <w:szCs w:val="24"/>
        </w:rPr>
        <w:fldChar w:fldCharType="end"/>
      </w:r>
      <w:r>
        <w:rPr>
          <w:rFonts w:ascii="Times New Roman" w:hAnsi="Times New Roman" w:cs="Times New Roman"/>
          <w:color w:val="242021"/>
          <w:sz w:val="24"/>
          <w:szCs w:val="24"/>
        </w:rPr>
        <w:t xml:space="preserve"> stratified the distributional benefits of interventions by sex and income quintiles. The remaining articles only focused on income quintile stratification.  </w:t>
      </w:r>
      <w:r>
        <w:rPr>
          <w:rFonts w:ascii="Times New Roman" w:hAnsi="Times New Roman" w:cs="Times New Roman"/>
          <w:color w:val="242021"/>
          <w:sz w:val="24"/>
          <w:szCs w:val="24"/>
        </w:rPr>
        <w:fldChar w:fldCharType="begin" w:fldLock="1"/>
      </w:r>
      <w:r>
        <w:rPr>
          <w:rFonts w:ascii="Times New Roman" w:hAnsi="Times New Roman" w:cs="Times New Roman"/>
          <w:color w:val="242021"/>
          <w:sz w:val="24"/>
          <w:szCs w:val="24"/>
        </w:rPr>
        <w:instrText>ADDIN CSL_CITATION {"citationItems":[{"id":"ITEM-1","itemData":{"DOI":"10.1186/s12936-020-3103-5","ISSN":"14752875","PMID":"31973694","abstract":"Background: Malaria is a public health burden and a major cause for morbidity and mortality in Ethiopia. Malaria also places a substantial financial burden on families and Ethiopia's national economy. Economic evaluations, with evidence on equity and financial risk protection (FRP), are therefore essential to support decision-making for policymakers to identify best buys amongst possible malaria interventions. The aim of this study is to estimate the expected health and FRP benefits of universal public financing of key malaria interventions in Ethiopia. Methods: Using extended cost-effectiveness analysis (ECEA), the potential health and FRP benefits were estimated, and their distributions across socio-economic groups, of publicly financing a 10% coverage increase in artemisinin-based combination therapy (ACT), long-lasting insecticide-treated bed nets (LLIN), indoor residual spraying (IRS), and malaria vaccine (hypothetical). Results: ACT, LLIN, IRS, and vaccine would avert 358, 188, 107 and 38 deaths, respectively, each year at a net government cost of $5.7, 16.5, 32.6, and 5.1 million, respectively. The annual cost of implementing IRS would be two times higher than that of the LLIN interventions, and would be the main driver of the total costs. The averted deaths would be mainly concentrated in the poorest two income quintiles. The four interventions would eliminate about $4,627,800 of private health expenditures, and the poorest income quintiles would see the greatest FRP benefits. ACT and LLINs would have the largest impact on malaria-related deaths averted and FRP benefits. Conclusions: ACT, LLIN, IRS, and vaccine interventions would bring large health and financial benefits to the poorest households in Ethiopia.","author":[{"dropping-particle":"","family":"Assebe","given":"Lelisa Fekadu","non-dropping-particle":"","parse-names":false,"suffix":""},{"dropping-particle":"","family":"Kwete","given":"Xiaoxiao Jiang","non-dropping-particle":"","parse-names":false,"suffix":""},{"dropping-particle":"","family":"Wang","given":"Dan","non-dropping-particle":"","parse-names":false,"suffix":""},{"dropping-particle":"","family":"Liu","given":"Lingrui","non-dropping-particle":"","parse-names":false,"suffix":""},{"dropping-particle":"","family":"Norheim","given":"Ole Frithjof","non-dropping-particle":"","parse-names":false,"suffix":""},{"dropping-particle":"","family":"Jbaily","given":"Abdulrahman","non-dropping-particle":"","parse-names":false,"suffix":""},{"dropping-particle":"","family":"Verguet","given":"Stéphane","non-dropping-particle":"","parse-names":false,"suffix":""},{"dropping-particle":"","family":"Johansson","given":"Kjell Arne","non-dropping-particle":"","parse-names":false,"suffix":""},{"dropping-particle":"","family":"Tolla","given":"Mieraf Taddesse","non-dropping-particle":"","parse-names":false,"suffix":""}],"container-title":"Malaria Journal","id":"ITEM-1","issue":"1","issued":{"date-parts":[["2020"]]},"page":"1-10","publisher":"BioMed Central","title":"Health gains and financial risk protection afforded by public financing of selected malaria interventions in Ethiopia: An extended cost-effectiveness analysis","type":"article-journal","volume":"19"},"uris":["http://www.mendeley.com/documents/?uuid=2743b14c-6286-458b-96b4-c8e8e2bb5d36"]}],"mendeley":{"formattedCitation":"(Assebe et al., 2020)","manualFormatting":"Assebe et al. (2020)","plainTextFormattedCitation":"(Assebe et al., 2020)","previouslyFormattedCitation":"(Assebe et al., 2020)"},"properties":{"noteIndex":0},"schema":"https://github.com/citation-style-language/schema/raw/master/csl-citation.json"}</w:instrText>
      </w:r>
      <w:r>
        <w:rPr>
          <w:rFonts w:ascii="Times New Roman" w:hAnsi="Times New Roman" w:cs="Times New Roman"/>
          <w:color w:val="242021"/>
          <w:sz w:val="24"/>
          <w:szCs w:val="24"/>
        </w:rPr>
        <w:fldChar w:fldCharType="separate"/>
      </w:r>
      <w:r w:rsidRPr="00D6131B">
        <w:rPr>
          <w:rFonts w:ascii="Times New Roman" w:hAnsi="Times New Roman" w:cs="Times New Roman"/>
          <w:noProof/>
          <w:color w:val="242021"/>
          <w:sz w:val="24"/>
          <w:szCs w:val="24"/>
        </w:rPr>
        <w:t xml:space="preserve">Assebe et al. </w:t>
      </w:r>
      <w:r>
        <w:rPr>
          <w:rFonts w:ascii="Times New Roman" w:hAnsi="Times New Roman" w:cs="Times New Roman"/>
          <w:noProof/>
          <w:color w:val="242021"/>
          <w:sz w:val="24"/>
          <w:szCs w:val="24"/>
        </w:rPr>
        <w:t>(</w:t>
      </w:r>
      <w:r w:rsidRPr="00D6131B">
        <w:rPr>
          <w:rFonts w:ascii="Times New Roman" w:hAnsi="Times New Roman" w:cs="Times New Roman"/>
          <w:noProof/>
          <w:color w:val="242021"/>
          <w:sz w:val="24"/>
          <w:szCs w:val="24"/>
        </w:rPr>
        <w:t>2020)</w:t>
      </w:r>
      <w:r>
        <w:rPr>
          <w:rFonts w:ascii="Times New Roman" w:hAnsi="Times New Roman" w:cs="Times New Roman"/>
          <w:color w:val="242021"/>
          <w:sz w:val="24"/>
          <w:szCs w:val="24"/>
        </w:rPr>
        <w:fldChar w:fldCharType="end"/>
      </w:r>
      <w:r>
        <w:rPr>
          <w:rFonts w:ascii="Times New Roman" w:hAnsi="Times New Roman" w:cs="Times New Roman"/>
          <w:color w:val="242021"/>
          <w:sz w:val="24"/>
          <w:szCs w:val="24"/>
        </w:rPr>
        <w:t xml:space="preserve"> found that an increase in malaria intervention coverage in Ethiopia would avert more deaths and generate </w:t>
      </w:r>
      <w:r w:rsidR="001D323B">
        <w:rPr>
          <w:rFonts w:ascii="Times New Roman" w:hAnsi="Times New Roman" w:cs="Times New Roman"/>
          <w:color w:val="242021"/>
          <w:sz w:val="24"/>
          <w:szCs w:val="24"/>
        </w:rPr>
        <w:t>FRP</w:t>
      </w:r>
      <w:r>
        <w:rPr>
          <w:rFonts w:ascii="Times New Roman" w:hAnsi="Times New Roman" w:cs="Times New Roman"/>
          <w:color w:val="242021"/>
          <w:sz w:val="24"/>
          <w:szCs w:val="24"/>
        </w:rPr>
        <w:t xml:space="preserve"> among the poor compared to the rich. </w:t>
      </w:r>
    </w:p>
    <w:p w14:paraId="4EEEDCF7" w14:textId="72859C89" w:rsidR="00ED1403" w:rsidRPr="003F5034" w:rsidRDefault="00F3534F" w:rsidP="00ED1403">
      <w:pPr>
        <w:spacing w:line="480" w:lineRule="auto"/>
        <w:jc w:val="both"/>
        <w:rPr>
          <w:rFonts w:ascii="Times New Roman" w:hAnsi="Times New Roman" w:cs="Times New Roman"/>
          <w:b/>
          <w:bCs/>
          <w:i/>
          <w:iCs/>
          <w:color w:val="242021"/>
          <w:sz w:val="24"/>
          <w:szCs w:val="24"/>
        </w:rPr>
      </w:pPr>
      <w:r>
        <w:rPr>
          <w:rFonts w:ascii="Times New Roman" w:hAnsi="Times New Roman" w:cs="Times New Roman"/>
          <w:b/>
          <w:bCs/>
          <w:color w:val="242021"/>
          <w:sz w:val="24"/>
          <w:szCs w:val="24"/>
        </w:rPr>
        <w:t>3.</w:t>
      </w:r>
      <w:r>
        <w:rPr>
          <w:rFonts w:ascii="Times New Roman" w:hAnsi="Times New Roman" w:cs="Times New Roman"/>
          <w:b/>
          <w:bCs/>
          <w:color w:val="242021"/>
          <w:sz w:val="24"/>
          <w:szCs w:val="24"/>
        </w:rPr>
        <w:t xml:space="preserve">4 </w:t>
      </w:r>
      <w:r w:rsidR="003F5034" w:rsidRPr="003F5034">
        <w:rPr>
          <w:rFonts w:ascii="Times New Roman" w:hAnsi="Times New Roman" w:cs="Times New Roman"/>
          <w:b/>
          <w:bCs/>
          <w:i/>
          <w:iCs/>
          <w:sz w:val="24"/>
          <w:szCs w:val="24"/>
        </w:rPr>
        <w:t xml:space="preserve">Why is stratification of health and non-health benefits across </w:t>
      </w:r>
      <w:r w:rsidR="003F5034" w:rsidRPr="003F5034">
        <w:rPr>
          <w:rStyle w:val="fontstyle01"/>
          <w:rFonts w:ascii="Times New Roman" w:hAnsi="Times New Roman" w:cs="Times New Roman"/>
          <w:b/>
          <w:bCs/>
          <w:i/>
          <w:iCs/>
          <w:sz w:val="24"/>
          <w:szCs w:val="24"/>
        </w:rPr>
        <w:t>equity-relevant variables</w:t>
      </w:r>
      <w:r w:rsidR="003F5034" w:rsidRPr="003F5034">
        <w:rPr>
          <w:rFonts w:ascii="Times New Roman" w:hAnsi="Times New Roman" w:cs="Times New Roman"/>
          <w:b/>
          <w:bCs/>
          <w:i/>
          <w:iCs/>
          <w:sz w:val="24"/>
          <w:szCs w:val="24"/>
        </w:rPr>
        <w:t xml:space="preserve"> </w:t>
      </w:r>
      <w:r w:rsidR="004A5967">
        <w:rPr>
          <w:rFonts w:ascii="Times New Roman" w:hAnsi="Times New Roman" w:cs="Times New Roman"/>
          <w:b/>
          <w:bCs/>
          <w:i/>
          <w:iCs/>
          <w:sz w:val="24"/>
          <w:szCs w:val="24"/>
        </w:rPr>
        <w:t>important</w:t>
      </w:r>
      <w:r w:rsidR="00ED1403" w:rsidRPr="003F5034">
        <w:rPr>
          <w:rFonts w:ascii="Times New Roman" w:hAnsi="Times New Roman" w:cs="Times New Roman"/>
          <w:b/>
          <w:bCs/>
          <w:i/>
          <w:iCs/>
          <w:color w:val="242021"/>
          <w:sz w:val="24"/>
          <w:szCs w:val="24"/>
        </w:rPr>
        <w:t>?</w:t>
      </w:r>
    </w:p>
    <w:p w14:paraId="7FD5F340" w14:textId="6CE5B448" w:rsidR="001E02E5" w:rsidRPr="001E02E5" w:rsidRDefault="001E02E5" w:rsidP="00ED1403">
      <w:pPr>
        <w:spacing w:line="480" w:lineRule="auto"/>
        <w:jc w:val="both"/>
        <w:rPr>
          <w:rFonts w:ascii="Times New Roman" w:hAnsi="Times New Roman" w:cs="Times New Roman"/>
          <w:b/>
          <w:bCs/>
          <w:i/>
          <w:iCs/>
          <w:sz w:val="24"/>
          <w:szCs w:val="24"/>
        </w:rPr>
      </w:pPr>
      <w:r w:rsidRPr="001E02E5">
        <w:rPr>
          <w:rFonts w:ascii="Times New Roman" w:hAnsi="Times New Roman" w:cs="Times New Roman"/>
          <w:b/>
          <w:bCs/>
          <w:i/>
          <w:iCs/>
          <w:sz w:val="24"/>
          <w:szCs w:val="24"/>
        </w:rPr>
        <w:t>3.4.1 Tax policies</w:t>
      </w:r>
    </w:p>
    <w:p w14:paraId="6C739FB8" w14:textId="74082630" w:rsidR="00143002" w:rsidRPr="00BF5D98" w:rsidRDefault="00BF5D98" w:rsidP="00ED1403">
      <w:pPr>
        <w:spacing w:line="480" w:lineRule="auto"/>
        <w:jc w:val="both"/>
        <w:rPr>
          <w:rFonts w:ascii="Times New Roman" w:hAnsi="Times New Roman" w:cs="Times New Roman"/>
          <w:sz w:val="24"/>
          <w:szCs w:val="24"/>
        </w:rPr>
      </w:pPr>
      <w:r w:rsidRPr="00BF5D98">
        <w:rPr>
          <w:rFonts w:ascii="Times New Roman" w:hAnsi="Times New Roman" w:cs="Times New Roman"/>
          <w:sz w:val="24"/>
          <w:szCs w:val="24"/>
        </w:rPr>
        <w:fldChar w:fldCharType="begin" w:fldLock="1"/>
      </w:r>
      <w:r w:rsidRPr="00BF5D98">
        <w:rPr>
          <w:rFonts w:ascii="Times New Roman" w:hAnsi="Times New Roman" w:cs="Times New Roman"/>
          <w:sz w:val="24"/>
          <w:szCs w:val="24"/>
        </w:rPr>
        <w:instrText>ADDIN CSL_CITATION {"citationItems":[{"id":"ITEM-1","itemData":{"DOI":"10.1016/S2214-109X(15)70095-1","ISSN":"2214109X","PMID":"25772692","abstract":"Background: In China, there are more than 300 million male smokers. Tobacco taxation reduces smoking-related premature deaths and increases government revenues, but has been criticised for disproportionately affecting poorer people. We assess the distributional consequences (across different wealth quintiles) of a specific excise tax on cigarettes in China in terms of both financial and health outcomes. Methods: We use extended cost-effectiveness analysis methods to estimate, across income quintiles, the health benefits (years of life gained), the additional tax revenues raised, the net financial consequences for households, and the financial risk protection provided to households, that would be caused by a 50% increase in tobacco price through excise tax fully passed onto tobacco consumers. For our modelling analysis, we used plausible values for key parameters, including an average price elasticity of demand for tobacco of -0·38, which is assumed to vary from -0·64 in the poorest quintile to -0·12 in the richest, and we considered only the male population, which constitutes the overwhelming majority of smokers in China. Findings: Our modelling analysis showed that a 50% increase in tobacco price through excise tax would lead to 231 million years of life gained (95% uncertainty range 194-268 million) over 50 years (a third of which would be gained in the lowest income quintile), a gain of US$703 billion ($616-781 billion) of additional tax revenues from the excise tax (14% of which would come from the lowest income quintile, compared with 24% from the highest income quintile). The excise tax would increase overall household expenditures on tobacco by $376 billion ($232-505 billion), but decrease these expenditures by $21 billion (-$83 to $5 billion) in the lowest income quintile, and would reduce expenditures on tobacco-related disease by $24·0 billion ($17·3-26·3 billion, 28% of which would benefit the lowest income quintile). Finally, it would provide financial risk protection worth $1·8 billion ($1·2-2·3 billion), mainly concentrated (74%) in the lowest income quintile. Interpretation: Increased tobacco taxation can be a pro-poor policy instrument that brings substantial health and financial benefits to households in China. Funding: Bill &amp; Melinda Gates Foundation and Dalla Lana School of Public Health.","author":[{"dropping-particle":"","family":"Verguet","given":"Stéphane","non-dropping-particle":"","parse-names":false,"suffix":""},{"dropping-particle":"","family":"Gauvreau","given":"Cindy L.","non-dropping-particle":"","parse-names":false,"suffix":""},{"dropping-particle":"","family":"Mishra","given":"Sujata","non-dropping-particle":"","parse-names":false,"suffix":""},{"dropping-particle":"","family":"MacLennan","given":"Mary","non-dropping-particle":"","parse-names":false,"suffix":""},{"dropping-particle":"","family":"Murphy","given":"Shane M.","non-dropping-particle":"","parse-names":false,"suffix":""},{"dropping-particle":"","family":"Brouwer","given":"Elizabeth D.","non-dropping-particle":"","parse-names":false,"suffix":""},{"dropping-particle":"","family":"Nugent","given":"Rachel A.","non-dropping-particle":"","parse-names":false,"suffix":""},{"dropping-particle":"","family":"Zhao","given":"Kun","non-dropping-particle":"","parse-names":false,"suffix":""},{"dropping-particle":"","family":"Jha","given":"Prabhat","non-dropping-particle":"","parse-names":false,"suffix":""},{"dropping-particle":"","family":"Jamison","given":"Dean T.","non-dropping-particle":"","parse-names":false,"suffix":""}],"container-title":"The Lancet Global Health","id":"ITEM-1","issue":"4","issued":{"date-parts":[["2015"]]},"page":"e206-e216","title":"The consequences of tobacco tax on household health and finances in rich and poor smokers in China: An extended cost-effectiveness analysis","type":"article-journal","volume":"3"},"uris":["http://www.mendeley.com/documents/?uuid=10d5396e-1fca-43df-a010-d13134e8f98b"]}],"mendeley":{"formattedCitation":"(Verguet, Gauvreau, et al., 2015)","manualFormatting":"Verguet et al. (2015b)","plainTextFormattedCitation":"(Verguet, Gauvreau, et al., 2015)","previouslyFormattedCitation":"(Verguet, Gauvreau, et al., 2015)"},"properties":{"noteIndex":0},"schema":"https://github.com/citation-style-language/schema/raw/master/csl-citation.json"}</w:instrText>
      </w:r>
      <w:r w:rsidRPr="00BF5D98">
        <w:rPr>
          <w:rFonts w:ascii="Times New Roman" w:hAnsi="Times New Roman" w:cs="Times New Roman"/>
          <w:sz w:val="24"/>
          <w:szCs w:val="24"/>
        </w:rPr>
        <w:fldChar w:fldCharType="separate"/>
      </w:r>
      <w:r w:rsidRPr="00BF5D98">
        <w:rPr>
          <w:rFonts w:ascii="Times New Roman" w:hAnsi="Times New Roman" w:cs="Times New Roman"/>
          <w:noProof/>
          <w:sz w:val="24"/>
          <w:szCs w:val="24"/>
        </w:rPr>
        <w:t>Verguet et al. (2015b)</w:t>
      </w:r>
      <w:r w:rsidRPr="00BF5D98">
        <w:rPr>
          <w:rFonts w:ascii="Times New Roman" w:hAnsi="Times New Roman" w:cs="Times New Roman"/>
          <w:sz w:val="24"/>
          <w:szCs w:val="24"/>
        </w:rPr>
        <w:fldChar w:fldCharType="end"/>
      </w:r>
      <w:r w:rsidRPr="00BF5D98">
        <w:rPr>
          <w:rFonts w:ascii="Times New Roman" w:hAnsi="Times New Roman" w:cs="Times New Roman"/>
          <w:sz w:val="24"/>
          <w:szCs w:val="24"/>
        </w:rPr>
        <w:t xml:space="preserve">, </w:t>
      </w:r>
      <w:r w:rsidRPr="00BF5D98">
        <w:rPr>
          <w:rFonts w:ascii="Times New Roman" w:hAnsi="Times New Roman" w:cs="Times New Roman"/>
          <w:sz w:val="24"/>
          <w:szCs w:val="24"/>
        </w:rPr>
        <w:fldChar w:fldCharType="begin" w:fldLock="1"/>
      </w:r>
      <w:r w:rsidRPr="00BF5D98">
        <w:rPr>
          <w:rFonts w:ascii="Times New Roman" w:hAnsi="Times New Roman" w:cs="Times New Roman"/>
          <w:sz w:val="24"/>
          <w:szCs w:val="24"/>
        </w:rPr>
        <w:instrText>ADDIN CSL_CITATION {"citationItems":[{"id":"ITEM-1","itemData":{"DOI":"10.1016/j.socscimed.2016.10.020","ISSN":"18735347","PMID":"27792922","abstract":"Tobacco use is a significant risk factor for the leading causes of death worldwide, including cancer, heart disease and stroke. Most of these deaths occur in low- and middle-income countries, where tobacco-related deaths are also rising rapidly. Taxation is one of the most effective tobacco control measures, yet evidence on the distributional impact of tobacco taxation in low- and middle-income countries remains scant. This paper considers the financial and health effects, by socio-economic class, of increasing tobacco taxes in Lebanon, a middle-income country. An Almost Ideal Demand System is used to estimate price elasticities of demand for tobacco products. Extended cost-effectiveness analysis (ECEA) methods are applied to quantify, across quintiles of socio-economic status, the health benefits gained, the additional tax revenues raised, and the net financial consequences for households from a 50% increase in the price of tobacco through excise taxes. We find that demand for tobacco is price inelastic with elasticities ranging from −0.32 for the poorest quintile to −0.22 for the richest quintile. The increase in tobacco tax is estimated to result in 65,000 (95% CI: 37,000–93,000) premature deaths averted, 25% of them in the poorest quintile, $300M ($256–340M) of additional tax revenues, 12% borne by the poorest quintile, $23M ($13–33M) of out-of-pocket spending on healthcare averted, 36% of which accrue to the poorest quintile, 9% to the richest. These savings would be associated with 23,000 (13,000–33,000) poverty cases averted (63% in the poorest quintile). Increasing tobacco taxes would lead to large financial and health benefits, and would be pro-poor in health gains, savings on healthcare, and poverty reduction.","author":[{"dropping-particle":"","family":"Salti","given":"Nisreen","non-dropping-particle":"","parse-names":false,"suffix":""},{"dropping-particle":"","family":"Brouwer","given":"Elizabeth","non-dropping-particle":"","parse-names":false,"suffix":""},{"dropping-particle":"","family":"Verguet","given":"Stéphane","non-dropping-particle":"","parse-names":false,"suffix":""}],"container-title":"Social Science and Medicine","id":"ITEM-1","issued":{"date-parts":[["2016"]]},"page":"161-169","title":"The health, financial and distributional consequences of increases in the tobacco excise tax among smokers in Lebanon","type":"article-journal","volume":"170"},"uris":["http://www.mendeley.com/documents/?uuid=0f3e5b71-bfb7-4586-9bb5-ddc2cf3b822d"]}],"mendeley":{"formattedCitation":"(Salti et al., 2016)","manualFormatting":"Salti et al. (2016)","plainTextFormattedCitation":"(Salti et al., 2016)","previouslyFormattedCitation":"(Salti et al., 2016)"},"properties":{"noteIndex":0},"schema":"https://github.com/citation-style-language/schema/raw/master/csl-citation.json"}</w:instrText>
      </w:r>
      <w:r w:rsidRPr="00BF5D98">
        <w:rPr>
          <w:rFonts w:ascii="Times New Roman" w:hAnsi="Times New Roman" w:cs="Times New Roman"/>
          <w:sz w:val="24"/>
          <w:szCs w:val="24"/>
        </w:rPr>
        <w:fldChar w:fldCharType="separate"/>
      </w:r>
      <w:r w:rsidRPr="00BF5D98">
        <w:rPr>
          <w:rFonts w:ascii="Times New Roman" w:hAnsi="Times New Roman" w:cs="Times New Roman"/>
          <w:noProof/>
          <w:sz w:val="24"/>
          <w:szCs w:val="24"/>
        </w:rPr>
        <w:t>Salti et al. (2016)</w:t>
      </w:r>
      <w:r w:rsidRPr="00BF5D98">
        <w:rPr>
          <w:rFonts w:ascii="Times New Roman" w:hAnsi="Times New Roman" w:cs="Times New Roman"/>
          <w:sz w:val="24"/>
          <w:szCs w:val="24"/>
        </w:rPr>
        <w:fldChar w:fldCharType="end"/>
      </w:r>
      <w:r w:rsidRPr="00BF5D98">
        <w:rPr>
          <w:rFonts w:ascii="Times New Roman" w:hAnsi="Times New Roman" w:cs="Times New Roman"/>
          <w:sz w:val="24"/>
          <w:szCs w:val="24"/>
        </w:rPr>
        <w:t xml:space="preserve">, </w:t>
      </w:r>
      <w:r w:rsidRPr="00BF5D98">
        <w:rPr>
          <w:rFonts w:ascii="Times New Roman" w:hAnsi="Times New Roman" w:cs="Times New Roman"/>
          <w:sz w:val="24"/>
          <w:szCs w:val="24"/>
        </w:rPr>
        <w:fldChar w:fldCharType="begin" w:fldLock="1"/>
      </w:r>
      <w:r w:rsidRPr="00BF5D98">
        <w:rPr>
          <w:rFonts w:ascii="Times New Roman" w:hAnsi="Times New Roman" w:cs="Times New Roman"/>
          <w:sz w:val="24"/>
          <w:szCs w:val="24"/>
        </w:rPr>
        <w:instrText>ADDIN CSL_CITATION {"citationItems":[{"id":"ITEM-1","itemData":{"DOI":"10.7189/jogh.07.020701","ISSN":"20472986","PMID":"29188029","abstract":"Background Tobacco taxation and smoke-free workplaces reduce smoking, tobacco-related premature deaths and associated out-of- pocket health care expenditures. We examine the distributional consequences of a price increase in tobacco products through an excise tax hike, and of an implementation of smoke-free workplaces, in China. Methods We use extended cost-effectiveness analysis (ECEA) to evaluate, across income quintiles of the male population (the large majority of Chinese smokers), the premature deaths averted, the change in tax revenues generated, and the financial risk protection procured (eg, poverty cases averted, defined as the number of individuals no longer facing tobacco-related out-of-pocket expenditures for disease treatment, that would otherwise impoverish them), that would follow a 75% increase in cigarette prices through substantial increments in excise tax fully passed onto consumers, and a nationwide total implementation of workplace smoking bans. Results A 75% increase in cigarette prices would avert about 24 million premature deaths among the current Chinese male population, with a third among the bottom income quintile, increase additional tax revenues by US$ 46 billion annually, and prevent around 9 million poverty cases, 19% of which among the bottom income quintile. Implementation of smoking bans in workplaces would avert about 12 million premature deaths, with a fifth among the bottom income quintile, decrease tax revenues by US$ 7 billion annually, and prevent around 4 million poverty cases, 12% of which among the bottom income quintile. Conclusions Increased excise taxes on tobacco products and workplace smoking bans can procure large health and economic benefits to the Chinese population, especially among the poor.","author":[{"dropping-particle":"","family":"Verguet","given":"Stéphane","non-dropping-particle":"","parse-names":false,"suffix":""},{"dropping-particle":"","family":"Tarr","given":"Gillian","non-dropping-particle":"","parse-names":false,"suffix":""},{"dropping-particle":"","family":"Gauvreau","given":"Cindy L.","non-dropping-particle":"","parse-names":false,"suffix":""},{"dropping-particle":"","family":"Mishra","given":"Sujata","non-dropping-particle":"","parse-names":false,"suffix":""},{"dropping-particle":"","family":"Jha","given":"Prabhat","non-dropping-particle":"","parse-names":false,"suffix":""},{"dropping-particle":"","family":"Liu","given":"Lingrui","non-dropping-particle":"","parse-names":false,"suffix":""},{"dropping-particle":"","family":"Xiao","given":"Yue","non-dropping-particle":"","parse-names":false,"suffix":""},{"dropping-particle":"","family":"Qiu","given":"Yingpeng","non-dropping-particle":"","parse-names":false,"suffix":""},{"dropping-particle":"","family":"Zhao","given":"Kun","non-dropping-particle":"","parse-names":false,"suffix":""}],"container-title":"Journal of Global Health","id":"ITEM-1","issue":"2","issued":{"date-parts":[["2017"]]},"page":"1-13","title":"Distributional benefits of tobacco tax and smoke-free workplaces in China: A modeling study","type":"article-journal","volume":"7"},"uris":["http://www.mendeley.com/documents/?uuid=bac6c289-81f1-42c3-9637-5c6f9ddaa6ec"]}],"mendeley":{"formattedCitation":"(Verguet et al., 2017)","manualFormatting":"Verguet et al. (2017)","plainTextFormattedCitation":"(Verguet et al., 2017)","previouslyFormattedCitation":"(Verguet et al., 2017)"},"properties":{"noteIndex":0},"schema":"https://github.com/citation-style-language/schema/raw/master/csl-citation.json"}</w:instrText>
      </w:r>
      <w:r w:rsidRPr="00BF5D98">
        <w:rPr>
          <w:rFonts w:ascii="Times New Roman" w:hAnsi="Times New Roman" w:cs="Times New Roman"/>
          <w:sz w:val="24"/>
          <w:szCs w:val="24"/>
        </w:rPr>
        <w:fldChar w:fldCharType="separate"/>
      </w:r>
      <w:r w:rsidRPr="00BF5D98">
        <w:rPr>
          <w:rFonts w:ascii="Times New Roman" w:hAnsi="Times New Roman" w:cs="Times New Roman"/>
          <w:noProof/>
          <w:sz w:val="24"/>
          <w:szCs w:val="24"/>
        </w:rPr>
        <w:t>Verguet et al. (2017)</w:t>
      </w:r>
      <w:r w:rsidRPr="00BF5D98">
        <w:rPr>
          <w:rFonts w:ascii="Times New Roman" w:hAnsi="Times New Roman" w:cs="Times New Roman"/>
          <w:sz w:val="24"/>
          <w:szCs w:val="24"/>
        </w:rPr>
        <w:fldChar w:fldCharType="end"/>
      </w:r>
      <w:r w:rsidRPr="00BF5D98">
        <w:rPr>
          <w:rFonts w:ascii="Times New Roman" w:hAnsi="Times New Roman" w:cs="Times New Roman"/>
          <w:sz w:val="24"/>
          <w:szCs w:val="24"/>
        </w:rPr>
        <w:t xml:space="preserve">, </w:t>
      </w:r>
      <w:r w:rsidRPr="00BF5D98">
        <w:rPr>
          <w:rFonts w:ascii="Times New Roman" w:hAnsi="Times New Roman" w:cs="Times New Roman"/>
          <w:sz w:val="24"/>
          <w:szCs w:val="24"/>
        </w:rPr>
        <w:fldChar w:fldCharType="begin" w:fldLock="1"/>
      </w:r>
      <w:r w:rsidRPr="00BF5D98">
        <w:rPr>
          <w:rFonts w:ascii="Times New Roman" w:hAnsi="Times New Roman" w:cs="Times New Roman"/>
          <w:sz w:val="24"/>
          <w:szCs w:val="24"/>
        </w:rPr>
        <w:instrText>ADDIN CSL_CITATION {"citationItems":[{"id":"ITEM-1","itemData":{"DOI":"10.1080/23288604.2017.1413494","author":[{"dropping-particle":"","family":"Postolovska","given":"Iryna","non-dropping-particle":"","parse-names":false,"suffix":""},{"dropping-particle":"","family":"Lavado","given":"Rouselle","non-dropping-particle":"","parse-names":false,"suffix":""},{"dropping-particle":"","family":"Tarr","given":"Gillian","non-dropping-particle":"","parse-names":false,"suffix":""},{"dropping-particle":"","family":"Verguet","given":"Stéphane","non-dropping-particle":"","parse-names":false,"suffix":""},{"dropping-particle":"","family":"Iryna","given":"Francis","non-dropping-particle":"","parse-names":false,"suffix":""},{"dropping-particle":"","family":"Postolovska","given":"Iryna","non-dropping-particle":"","parse-names":false,"suffix":""},{"dropping-particle":"","family":"Lavado","given":"Rouselle","non-dropping-particle":"","parse-names":false,"suffix":""},{"dropping-particle":"","family":"Tarr","given":"Gillian","non-dropping-particle":"","parse-names":false,"suffix":""}],"id":"ITEM-1","issued":{"date-parts":[["2018"]]},"title":"The Health Gains , Financial Risk Protection Benefits , and Distributional Impact of Increased Tobacco Taxes in Armenia The Health Gains , Financial Risk Protection Benefits , and Distributional Impact of Increased Tobacco Taxes in Armenia","type":"article-journal","volume":"8604"},"uris":["http://www.mendeley.com/documents/?uuid=e49b6d89-8a31-4674-9477-d2323605a0de"]}],"mendeley":{"formattedCitation":"(Postolovska et al., 2018)","manualFormatting":"Postolovska et al. (2018)","plainTextFormattedCitation":"(Postolovska et al., 2018)","previouslyFormattedCitation":"(Postolovska et al., 2018)"},"properties":{"noteIndex":0},"schema":"https://github.com/citation-style-language/schema/raw/master/csl-citation.json"}</w:instrText>
      </w:r>
      <w:r w:rsidRPr="00BF5D98">
        <w:rPr>
          <w:rFonts w:ascii="Times New Roman" w:hAnsi="Times New Roman" w:cs="Times New Roman"/>
          <w:sz w:val="24"/>
          <w:szCs w:val="24"/>
        </w:rPr>
        <w:fldChar w:fldCharType="separate"/>
      </w:r>
      <w:r w:rsidRPr="00BF5D98">
        <w:rPr>
          <w:rFonts w:ascii="Times New Roman" w:hAnsi="Times New Roman" w:cs="Times New Roman"/>
          <w:noProof/>
          <w:sz w:val="24"/>
          <w:szCs w:val="24"/>
        </w:rPr>
        <w:t>Postolovska et al. (2018)</w:t>
      </w:r>
      <w:r w:rsidRPr="00BF5D98">
        <w:rPr>
          <w:rFonts w:ascii="Times New Roman" w:hAnsi="Times New Roman" w:cs="Times New Roman"/>
          <w:sz w:val="24"/>
          <w:szCs w:val="24"/>
        </w:rPr>
        <w:fldChar w:fldCharType="end"/>
      </w:r>
      <w:r w:rsidR="00EF102D">
        <w:rPr>
          <w:rFonts w:ascii="Times New Roman" w:hAnsi="Times New Roman" w:cs="Times New Roman"/>
          <w:sz w:val="24"/>
          <w:szCs w:val="24"/>
        </w:rPr>
        <w:t>,</w:t>
      </w:r>
      <w:r w:rsidRPr="00BF5D98">
        <w:rPr>
          <w:rFonts w:ascii="Times New Roman" w:hAnsi="Times New Roman" w:cs="Times New Roman"/>
          <w:sz w:val="24"/>
          <w:szCs w:val="24"/>
        </w:rPr>
        <w:t xml:space="preserve"> and </w:t>
      </w:r>
      <w:r w:rsidRPr="00BF5D98">
        <w:rPr>
          <w:rFonts w:ascii="Times New Roman" w:hAnsi="Times New Roman" w:cs="Times New Roman"/>
          <w:sz w:val="24"/>
          <w:szCs w:val="24"/>
        </w:rPr>
        <w:fldChar w:fldCharType="begin" w:fldLock="1"/>
      </w:r>
      <w:r w:rsidRPr="00BF5D98">
        <w:rPr>
          <w:rFonts w:ascii="Times New Roman" w:hAnsi="Times New Roman" w:cs="Times New Roman"/>
          <w:sz w:val="24"/>
          <w:szCs w:val="24"/>
        </w:rPr>
        <w:instrText>ADDIN CSL_CITATION {"citationItems":[{"id":"ITEM-1","itemData":{"DOI":"10.12688/gatesopenres.13127.1","ISSN":"25724754","abstract":"Background: In India, about one million deaths occur every year due to smoking. Tobacco taxation is the most effective intervention in reducing smoking. In this paper, we examine the impact of a one-time large cigarette price increase, through an increase in excise tax, on health and financing outcomes in four Indian states. Methods: We used extended cost-effectiveness analysis to estimate, across income quintiles, the life-years gained, treatment cost averted, number of men avoiding catastrophic health expenditures and extreme poverty, additional tax revenue collected, and savings to the Ayushman Bharat Pradhan Mantri Jan Arogya Yojana (AB-PMJAY) with a cigarette price increase to Indian Rupees (INR) 10 plus 10% ad valorem in four Indian states. Results: With the price increase, about 1.5 million men would quit smoking across the four states, with the bottom income group having 7.4 times as many quitters as the top income group (485,725 vs 65,762). As a result of quitting, about 665,000 deaths would be averted. This would yield about 11.9 million life-years, with the bottom income group gaining 7.3 times more than the top income group. Of the INR 1,729 crore in treatment cost averted, the bottom income group would avert 7.4 times more than the top income group. About 454,000 men would avoid catastrophic health expenditures and 75,000 men would avoid falling into extreme poverty. The treatment cost and impoverishment averted would save about INR 672 crore in AB-PMJAY. The tax increase would in turn, generate an additional tax revenue of about INR 4,385 crore. In contrast to the distribution of health benefits, the extra revenue generated from the top income group would be about 3.1 times that from the bottom income group. Conclusions: Cigarette tax increase can provide significant health and economic gains and is a pro-poor policy for India.","author":[{"dropping-particle":"","family":"Jha","given":"Prabhat","non-dropping-particle":"","parse-names":false,"suffix":""},{"dropping-particle":"","family":"Wu","given":"Daphne C.","non-dropping-particle":"","parse-names":false,"suffix":""},{"dropping-particle":"","family":"Sheel","given":"Vikas","non-dropping-particle":"","parse-names":false,"suffix":""},{"dropping-particle":"","family":"Gupta","given":"Pooja","non-dropping-particle":"","parse-names":false,"suffix":""},{"dropping-particle":"","family":"Essue","given":"Beverley M.","non-dropping-particle":"","parse-names":false,"suffix":""},{"dropping-particle":"","family":"Luong","given":"Linh","non-dropping-particle":"","parse-names":false,"suffix":""}],"container-title":"Gates Open Research","id":"ITEM-1","issued":{"date-parts":[["2020"]]},"page":"1-18","title":"Impact of cigarette tax increase on health and financing outcomes in four Indian states","type":"article-journal","volume":"4"},"uris":["http://www.mendeley.com/documents/?uuid=12a92d80-32c8-403b-9453-a5e8d273f5d2"]}],"mendeley":{"formattedCitation":"(Jha et al., 2020)","manualFormatting":"Wu et al. (2020)","plainTextFormattedCitation":"(Jha et al., 2020)","previouslyFormattedCitation":"(Jha et al., 2020)"},"properties":{"noteIndex":0},"schema":"https://github.com/citation-style-language/schema/raw/master/csl-citation.json"}</w:instrText>
      </w:r>
      <w:r w:rsidRPr="00BF5D98">
        <w:rPr>
          <w:rFonts w:ascii="Times New Roman" w:hAnsi="Times New Roman" w:cs="Times New Roman"/>
          <w:sz w:val="24"/>
          <w:szCs w:val="24"/>
        </w:rPr>
        <w:fldChar w:fldCharType="separate"/>
      </w:r>
      <w:r w:rsidRPr="00BF5D98">
        <w:rPr>
          <w:rFonts w:ascii="Times New Roman" w:hAnsi="Times New Roman" w:cs="Times New Roman"/>
          <w:noProof/>
          <w:sz w:val="24"/>
          <w:szCs w:val="24"/>
        </w:rPr>
        <w:t>Wu et al. (2020)</w:t>
      </w:r>
      <w:r w:rsidRPr="00BF5D98">
        <w:rPr>
          <w:rFonts w:ascii="Times New Roman" w:hAnsi="Times New Roman" w:cs="Times New Roman"/>
          <w:sz w:val="24"/>
          <w:szCs w:val="24"/>
        </w:rPr>
        <w:fldChar w:fldCharType="end"/>
      </w:r>
      <w:r w:rsidRPr="00BF5D98">
        <w:rPr>
          <w:rFonts w:ascii="Times New Roman" w:hAnsi="Times New Roman" w:cs="Times New Roman"/>
          <w:sz w:val="24"/>
          <w:szCs w:val="24"/>
        </w:rPr>
        <w:t xml:space="preserve"> found a pro-poor distribution of an excise tax increase </w:t>
      </w:r>
      <w:r w:rsidR="005D037D">
        <w:rPr>
          <w:rFonts w:ascii="Times New Roman" w:hAnsi="Times New Roman" w:cs="Times New Roman"/>
          <w:sz w:val="24"/>
          <w:szCs w:val="24"/>
        </w:rPr>
        <w:t xml:space="preserve">on tobacco </w:t>
      </w:r>
      <w:r w:rsidRPr="00BF5D98">
        <w:rPr>
          <w:rFonts w:ascii="Times New Roman" w:hAnsi="Times New Roman" w:cs="Times New Roman"/>
          <w:sz w:val="24"/>
          <w:szCs w:val="24"/>
        </w:rPr>
        <w:t xml:space="preserve">for both the health </w:t>
      </w:r>
      <w:r w:rsidRPr="00BF5D98">
        <w:rPr>
          <w:rFonts w:ascii="Times New Roman" w:hAnsi="Times New Roman" w:cs="Times New Roman"/>
          <w:sz w:val="24"/>
          <w:szCs w:val="24"/>
        </w:rPr>
        <w:lastRenderedPageBreak/>
        <w:t xml:space="preserve">(years of life gained or premature deaths averted) and the non-health benefits (FRP or FC). </w:t>
      </w:r>
      <w:r w:rsidR="00143002" w:rsidRPr="00057F6E">
        <w:rPr>
          <w:rFonts w:ascii="Times New Roman" w:hAnsi="Times New Roman" w:cs="Times New Roman"/>
          <w:sz w:val="24"/>
          <w:szCs w:val="24"/>
        </w:rPr>
        <w:fldChar w:fldCharType="begin" w:fldLock="1"/>
      </w:r>
      <w:r w:rsidR="00143002" w:rsidRPr="00057F6E">
        <w:rPr>
          <w:rFonts w:ascii="Times New Roman" w:hAnsi="Times New Roman" w:cs="Times New Roman"/>
          <w:sz w:val="24"/>
          <w:szCs w:val="24"/>
        </w:rPr>
        <w:instrText>ADDIN CSL_CITATION {"citationItems":[{"id":"ITEM-1","itemData":{"DOI":"10.2471/BLT.18.219980","ISSN":"15640604","PMID":"30728616","abstract":"Objective To assess the potential impact of a new tax on sweetened beverages on premature deaths associated with noncommunicable diseases in the Philippines. Methods In January 2018, the Philippines began imposing a tax of 6 Philippine pesos per litre (around 13%) on sweetened beverages to curb the obesity burden. Using national data sources, we conducted an extended cost–effectiveness analysis to estimate the effect of the tax on the numbers of premature deaths averted attributed to type 2 diabetes mellitus, ischaemic heart disease and stroke, across income quintiles over the period 2018–2037. We also estimated the financial benefits of the tax from reductions in out-of-pocket payments, direct medical costs averted and government health-care cost savings. Findings The tax could avert an estimated 5913 deaths related to diabetes, 10 339 deaths from ischaemic heart disease and 7950 deaths from stroke over 20 years. The largest number of deaths averted could be among the fourth and fifth (highest) income quintiles. The tax could generate total health-care savings of 31.6 billion Philippine pesos (627 million United States dollars, US$) over 20 years, and raise 41.0 billion Philippine pesos (US$ 813 million) in revenue per annum. The poorest quintile could bear the smallest tax burden increase (14% of the additional tax; 5.6 billion Philippine pesos) and have the lowest savings in out-of-pocket payments due to relatively large health-care subsidies. Finally, we estimated that 13 890 cases of catastrophic expenditure could be averted. Conclusion The new sweetened beverage tax may help to reduce obesity-related premature deaths and improve financial well-being in the Philippines.","author":[{"dropping-particle":"","family":"Saxena","given":"Akshar","non-dropping-particle":"","parse-names":false,"suffix":""},{"dropping-particle":"","family":"Koon","given":"Adam D.","non-dropping-particle":"","parse-names":false,"suffix":""},{"dropping-particle":"","family":"Lagrada-Rombaua","given":"Leizel","non-dropping-particle":"","parse-names":false,"suffix":""},{"dropping-particle":"","family":"Angeles-Agdeppa","given":"Imelda","non-dropping-particle":"","parse-names":false,"suffix":""},{"dropping-particle":"","family":"Johns","given":"Benjamin","non-dropping-particle":"","parse-names":false,"suffix":""},{"dropping-particle":"","family":"Capanzana","given":"Mario","non-dropping-particle":"","parse-names":false,"suffix":""}],"container-title":"Bulletin of the World Health Organization","id":"ITEM-1","issue":"2","issued":{"date-parts":[["2019"]]},"page":"97-107","title":"Modelling the impact of a tax on sweetened beverages in the Philippines: An extended cost–effectiveness analysis","type":"article-journal","volume":"97"},"uris":["http://www.mendeley.com/documents/?uuid=fae87f9a-2e00-4d1f-87db-e50907c03be1"]}],"mendeley":{"formattedCitation":"(Saxena, Koon, et al., 2019)","manualFormatting":"Saxena et al. (2019a)","plainTextFormattedCitation":"(Saxena, Koon, et al., 2019)","previouslyFormattedCitation":"(Saxena, Koon, et al., 2019)"},"properties":{"noteIndex":0},"schema":"https://github.com/citation-style-language/schema/raw/master/csl-citation.json"}</w:instrText>
      </w:r>
      <w:r w:rsidR="00143002" w:rsidRPr="00057F6E">
        <w:rPr>
          <w:rFonts w:ascii="Times New Roman" w:hAnsi="Times New Roman" w:cs="Times New Roman"/>
          <w:sz w:val="24"/>
          <w:szCs w:val="24"/>
        </w:rPr>
        <w:fldChar w:fldCharType="separate"/>
      </w:r>
      <w:r w:rsidR="00143002" w:rsidRPr="00057F6E">
        <w:rPr>
          <w:rFonts w:ascii="Times New Roman" w:hAnsi="Times New Roman" w:cs="Times New Roman"/>
          <w:noProof/>
          <w:sz w:val="24"/>
          <w:szCs w:val="24"/>
        </w:rPr>
        <w:t>Saxena et al. (2019a)</w:t>
      </w:r>
      <w:r w:rsidR="00143002" w:rsidRPr="00057F6E">
        <w:rPr>
          <w:rFonts w:ascii="Times New Roman" w:hAnsi="Times New Roman" w:cs="Times New Roman"/>
          <w:sz w:val="24"/>
          <w:szCs w:val="24"/>
        </w:rPr>
        <w:fldChar w:fldCharType="end"/>
      </w:r>
      <w:r w:rsidR="00143002" w:rsidRPr="00057F6E">
        <w:rPr>
          <w:rFonts w:ascii="Times New Roman" w:hAnsi="Times New Roman" w:cs="Times New Roman"/>
          <w:sz w:val="24"/>
          <w:szCs w:val="24"/>
        </w:rPr>
        <w:t xml:space="preserve"> and </w:t>
      </w:r>
      <w:r w:rsidR="00143002" w:rsidRPr="00057F6E">
        <w:rPr>
          <w:rFonts w:ascii="Times New Roman" w:hAnsi="Times New Roman" w:cs="Times New Roman"/>
          <w:sz w:val="24"/>
          <w:szCs w:val="24"/>
        </w:rPr>
        <w:fldChar w:fldCharType="begin" w:fldLock="1"/>
      </w:r>
      <w:r w:rsidR="00143002" w:rsidRPr="00057F6E">
        <w:rPr>
          <w:rFonts w:ascii="Times New Roman" w:hAnsi="Times New Roman" w:cs="Times New Roman"/>
          <w:sz w:val="24"/>
          <w:szCs w:val="24"/>
        </w:rPr>
        <w:instrText>ADDIN CSL_CITATION {"citationItems":[{"id":"ITEM-1","itemData":{"DOI":"10.1136/bmjgh-2018-001317","ISSN":"20597908","abstract":"Background Facing increasing obesity prevalence and obesity-related disease burden, South Africa has devised an obesity prevention strategy that includes a recently implemented tax on the sugar content of sugar-sweetened beverages (SSB). We assess the potential distributional impact (across socioeconomic groups) of this tax on type 2 diabetes mellitus (T2DM) incidence and associated mortality and its financial burden on households. Methods We conducted an extended cost-effectiveness analysis of the new 10% tax on SSBs in South Africa, and estimated: the averted premature deaths related to T2DM, the financial benefits to households (out-of-pocket (OOP) medical costs and indirect costs due to productivity losses averted), the increased government tax revenues and healthcare savings for the government, all across income quintiles. Findings A 10% SSB tax increase would avert an estimated 8000 T2DM-related premature deaths over 20 years, with most deaths averted among the third and fourth income quintiles. The government would save about South African rand (ZAR) 2 billion (US$140 million) in subsidised healthcare over 20 years; and would raise ZAR6 billion (US$450 million) in tax revenues per annum. The bottom two quintiles would bear the smallest tax burden increase (36% of the additional taxes). The bottom two income quintiles would also have the lowest savings in OOP payments due to significant subsidisation provided by government healthcare. Lastly, an estimated 32 000 T2DM-related cases of catastrophic expenditures and 12 000 cases of poverty would be averted. Conclusions SSB taxation would have a substantial distributional impact on obesity-related premature deaths, cost savings to the government and the financial outcomes of South Africa's population.","author":[{"dropping-particle":"","family":"Saxena","given":"Akshar","non-dropping-particle":"","parse-names":false,"suffix":""},{"dropping-particle":"","family":"Stacey","given":"Nicholas","non-dropping-particle":"","parse-names":false,"suffix":""},{"dropping-particle":"","family":"Puech","given":"Paula Del Ray","non-dropping-particle":"","parse-names":false,"suffix":""},{"dropping-particle":"","family":"Mudara","given":"Caroline","non-dropping-particle":"","parse-names":false,"suffix":""},{"dropping-particle":"","family":"Hofman","given":"Karen","non-dropping-particle":"","parse-names":false,"suffix":""},{"dropping-particle":"","family":"Verguet","given":"Stéphane","non-dropping-particle":"","parse-names":false,"suffix":""}],"container-title":"BMJ Global Health","id":"ITEM-1","issue":"4","issued":{"date-parts":[["2019"]]},"title":"The distributional impact of taxing sugar-sweetened beverages: Findings from an extended cost-effectiveness analysis in South Africa","type":"article-journal","volume":"4"},"uris":["http://www.mendeley.com/documents/?uuid=3ecf6f16-a865-4bea-9b2e-9c30ad261808"]}],"mendeley":{"formattedCitation":"(Saxena, Stacey, et al., 2019)","manualFormatting":"Saxena et al. (2019b)","plainTextFormattedCitation":"(Saxena, Stacey, et al., 2019)","previouslyFormattedCitation":"(Saxena, Stacey, et al., 2019)"},"properties":{"noteIndex":0},"schema":"https://github.com/citation-style-language/schema/raw/master/csl-citation.json"}</w:instrText>
      </w:r>
      <w:r w:rsidR="00143002" w:rsidRPr="00057F6E">
        <w:rPr>
          <w:rFonts w:ascii="Times New Roman" w:hAnsi="Times New Roman" w:cs="Times New Roman"/>
          <w:sz w:val="24"/>
          <w:szCs w:val="24"/>
        </w:rPr>
        <w:fldChar w:fldCharType="separate"/>
      </w:r>
      <w:r w:rsidR="00143002" w:rsidRPr="00057F6E">
        <w:rPr>
          <w:rFonts w:ascii="Times New Roman" w:hAnsi="Times New Roman" w:cs="Times New Roman"/>
          <w:noProof/>
          <w:sz w:val="24"/>
          <w:szCs w:val="24"/>
        </w:rPr>
        <w:t>Saxena et al. (2019b)</w:t>
      </w:r>
      <w:r w:rsidR="00143002" w:rsidRPr="00057F6E">
        <w:rPr>
          <w:rFonts w:ascii="Times New Roman" w:hAnsi="Times New Roman" w:cs="Times New Roman"/>
          <w:sz w:val="24"/>
          <w:szCs w:val="24"/>
        </w:rPr>
        <w:fldChar w:fldCharType="end"/>
      </w:r>
      <w:r w:rsidR="00143002" w:rsidRPr="00057F6E">
        <w:rPr>
          <w:rFonts w:ascii="Times New Roman" w:hAnsi="Times New Roman" w:cs="Times New Roman"/>
          <w:sz w:val="24"/>
          <w:szCs w:val="24"/>
        </w:rPr>
        <w:t xml:space="preserve"> assessed the impact of a tax intervention on sugar-sweetened beverages</w:t>
      </w:r>
      <w:r w:rsidR="00AB3680">
        <w:rPr>
          <w:rFonts w:ascii="Times New Roman" w:hAnsi="Times New Roman" w:cs="Times New Roman"/>
          <w:sz w:val="24"/>
          <w:szCs w:val="24"/>
        </w:rPr>
        <w:t xml:space="preserve"> (SSB)</w:t>
      </w:r>
      <w:r w:rsidR="00143002" w:rsidRPr="00057F6E">
        <w:rPr>
          <w:rFonts w:ascii="Times New Roman" w:hAnsi="Times New Roman" w:cs="Times New Roman"/>
          <w:sz w:val="24"/>
          <w:szCs w:val="24"/>
        </w:rPr>
        <w:t xml:space="preserve">, </w:t>
      </w:r>
      <w:r w:rsidR="008219AE">
        <w:rPr>
          <w:rFonts w:ascii="Times New Roman" w:hAnsi="Times New Roman" w:cs="Times New Roman"/>
          <w:sz w:val="24"/>
          <w:szCs w:val="24"/>
        </w:rPr>
        <w:t xml:space="preserve">and </w:t>
      </w:r>
      <w:r w:rsidR="00143002" w:rsidRPr="00057F6E">
        <w:rPr>
          <w:rFonts w:ascii="Times New Roman" w:hAnsi="Times New Roman" w:cs="Times New Roman"/>
          <w:sz w:val="24"/>
          <w:szCs w:val="24"/>
        </w:rPr>
        <w:t xml:space="preserve">they found a pro-rich distribution of health and non-health benefits as the rich consumed more </w:t>
      </w:r>
      <w:r w:rsidR="00AB3680">
        <w:rPr>
          <w:rFonts w:ascii="Times New Roman" w:hAnsi="Times New Roman" w:cs="Times New Roman"/>
          <w:sz w:val="24"/>
          <w:szCs w:val="24"/>
        </w:rPr>
        <w:t>SSBs</w:t>
      </w:r>
      <w:r w:rsidR="00143002" w:rsidRPr="00057F6E">
        <w:rPr>
          <w:rFonts w:ascii="Times New Roman" w:hAnsi="Times New Roman" w:cs="Times New Roman"/>
          <w:sz w:val="24"/>
          <w:szCs w:val="24"/>
        </w:rPr>
        <w:t xml:space="preserve"> relative to the poor.</w:t>
      </w:r>
      <w:r w:rsidR="00035492">
        <w:rPr>
          <w:rFonts w:ascii="Times New Roman" w:hAnsi="Times New Roman" w:cs="Times New Roman"/>
          <w:sz w:val="24"/>
          <w:szCs w:val="24"/>
        </w:rPr>
        <w:t xml:space="preserve"> </w:t>
      </w:r>
      <w:r w:rsidR="00327E73">
        <w:rPr>
          <w:rFonts w:ascii="Times New Roman" w:hAnsi="Times New Roman" w:cs="Times New Roman"/>
          <w:sz w:val="24"/>
          <w:szCs w:val="24"/>
        </w:rPr>
        <w:t>I</w:t>
      </w:r>
      <w:r w:rsidR="00035492">
        <w:rPr>
          <w:rFonts w:ascii="Times New Roman" w:hAnsi="Times New Roman" w:cs="Times New Roman"/>
          <w:sz w:val="24"/>
          <w:szCs w:val="24"/>
        </w:rPr>
        <w:t xml:space="preserve">nstead of a tax on the price of salt, </w:t>
      </w:r>
      <w:r w:rsidR="00035492" w:rsidRPr="00F43C71">
        <w:rPr>
          <w:rFonts w:ascii="Times New Roman" w:hAnsi="Times New Roman" w:cs="Times New Roman"/>
          <w:sz w:val="24"/>
          <w:szCs w:val="24"/>
        </w:rPr>
        <w:fldChar w:fldCharType="begin" w:fldLock="1"/>
      </w:r>
      <w:r w:rsidR="00035492" w:rsidRPr="00F43C71">
        <w:rPr>
          <w:rFonts w:ascii="Times New Roman" w:hAnsi="Times New Roman" w:cs="Times New Roman"/>
          <w:sz w:val="24"/>
          <w:szCs w:val="24"/>
        </w:rPr>
        <w:instrText>ADDIN CSL_CITATION {"citationItems":[{"id":"ITEM-1","itemData":{"DOI":"10.1093/heapol/czv023","ISSN":"14602237","PMID":"25841771","abstract":"The South African Government recently set targets to reduce cardiovascular disease (CVD) by lowering salt consumption. We conducted an extended cost-effectiveness analysis (ECEA) to model the potential health and economic impacts of this salt policy. We used surveys and epidemiologic studies to estimate reductions in CVD resulting from lower salt intake. We calculated the average out-of-pocket (OOP) cost of CVD care, using facility fee schedules and drug prices. We estimated the reduction in OOP expenditures and government subsidies due to the policy. We estimated public and private sector costs of policy implementation. We estimated financial risk protection (FRP) from the policy as (1) cases of catastrophic health expenditure (CHE) averted or (2) cases of poverty averted. We also performed a sensitivity analysis. We found that the salt policy could reduce CVD deaths by 11%, with similar health gains across income quintiles. The policy could save households US$ 4.06 million (2012) in OOP expenditures (US$ 0.29 per capita) and save the government US$ 51.25 million in healthcare subsidies (US$ 2.52 per capita) each year. The cost to the government would be only US$ 0.01 per capita; hence, the policy would be cost saving. If the private sector food reformulation costs were passed on to consumers, food expenditures would increase by &lt;0.2% across all income quintiles. Preventing CVD could avert 2400 cases of CHE or 2000 cases of poverty yearly. Our results were sensitive to baseline CVD mortality rates and the cost of treatment. We conclude that, in addition to health gains, population salt reduction can have positive economic impacts - substantially reducing OOP expenditures and providing FRP, particularly for the middle class. The policy could also provide large government savings on health care.","author":[{"dropping-particle":"","family":"Watkins","given":"David A.","non-dropping-particle":"","parse-names":false,"suffix":""},{"dropping-particle":"","family":"Olson","given":"Zachary D.","non-dropping-particle":"","parse-names":false,"suffix":""},{"dropping-particle":"","family":"Verguet","given":"Stéphane","non-dropping-particle":"","parse-names":false,"suffix":""},{"dropping-particle":"","family":"Nugent","given":"Rachel A.","non-dropping-particle":"","parse-names":false,"suffix":""},{"dropping-particle":"","family":"Jamison","given":"Dean T.","non-dropping-particle":"","parse-names":false,"suffix":""}],"container-title":"Health Policy and Planning","id":"ITEM-1","issue":"1","issued":{"date-parts":[["2016"]]},"page":"75-82","title":"Cardiovascular disease and impoverishment averted due to a salt reduction policy in South Africa: An extended cost-effectiveness analysis","type":"article-journal","volume":"31"},"uris":["http://www.mendeley.com/documents/?uuid=d679fbf4-82d3-45e6-be72-67eba9fe64ae"]}],"mendeley":{"formattedCitation":"(Watkins et al., 2016)","manualFormatting":"Watkins et al. (2016)","plainTextFormattedCitation":"(Watkins et al., 2016)","previouslyFormattedCitation":"(Watkins et al., 2016)"},"properties":{"noteIndex":0},"schema":"https://github.com/citation-style-language/schema/raw/master/csl-citation.json"}</w:instrText>
      </w:r>
      <w:r w:rsidR="00035492" w:rsidRPr="00F43C71">
        <w:rPr>
          <w:rFonts w:ascii="Times New Roman" w:hAnsi="Times New Roman" w:cs="Times New Roman"/>
          <w:sz w:val="24"/>
          <w:szCs w:val="24"/>
        </w:rPr>
        <w:fldChar w:fldCharType="separate"/>
      </w:r>
      <w:r w:rsidR="00035492" w:rsidRPr="00F43C71">
        <w:rPr>
          <w:rFonts w:ascii="Times New Roman" w:hAnsi="Times New Roman" w:cs="Times New Roman"/>
          <w:noProof/>
          <w:sz w:val="24"/>
          <w:szCs w:val="24"/>
        </w:rPr>
        <w:t>Watkins et al. (2016)</w:t>
      </w:r>
      <w:r w:rsidR="00035492" w:rsidRPr="00F43C71">
        <w:rPr>
          <w:rFonts w:ascii="Times New Roman" w:hAnsi="Times New Roman" w:cs="Times New Roman"/>
          <w:sz w:val="24"/>
          <w:szCs w:val="24"/>
        </w:rPr>
        <w:fldChar w:fldCharType="end"/>
      </w:r>
      <w:r w:rsidR="00035492">
        <w:rPr>
          <w:rFonts w:ascii="Times New Roman" w:hAnsi="Times New Roman" w:cs="Times New Roman"/>
          <w:sz w:val="24"/>
          <w:szCs w:val="24"/>
        </w:rPr>
        <w:t xml:space="preserve"> assessed the impact of reducing the quantity of salt consumption from 8 g per day to 5 g per day. </w:t>
      </w:r>
      <w:r w:rsidR="001F5546">
        <w:rPr>
          <w:rFonts w:ascii="Times New Roman" w:hAnsi="Times New Roman" w:cs="Times New Roman"/>
          <w:sz w:val="24"/>
          <w:szCs w:val="24"/>
        </w:rPr>
        <w:t xml:space="preserve">They found </w:t>
      </w:r>
      <w:r w:rsidR="001F5546" w:rsidRPr="00E356DC">
        <w:rPr>
          <w:rFonts w:ascii="Times New Roman" w:hAnsi="Times New Roman" w:cs="Times New Roman"/>
          <w:sz w:val="24"/>
          <w:szCs w:val="24"/>
        </w:rPr>
        <w:t>a pro-rich distribution of non-health benefits, but health gains were (fairly) evenly distributed among income quintiles</w:t>
      </w:r>
    </w:p>
    <w:p w14:paraId="5D105022" w14:textId="629CF107" w:rsidR="001E02E5" w:rsidRPr="001E02E5" w:rsidRDefault="001E02E5" w:rsidP="006D3916">
      <w:pPr>
        <w:spacing w:line="480" w:lineRule="auto"/>
        <w:jc w:val="both"/>
        <w:rPr>
          <w:rFonts w:ascii="Times New Roman" w:hAnsi="Times New Roman" w:cs="Times New Roman"/>
          <w:b/>
          <w:bCs/>
          <w:i/>
          <w:iCs/>
          <w:sz w:val="24"/>
          <w:szCs w:val="24"/>
        </w:rPr>
      </w:pPr>
      <w:r w:rsidRPr="001E02E5">
        <w:rPr>
          <w:rFonts w:ascii="Times New Roman" w:hAnsi="Times New Roman" w:cs="Times New Roman"/>
          <w:b/>
          <w:bCs/>
          <w:i/>
          <w:iCs/>
          <w:sz w:val="24"/>
          <w:szCs w:val="24"/>
        </w:rPr>
        <w:t>3.4.2 Cost-effective Policies</w:t>
      </w:r>
    </w:p>
    <w:p w14:paraId="7F81D4C1" w14:textId="2444198D" w:rsidR="00964901" w:rsidRDefault="00ED1403" w:rsidP="006D3916">
      <w:pPr>
        <w:spacing w:line="480" w:lineRule="auto"/>
        <w:jc w:val="both"/>
        <w:rPr>
          <w:rFonts w:ascii="Times New Roman" w:hAnsi="Times New Roman" w:cs="Times New Roman"/>
          <w:sz w:val="24"/>
          <w:szCs w:val="24"/>
        </w:rPr>
      </w:pPr>
      <w:r w:rsidRPr="00ED1403">
        <w:rPr>
          <w:rFonts w:ascii="Times New Roman" w:hAnsi="Times New Roman" w:cs="Times New Roman"/>
          <w:sz w:val="24"/>
          <w:szCs w:val="24"/>
        </w:rPr>
        <w:fldChar w:fldCharType="begin" w:fldLock="1"/>
      </w:r>
      <w:r w:rsidRPr="00ED1403">
        <w:rPr>
          <w:rFonts w:ascii="Times New Roman" w:hAnsi="Times New Roman" w:cs="Times New Roman"/>
          <w:sz w:val="24"/>
          <w:szCs w:val="24"/>
        </w:rPr>
        <w:instrText>ADDIN CSL_CITATION {"citationItems":[{"id":"ITEM-1","itemData":{"DOI":"10.1093/heapol/czz181","ISSN":"14602237","PMID":"32031615","abstract":"Treatment costs remain a barrier for having timely cataract surgery in Vietnam, particularly for females and the poor, despite significant progress in achieving universal health coverage (UHC). This study evaluated the potential impact, on health and financial protection, of eliminating medical and non-medical out-of-pocket costs associated with cataract surgery. An extended cost-effectiveness analysis (ECEA) was conducted with a societal perspective. The ECEA modelled how many more disability-adjusted life years (DALYs) and cases of catastrophic health expenditure (CHE) and medical impoverishment could be averted across income quintiles and between males and females. Two programmes were evaluated: (1) eliminating medical out-of-pocket costs for small incision cataract surgery and (2) Programme A plus a voucher programme covering non-medical out-of-pocket costs. Compared with current, the incremental cost per year of Programme A was estimated to be $833 396 and $1 641 835 for Programme B, each representing &lt;0.01% of total health care spending in 2016. Males and females in the richest income quintiles would avert more DALYs than those in the poorest quintiles. For both programmes, most cases of CHE would be averted by individuals in the poorest income quintile. Programme B would avert the most CHE cases overall and females would have a greater share of benefits. All cases of impoverishing medical expenditure would be averted by individuals in the poorest quintile (A: 115 cases and B: 493 cases) for both programmes. The cost to avert each case of CHE with Programme A ranged from $67 to $292 and $100 to $232 for Programme B. We found a pro-rich health distribution and a pro-poor CHE distribution associated with eliminating out-of-pocket costs of cataract surgery in Vietnam. A programme that addressed both medical and non-medical out-of-pocket costs could have the greatest impact on improving financial protection in this population, particularly among the poorest income quintiles and for females. This study supports the concordance between the objectives of UHC and gender equity.","author":[{"dropping-particle":"","family":"Essue","given":"Beverley M.","non-dropping-particle":"","parse-names":false,"suffix":""},{"dropping-particle":"","family":"Jan","given":"Stephen","non-dropping-particle":"","parse-names":false,"suffix":""},{"dropping-particle":"","family":"Phuc","given":"Huynh Tan","non-dropping-particle":"","parse-names":false,"suffix":""},{"dropping-particle":"","family":"Dodson","given":"Sarity","non-dropping-particle":"","parse-names":false,"suffix":""},{"dropping-particle":"","family":"Armstrong","given":"Kirsten","non-dropping-particle":"","parse-names":false,"suffix":""},{"dropping-particle":"","family":"Laba","given":"Tracey Lea","non-dropping-particle":"","parse-names":false,"suffix":""}],"container-title":"Health Policy and Planning","id":"ITEM-1","issue":"4","issued":{"date-parts":[["2020"]]},"page":"399-407","title":"Who benefits most from extending financial protection for cataract surgery in Vietnam? An extended cost-effectiveness analysis of small incision surgery","type":"article-journal","volume":"35"},"uris":["http://www.mendeley.com/documents/?uuid=60f525c3-7ceb-4a67-8c0b-85a3c7db2c8c"]}],"mendeley":{"formattedCitation":"(Essue et al., 2020)","manualFormatting":"Essue et al. (2020)","plainTextFormattedCitation":"(Essue et al., 2020)","previouslyFormattedCitation":"(Essue et al., 2020)"},"properties":{"noteIndex":0},"schema":"https://github.com/citation-style-language/schema/raw/master/csl-citation.json"}</w:instrText>
      </w:r>
      <w:r w:rsidRPr="00ED1403">
        <w:rPr>
          <w:rFonts w:ascii="Times New Roman" w:hAnsi="Times New Roman" w:cs="Times New Roman"/>
          <w:sz w:val="24"/>
          <w:szCs w:val="24"/>
        </w:rPr>
        <w:fldChar w:fldCharType="separate"/>
      </w:r>
      <w:r w:rsidRPr="00ED1403">
        <w:rPr>
          <w:rFonts w:ascii="Times New Roman" w:hAnsi="Times New Roman" w:cs="Times New Roman"/>
          <w:noProof/>
          <w:sz w:val="24"/>
          <w:szCs w:val="24"/>
        </w:rPr>
        <w:t>Essue et al. (2020)</w:t>
      </w:r>
      <w:r w:rsidRPr="00ED1403">
        <w:rPr>
          <w:rFonts w:ascii="Times New Roman" w:hAnsi="Times New Roman" w:cs="Times New Roman"/>
          <w:sz w:val="24"/>
          <w:szCs w:val="24"/>
        </w:rPr>
        <w:fldChar w:fldCharType="end"/>
      </w:r>
      <w:r w:rsidRPr="00ED1403">
        <w:rPr>
          <w:rFonts w:ascii="Times New Roman" w:hAnsi="Times New Roman" w:cs="Times New Roman"/>
          <w:sz w:val="24"/>
          <w:szCs w:val="24"/>
        </w:rPr>
        <w:t xml:space="preserve"> found that more CHE cases, poverty cases</w:t>
      </w:r>
      <w:r w:rsidR="00C97039">
        <w:rPr>
          <w:rFonts w:ascii="Times New Roman" w:hAnsi="Times New Roman" w:cs="Times New Roman"/>
          <w:sz w:val="24"/>
          <w:szCs w:val="24"/>
        </w:rPr>
        <w:t>,</w:t>
      </w:r>
      <w:r w:rsidRPr="00ED1403">
        <w:rPr>
          <w:rFonts w:ascii="Times New Roman" w:hAnsi="Times New Roman" w:cs="Times New Roman"/>
          <w:sz w:val="24"/>
          <w:szCs w:val="24"/>
        </w:rPr>
        <w:t xml:space="preserve"> and DALYs were averted among females relative to males as cataract was found </w:t>
      </w:r>
      <w:r w:rsidR="00681DE8">
        <w:rPr>
          <w:rFonts w:ascii="Times New Roman" w:hAnsi="Times New Roman" w:cs="Times New Roman"/>
          <w:sz w:val="24"/>
          <w:szCs w:val="24"/>
        </w:rPr>
        <w:t>mainly</w:t>
      </w:r>
      <w:r w:rsidRPr="00ED1403">
        <w:rPr>
          <w:rFonts w:ascii="Times New Roman" w:hAnsi="Times New Roman" w:cs="Times New Roman"/>
          <w:sz w:val="24"/>
          <w:szCs w:val="24"/>
        </w:rPr>
        <w:t xml:space="preserve"> among the females. </w:t>
      </w:r>
      <w:r w:rsidR="002977A0">
        <w:rPr>
          <w:rFonts w:ascii="Times New Roman" w:hAnsi="Times New Roman" w:cs="Times New Roman"/>
          <w:sz w:val="24"/>
          <w:szCs w:val="24"/>
        </w:rPr>
        <w:t>T</w:t>
      </w:r>
      <w:r w:rsidRPr="00ED1403">
        <w:rPr>
          <w:rFonts w:ascii="Times New Roman" w:hAnsi="Times New Roman" w:cs="Times New Roman"/>
          <w:sz w:val="24"/>
          <w:szCs w:val="24"/>
        </w:rPr>
        <w:t xml:space="preserve">hey </w:t>
      </w:r>
      <w:r w:rsidR="002977A0">
        <w:rPr>
          <w:rFonts w:ascii="Times New Roman" w:hAnsi="Times New Roman" w:cs="Times New Roman"/>
          <w:sz w:val="24"/>
          <w:szCs w:val="24"/>
        </w:rPr>
        <w:t xml:space="preserve">also </w:t>
      </w:r>
      <w:r w:rsidRPr="00ED1403">
        <w:rPr>
          <w:rFonts w:ascii="Times New Roman" w:hAnsi="Times New Roman" w:cs="Times New Roman"/>
          <w:sz w:val="24"/>
          <w:szCs w:val="24"/>
        </w:rPr>
        <w:t xml:space="preserve">found a pro-rich health distribution and a pro-poor non-health distribution associated with eliminating </w:t>
      </w:r>
      <w:r w:rsidR="00B12FF9">
        <w:rPr>
          <w:rFonts w:ascii="Times New Roman" w:hAnsi="Times New Roman" w:cs="Times New Roman"/>
          <w:sz w:val="24"/>
          <w:szCs w:val="24"/>
        </w:rPr>
        <w:t xml:space="preserve">the </w:t>
      </w:r>
      <w:r w:rsidRPr="00ED1403">
        <w:rPr>
          <w:rFonts w:ascii="Times New Roman" w:hAnsi="Times New Roman" w:cs="Times New Roman"/>
          <w:sz w:val="24"/>
          <w:szCs w:val="24"/>
        </w:rPr>
        <w:t xml:space="preserve">OOP of cataract surgery in Vietnam. </w:t>
      </w:r>
      <w:r w:rsidRPr="00ED1403">
        <w:rPr>
          <w:rFonts w:ascii="Times New Roman" w:hAnsi="Times New Roman" w:cs="Times New Roman"/>
          <w:sz w:val="24"/>
          <w:szCs w:val="24"/>
        </w:rPr>
        <w:fldChar w:fldCharType="begin" w:fldLock="1"/>
      </w:r>
      <w:r w:rsidRPr="00ED1403">
        <w:rPr>
          <w:rFonts w:ascii="Times New Roman" w:hAnsi="Times New Roman" w:cs="Times New Roman"/>
          <w:sz w:val="24"/>
          <w:szCs w:val="24"/>
        </w:rPr>
        <w:instrText>ADDIN CSL_CITATION {"citationItems":[{"id":"ITEM-1","itemData":{"DOI":"10.1136/bmjopen-2014-006402","ISSN":"20446055","PMID":"25941175","abstract":"OBJECTIVES: Policymakers face many decisions when considering public financing for health, including the kind of health interventions to include in a publically financed package. The consequences of these choices will influence health outcomes as well as the financial risk protection provided to different segments of the population. The purpose of this study is to illustrate the size and distribution of benefits due to treatment and prevention of diarrhoea (ie, rotavirus vaccination).\nMETHODS: We use an economic model to examine the impacts of universal public finance (UPF) of diarrhoeal treatment alone, as opposed to diarrhoeal treatment along with rotavirus vaccination in Ethiopia using extended cost-effectiveness analysis (ECEA). ECEA allows us to measure the health gains and financial risk protection provided by these interventions for each wealth quintile. Our model compares a baseline situation with diarrhoeal treatment seeking of 32% (overall) and no rotavirus vaccination, to a situation where UPF increases treatment seeking by 20 percentage points for each quintile and rotavirus vaccination reaches DTP (diphteria, pertussis, tetanus) 2 levels for each quintile (overall rate of 52%). We calculate deaths averted, private expenditures averted and costs incurred by the government under the baseline situation and with UPF.\nRESULTS: We find that diarrhoeal treatment paired with rotavirus vaccination is more cost effective than diarrhoeal treatment alone for the metrics we examine in this paper (deaths and private expenditures averted). Per US$1 million invested, diarrhoeal treatment saves 44 lives and averts US$115,000 in private expenditures. For the same investment, diarrhoeal treatment and rotavirus vaccination save 61 lives and avert US$150,000 in private expenditures. The health benefits of these interventions tend to benefit the poor, while the financial benefits favour the better-off.\nCONCLUSIONS: Policymakers should consider multiple benefit streams as well as their scale and incidence when considering public finance of health interventions.","author":[{"dropping-particle":"","family":"Pecenka","given":"Clinton J.","non-dropping-particle":"","parse-names":false,"suffix":""},{"dropping-particle":"","family":"Johansson","given":"Kjell Arne","non-dropping-particle":"","parse-names":false,"suffix":""},{"dropping-particle":"","family":"Memirie","given":"Solomon Tessema","non-dropping-particle":"","parse-names":false,"suffix":""},{"dropping-particle":"","family":"Jamison","given":"Dean T.","non-dropping-particle":"","parse-names":false,"suffix":""},{"dropping-particle":"","family":"Verguet","given":"Stéphane","non-dropping-particle":"","parse-names":false,"suffix":""}],"container-title":"BMJ open","id":"ITEM-1","issue":"4","issued":{"date-parts":[["2015"]]},"page":"e006402","title":"Health gains and financial risk protection: an extended cost-effectiveness analysis of treatment and prevention of diarrhoea in Ethiopia","type":"article-journal","volume":"5"},"uris":["http://www.mendeley.com/documents/?uuid=5516fdca-f656-4be1-8f6a-fc2d70c03f5c"]}],"mendeley":{"formattedCitation":"(Pecenka et al., 2015)","manualFormatting":"Pecenka et al. (2015)","plainTextFormattedCitation":"(Pecenka et al., 2015)","previouslyFormattedCitation":"(Pecenka et al., 2015)"},"properties":{"noteIndex":0},"schema":"https://github.com/citation-style-language/schema/raw/master/csl-citation.json"}</w:instrText>
      </w:r>
      <w:r w:rsidRPr="00ED1403">
        <w:rPr>
          <w:rFonts w:ascii="Times New Roman" w:hAnsi="Times New Roman" w:cs="Times New Roman"/>
          <w:sz w:val="24"/>
          <w:szCs w:val="24"/>
        </w:rPr>
        <w:fldChar w:fldCharType="separate"/>
      </w:r>
      <w:r w:rsidRPr="00ED1403">
        <w:rPr>
          <w:rFonts w:ascii="Times New Roman" w:hAnsi="Times New Roman" w:cs="Times New Roman"/>
          <w:noProof/>
          <w:sz w:val="24"/>
          <w:szCs w:val="24"/>
        </w:rPr>
        <w:t>Pecenka et al. (2015)</w:t>
      </w:r>
      <w:r w:rsidRPr="00ED1403">
        <w:rPr>
          <w:rFonts w:ascii="Times New Roman" w:hAnsi="Times New Roman" w:cs="Times New Roman"/>
          <w:sz w:val="24"/>
          <w:szCs w:val="24"/>
        </w:rPr>
        <w:fldChar w:fldCharType="end"/>
      </w:r>
      <w:r w:rsidRPr="00ED1403">
        <w:rPr>
          <w:rFonts w:ascii="Times New Roman" w:hAnsi="Times New Roman" w:cs="Times New Roman"/>
          <w:sz w:val="24"/>
          <w:szCs w:val="24"/>
        </w:rPr>
        <w:t xml:space="preserve"> revealed that the health benefits of diarrhea treatment and rotavirus vaccination favored the poor</w:t>
      </w:r>
      <w:r w:rsidR="00557BAC">
        <w:rPr>
          <w:rFonts w:ascii="Times New Roman" w:hAnsi="Times New Roman" w:cs="Times New Roman"/>
          <w:sz w:val="24"/>
          <w:szCs w:val="24"/>
        </w:rPr>
        <w:t>,</w:t>
      </w:r>
      <w:r w:rsidRPr="00ED1403">
        <w:rPr>
          <w:rFonts w:ascii="Times New Roman" w:hAnsi="Times New Roman" w:cs="Times New Roman"/>
          <w:sz w:val="24"/>
          <w:szCs w:val="24"/>
        </w:rPr>
        <w:t xml:space="preserve"> but its financial or non-health benefits favored the better-off people in Ethiopia. </w:t>
      </w:r>
    </w:p>
    <w:p w14:paraId="11359568" w14:textId="282B6BFA" w:rsidR="00E13413" w:rsidRPr="00E356DC" w:rsidRDefault="00E13413" w:rsidP="00E13413">
      <w:pPr>
        <w:pStyle w:val="ListParagraph"/>
        <w:numPr>
          <w:ilvl w:val="0"/>
          <w:numId w:val="8"/>
        </w:numPr>
        <w:spacing w:line="480" w:lineRule="auto"/>
        <w:jc w:val="both"/>
        <w:rPr>
          <w:rFonts w:ascii="Times New Roman" w:hAnsi="Times New Roman" w:cs="Times New Roman"/>
          <w:i/>
          <w:iCs/>
          <w:sz w:val="24"/>
          <w:szCs w:val="24"/>
        </w:rPr>
      </w:pPr>
      <w:r w:rsidRPr="00E356DC">
        <w:rPr>
          <w:rFonts w:ascii="Times New Roman" w:hAnsi="Times New Roman" w:cs="Times New Roman"/>
          <w:b/>
          <w:bCs/>
          <w:i/>
          <w:iCs/>
          <w:sz w:val="24"/>
          <w:szCs w:val="24"/>
        </w:rPr>
        <w:t>Discussion</w:t>
      </w:r>
      <w:r w:rsidRPr="00E356DC">
        <w:rPr>
          <w:rFonts w:ascii="Times New Roman" w:hAnsi="Times New Roman" w:cs="Times New Roman"/>
          <w:i/>
          <w:iCs/>
          <w:sz w:val="24"/>
          <w:szCs w:val="24"/>
        </w:rPr>
        <w:t xml:space="preserve"> </w:t>
      </w:r>
    </w:p>
    <w:p w14:paraId="5042CB3E" w14:textId="3FA85D3D" w:rsidR="002F3B9F" w:rsidRDefault="002F3B9F" w:rsidP="002F3B9F">
      <w:pPr>
        <w:spacing w:line="480" w:lineRule="auto"/>
        <w:jc w:val="both"/>
        <w:rPr>
          <w:rFonts w:ascii="Times New Roman" w:hAnsi="Times New Roman" w:cs="Times New Roman"/>
          <w:sz w:val="24"/>
          <w:szCs w:val="24"/>
        </w:rPr>
      </w:pPr>
      <w:r w:rsidRPr="00E356DC">
        <w:rPr>
          <w:rFonts w:ascii="Times New Roman" w:hAnsi="Times New Roman" w:cs="Times New Roman"/>
          <w:sz w:val="24"/>
          <w:szCs w:val="24"/>
        </w:rPr>
        <w:t>Th</w:t>
      </w:r>
      <w:r w:rsidR="00740E73">
        <w:rPr>
          <w:rFonts w:ascii="Times New Roman" w:hAnsi="Times New Roman" w:cs="Times New Roman"/>
          <w:sz w:val="24"/>
          <w:szCs w:val="24"/>
        </w:rPr>
        <w:t>e</w:t>
      </w:r>
      <w:r w:rsidRPr="00E356DC">
        <w:rPr>
          <w:rFonts w:ascii="Times New Roman" w:hAnsi="Times New Roman" w:cs="Times New Roman"/>
          <w:sz w:val="24"/>
          <w:szCs w:val="24"/>
        </w:rPr>
        <w:t xml:space="preserve"> synthesis revealed that tax could favor the poor or the rich depending on the product. For instance, since the poor has low income, they will be more responsive to a tax on tobacco and quit it and experience </w:t>
      </w:r>
      <w:r w:rsidR="007A14A4" w:rsidRPr="00E356DC">
        <w:rPr>
          <w:rFonts w:ascii="Times New Roman" w:hAnsi="Times New Roman" w:cs="Times New Roman"/>
          <w:sz w:val="24"/>
          <w:szCs w:val="24"/>
        </w:rPr>
        <w:t>increased</w:t>
      </w:r>
      <w:r w:rsidRPr="00E356DC">
        <w:rPr>
          <w:rFonts w:ascii="Times New Roman" w:hAnsi="Times New Roman" w:cs="Times New Roman"/>
          <w:sz w:val="24"/>
          <w:szCs w:val="24"/>
        </w:rPr>
        <w:t xml:space="preserve"> health and </w:t>
      </w:r>
      <w:r w:rsidR="009039DA" w:rsidRPr="00E356DC">
        <w:rPr>
          <w:rFonts w:ascii="Times New Roman" w:hAnsi="Times New Roman" w:cs="Times New Roman"/>
          <w:sz w:val="24"/>
          <w:szCs w:val="24"/>
        </w:rPr>
        <w:t>non-health benefits</w:t>
      </w:r>
      <w:r w:rsidRPr="00E356DC">
        <w:rPr>
          <w:rFonts w:ascii="Times New Roman" w:hAnsi="Times New Roman" w:cs="Times New Roman"/>
          <w:sz w:val="24"/>
          <w:szCs w:val="24"/>
        </w:rPr>
        <w:t xml:space="preserve"> relative to the rich. </w:t>
      </w:r>
      <w:r w:rsidR="00C86FAE" w:rsidRPr="00E356DC">
        <w:rPr>
          <w:rFonts w:ascii="Times New Roman" w:hAnsi="Times New Roman" w:cs="Times New Roman"/>
          <w:sz w:val="24"/>
          <w:szCs w:val="24"/>
        </w:rPr>
        <w:t xml:space="preserve">Meanwhile, a tax on </w:t>
      </w:r>
      <w:r w:rsidR="003F7245">
        <w:rPr>
          <w:rFonts w:ascii="Times New Roman" w:hAnsi="Times New Roman" w:cs="Times New Roman"/>
          <w:sz w:val="24"/>
          <w:szCs w:val="24"/>
        </w:rPr>
        <w:t>SSB</w:t>
      </w:r>
      <w:r w:rsidR="00C86FAE" w:rsidRPr="00E356DC">
        <w:rPr>
          <w:rFonts w:ascii="Times New Roman" w:hAnsi="Times New Roman" w:cs="Times New Roman"/>
          <w:sz w:val="24"/>
          <w:szCs w:val="24"/>
        </w:rPr>
        <w:t xml:space="preserve"> will favor the rich </w:t>
      </w:r>
      <w:r w:rsidR="005C7F53" w:rsidRPr="00E356DC">
        <w:rPr>
          <w:rFonts w:ascii="Times New Roman" w:hAnsi="Times New Roman" w:cs="Times New Roman"/>
          <w:sz w:val="24"/>
          <w:szCs w:val="24"/>
        </w:rPr>
        <w:t xml:space="preserve">(both health and non-health benefits) </w:t>
      </w:r>
      <w:r w:rsidR="00C86FAE" w:rsidRPr="00E356DC">
        <w:rPr>
          <w:rFonts w:ascii="Times New Roman" w:hAnsi="Times New Roman" w:cs="Times New Roman"/>
          <w:sz w:val="24"/>
          <w:szCs w:val="24"/>
        </w:rPr>
        <w:t xml:space="preserve">relative to the poor because the poor has lower income and hence, consumes less SSB. </w:t>
      </w:r>
    </w:p>
    <w:p w14:paraId="1A4ACDC3" w14:textId="3D765874" w:rsidR="001D72CD" w:rsidRPr="00E356DC" w:rsidRDefault="001D72CD" w:rsidP="002F3B9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synthesis also </w:t>
      </w:r>
      <w:r w:rsidR="002977A0">
        <w:rPr>
          <w:rFonts w:ascii="Times New Roman" w:hAnsi="Times New Roman" w:cs="Times New Roman"/>
          <w:sz w:val="24"/>
          <w:szCs w:val="24"/>
        </w:rPr>
        <w:t xml:space="preserve">revealed that interventions may be cost-effective but </w:t>
      </w:r>
      <w:r w:rsidR="009B1064">
        <w:rPr>
          <w:rFonts w:ascii="Times New Roman" w:hAnsi="Times New Roman" w:cs="Times New Roman"/>
          <w:sz w:val="24"/>
          <w:szCs w:val="24"/>
        </w:rPr>
        <w:t>exert</w:t>
      </w:r>
      <w:r w:rsidR="002977A0">
        <w:rPr>
          <w:rFonts w:ascii="Times New Roman" w:hAnsi="Times New Roman" w:cs="Times New Roman"/>
          <w:sz w:val="24"/>
          <w:szCs w:val="24"/>
        </w:rPr>
        <w:t xml:space="preserve"> different distributions of health and non-health </w:t>
      </w:r>
      <w:r w:rsidR="009B1064" w:rsidRPr="00ED1403">
        <w:rPr>
          <w:rFonts w:ascii="Times New Roman" w:hAnsi="Times New Roman" w:cs="Times New Roman"/>
          <w:sz w:val="24"/>
          <w:szCs w:val="24"/>
        </w:rPr>
        <w:t>consequences on the poor and the rich</w:t>
      </w:r>
      <w:r w:rsidR="009B1064">
        <w:rPr>
          <w:rFonts w:ascii="Times New Roman" w:hAnsi="Times New Roman" w:cs="Times New Roman"/>
          <w:sz w:val="24"/>
          <w:szCs w:val="24"/>
        </w:rPr>
        <w:t xml:space="preserve"> or female and male</w:t>
      </w:r>
      <w:r w:rsidR="009B1064" w:rsidRPr="00ED1403">
        <w:rPr>
          <w:rFonts w:ascii="Times New Roman" w:hAnsi="Times New Roman" w:cs="Times New Roman"/>
          <w:sz w:val="24"/>
          <w:szCs w:val="24"/>
        </w:rPr>
        <w:t xml:space="preserve"> </w:t>
      </w:r>
      <w:r w:rsidR="009B1064" w:rsidRPr="00ED1403">
        <w:rPr>
          <w:rFonts w:ascii="Times New Roman" w:hAnsi="Times New Roman" w:cs="Times New Roman"/>
          <w:sz w:val="24"/>
          <w:szCs w:val="24"/>
        </w:rPr>
        <w:lastRenderedPageBreak/>
        <w:t xml:space="preserve">depending on the severity or prevalence of disease in a </w:t>
      </w:r>
      <w:r w:rsidR="009B1064">
        <w:rPr>
          <w:rFonts w:ascii="Times New Roman" w:hAnsi="Times New Roman" w:cs="Times New Roman"/>
          <w:sz w:val="24"/>
          <w:szCs w:val="24"/>
        </w:rPr>
        <w:t>particular</w:t>
      </w:r>
      <w:r w:rsidR="009B1064" w:rsidRPr="00ED1403">
        <w:rPr>
          <w:rFonts w:ascii="Times New Roman" w:hAnsi="Times New Roman" w:cs="Times New Roman"/>
          <w:sz w:val="24"/>
          <w:szCs w:val="24"/>
        </w:rPr>
        <w:t xml:space="preserve"> sub-group</w:t>
      </w:r>
      <w:r w:rsidR="009B1064">
        <w:rPr>
          <w:rFonts w:ascii="Times New Roman" w:hAnsi="Times New Roman" w:cs="Times New Roman"/>
          <w:sz w:val="24"/>
          <w:szCs w:val="24"/>
        </w:rPr>
        <w:t xml:space="preserve"> </w:t>
      </w:r>
      <w:r w:rsidR="009B1064" w:rsidRPr="00ED1403">
        <w:rPr>
          <w:rFonts w:ascii="Times New Roman" w:hAnsi="Times New Roman" w:cs="Times New Roman"/>
          <w:sz w:val="24"/>
          <w:szCs w:val="24"/>
        </w:rPr>
        <w:t>in that country</w:t>
      </w:r>
      <w:r w:rsidR="009B1064">
        <w:rPr>
          <w:rFonts w:ascii="Times New Roman" w:hAnsi="Times New Roman" w:cs="Times New Roman"/>
          <w:sz w:val="24"/>
          <w:szCs w:val="24"/>
        </w:rPr>
        <w:t xml:space="preserve"> or other equity-relevant variables</w:t>
      </w:r>
      <w:r w:rsidR="009B1064" w:rsidRPr="00ED1403">
        <w:rPr>
          <w:rFonts w:ascii="Times New Roman" w:hAnsi="Times New Roman" w:cs="Times New Roman"/>
          <w:sz w:val="24"/>
          <w:szCs w:val="24"/>
        </w:rPr>
        <w:t>.</w:t>
      </w:r>
      <w:r w:rsidR="009B1064">
        <w:rPr>
          <w:rFonts w:ascii="Times New Roman" w:hAnsi="Times New Roman" w:cs="Times New Roman"/>
          <w:sz w:val="24"/>
          <w:szCs w:val="24"/>
        </w:rPr>
        <w:t xml:space="preserve"> </w:t>
      </w:r>
      <w:r w:rsidR="009B1064">
        <w:rPr>
          <w:rFonts w:ascii="Times New Roman" w:hAnsi="Times New Roman" w:cs="Times New Roman"/>
          <w:sz w:val="24"/>
          <w:szCs w:val="24"/>
        </w:rPr>
        <w:t>As cataract is prevalent among females in Vietnam,</w:t>
      </w:r>
      <w:r w:rsidR="00F3473D">
        <w:rPr>
          <w:rFonts w:ascii="Times New Roman" w:hAnsi="Times New Roman" w:cs="Times New Roman"/>
          <w:sz w:val="24"/>
          <w:szCs w:val="24"/>
        </w:rPr>
        <w:t xml:space="preserve"> hence</w:t>
      </w:r>
      <w:r w:rsidR="009B1064">
        <w:rPr>
          <w:rFonts w:ascii="Times New Roman" w:hAnsi="Times New Roman" w:cs="Times New Roman"/>
          <w:sz w:val="24"/>
          <w:szCs w:val="24"/>
        </w:rPr>
        <w:t xml:space="preserve"> they benefited more from the cataract intervention</w:t>
      </w:r>
      <w:r w:rsidR="00F3473D">
        <w:rPr>
          <w:rFonts w:ascii="Times New Roman" w:hAnsi="Times New Roman" w:cs="Times New Roman"/>
          <w:sz w:val="24"/>
          <w:szCs w:val="24"/>
        </w:rPr>
        <w:t xml:space="preserve"> relative to men</w:t>
      </w:r>
      <w:r w:rsidR="009B1064">
        <w:rPr>
          <w:rFonts w:ascii="Times New Roman" w:hAnsi="Times New Roman" w:cs="Times New Roman"/>
          <w:sz w:val="24"/>
          <w:szCs w:val="24"/>
        </w:rPr>
        <w:t>.</w:t>
      </w:r>
      <w:r w:rsidR="00C271CF">
        <w:rPr>
          <w:rFonts w:ascii="Times New Roman" w:hAnsi="Times New Roman" w:cs="Times New Roman"/>
          <w:sz w:val="24"/>
          <w:szCs w:val="24"/>
        </w:rPr>
        <w:t xml:space="preserve"> Thus, stratifying health and non-health benefits</w:t>
      </w:r>
      <w:r w:rsidR="00804D19">
        <w:rPr>
          <w:rFonts w:ascii="Times New Roman" w:hAnsi="Times New Roman" w:cs="Times New Roman"/>
          <w:sz w:val="24"/>
          <w:szCs w:val="24"/>
        </w:rPr>
        <w:t xml:space="preserve"> of policy interventions</w:t>
      </w:r>
      <w:r w:rsidR="00C271CF">
        <w:rPr>
          <w:rFonts w:ascii="Times New Roman" w:hAnsi="Times New Roman" w:cs="Times New Roman"/>
          <w:sz w:val="24"/>
          <w:szCs w:val="24"/>
        </w:rPr>
        <w:t xml:space="preserve"> by equity-relevant variables is </w:t>
      </w:r>
      <w:r w:rsidR="007A736C">
        <w:rPr>
          <w:rFonts w:ascii="Times New Roman" w:hAnsi="Times New Roman" w:cs="Times New Roman"/>
          <w:sz w:val="24"/>
          <w:szCs w:val="24"/>
        </w:rPr>
        <w:t>very crucial</w:t>
      </w:r>
      <w:r w:rsidR="00C271CF">
        <w:rPr>
          <w:rFonts w:ascii="Times New Roman" w:hAnsi="Times New Roman" w:cs="Times New Roman"/>
          <w:sz w:val="24"/>
          <w:szCs w:val="24"/>
        </w:rPr>
        <w:t xml:space="preserve"> for policy formulation.</w:t>
      </w:r>
    </w:p>
    <w:p w14:paraId="1850F06C" w14:textId="18DBE495" w:rsidR="003826F9" w:rsidRPr="00B51B4E" w:rsidRDefault="0072713F" w:rsidP="00FA175F">
      <w:pPr>
        <w:pStyle w:val="ListParagraph"/>
        <w:numPr>
          <w:ilvl w:val="0"/>
          <w:numId w:val="8"/>
        </w:numPr>
        <w:spacing w:line="480" w:lineRule="auto"/>
        <w:rPr>
          <w:rFonts w:ascii="Times New Roman" w:hAnsi="Times New Roman" w:cs="Times New Roman"/>
          <w:b/>
          <w:bCs/>
          <w:i/>
          <w:iCs/>
          <w:color w:val="242021"/>
          <w:sz w:val="24"/>
          <w:szCs w:val="24"/>
        </w:rPr>
      </w:pPr>
      <w:r w:rsidRPr="00B51B4E">
        <w:rPr>
          <w:rFonts w:ascii="Times New Roman" w:hAnsi="Times New Roman" w:cs="Times New Roman"/>
          <w:b/>
          <w:bCs/>
          <w:i/>
          <w:iCs/>
          <w:color w:val="242021"/>
          <w:sz w:val="24"/>
          <w:szCs w:val="24"/>
        </w:rPr>
        <w:t>Conclusion</w:t>
      </w:r>
      <w:r w:rsidR="00403822" w:rsidRPr="00B51B4E">
        <w:rPr>
          <w:rFonts w:ascii="Times New Roman" w:hAnsi="Times New Roman" w:cs="Times New Roman"/>
          <w:b/>
          <w:bCs/>
          <w:i/>
          <w:iCs/>
          <w:color w:val="242021"/>
          <w:sz w:val="24"/>
          <w:szCs w:val="24"/>
        </w:rPr>
        <w:t xml:space="preserve"> </w:t>
      </w:r>
      <w:r w:rsidR="00107D5E" w:rsidRPr="00B51B4E">
        <w:rPr>
          <w:rFonts w:ascii="Times New Roman" w:hAnsi="Times New Roman" w:cs="Times New Roman"/>
          <w:b/>
          <w:bCs/>
          <w:i/>
          <w:iCs/>
          <w:color w:val="242021"/>
          <w:sz w:val="24"/>
          <w:szCs w:val="24"/>
        </w:rPr>
        <w:t>and Recommendations</w:t>
      </w:r>
    </w:p>
    <w:p w14:paraId="02737591" w14:textId="77777777" w:rsidR="00025197" w:rsidRPr="00025197" w:rsidRDefault="00025197" w:rsidP="00025197">
      <w:pPr>
        <w:spacing w:line="480" w:lineRule="auto"/>
        <w:rPr>
          <w:rFonts w:ascii="Times New Roman" w:hAnsi="Times New Roman" w:cs="Times New Roman"/>
          <w:sz w:val="24"/>
          <w:szCs w:val="24"/>
        </w:rPr>
      </w:pPr>
      <w:r w:rsidRPr="00025197">
        <w:rPr>
          <w:rFonts w:ascii="Times New Roman" w:hAnsi="Times New Roman" w:cs="Times New Roman"/>
          <w:sz w:val="24"/>
          <w:szCs w:val="24"/>
        </w:rPr>
        <w:t>Findings revealed that consequences of health policy interventions are not evenly distributed as implicitly assumed in (traditional) cost-effectiveness analysis (CEA). Considering the social distributions of health and non-health impacts of health policy interventions may be the gateway in achieving Universal Health Coverage (UHC) in LMICs. It helps policymakers to undertake and strategize policy interventions towards a target population. Ongoing research should explore how to model and estimate equity and total health trade-off, particularly in the context of policy formulation and decision-making.</w:t>
      </w:r>
    </w:p>
    <w:p w14:paraId="3733C78D" w14:textId="7DEC986E" w:rsidR="007B6B95" w:rsidRPr="00025197" w:rsidRDefault="007B6B95" w:rsidP="00025197">
      <w:pPr>
        <w:pStyle w:val="ListParagraph"/>
        <w:numPr>
          <w:ilvl w:val="0"/>
          <w:numId w:val="8"/>
        </w:numPr>
        <w:spacing w:line="480" w:lineRule="auto"/>
        <w:rPr>
          <w:rFonts w:ascii="Times New Roman" w:hAnsi="Times New Roman" w:cs="Times New Roman"/>
          <w:b/>
          <w:bCs/>
          <w:i/>
          <w:iCs/>
          <w:color w:val="242021"/>
          <w:sz w:val="24"/>
          <w:szCs w:val="24"/>
        </w:rPr>
      </w:pPr>
      <w:r w:rsidRPr="00025197">
        <w:rPr>
          <w:rFonts w:ascii="Times New Roman" w:hAnsi="Times New Roman" w:cs="Times New Roman"/>
          <w:b/>
          <w:bCs/>
          <w:i/>
          <w:iCs/>
          <w:color w:val="242021"/>
          <w:sz w:val="24"/>
          <w:szCs w:val="24"/>
        </w:rPr>
        <w:t>Limitations</w:t>
      </w:r>
    </w:p>
    <w:p w14:paraId="08216A7B" w14:textId="1A3A59A4" w:rsidR="00D61CDF" w:rsidRDefault="002D7EF6" w:rsidP="008A698D">
      <w:pPr>
        <w:spacing w:line="480" w:lineRule="auto"/>
        <w:jc w:val="both"/>
        <w:rPr>
          <w:rFonts w:ascii="Times New Roman" w:hAnsi="Times New Roman" w:cs="Times New Roman"/>
          <w:color w:val="242021"/>
          <w:sz w:val="24"/>
          <w:szCs w:val="24"/>
        </w:rPr>
        <w:sectPr w:rsidR="00D61CDF" w:rsidSect="00E57E96">
          <w:pgSz w:w="12240" w:h="15840"/>
          <w:pgMar w:top="1440" w:right="1440" w:bottom="1440" w:left="1440" w:header="720" w:footer="720" w:gutter="0"/>
          <w:pgNumType w:start="1"/>
          <w:cols w:space="720"/>
          <w:docGrid w:linePitch="360"/>
        </w:sectPr>
      </w:pPr>
      <w:r w:rsidRPr="002F0887">
        <w:rPr>
          <w:rFonts w:ascii="Times New Roman" w:hAnsi="Times New Roman" w:cs="Times New Roman"/>
          <w:color w:val="242021"/>
          <w:sz w:val="24"/>
          <w:szCs w:val="24"/>
        </w:rPr>
        <w:t>Only one author screened the articles.</w:t>
      </w:r>
      <w:r w:rsidR="00103307">
        <w:rPr>
          <w:rFonts w:ascii="Times New Roman" w:hAnsi="Times New Roman" w:cs="Times New Roman"/>
          <w:color w:val="242021"/>
          <w:sz w:val="24"/>
          <w:szCs w:val="24"/>
        </w:rPr>
        <w:t xml:space="preserve"> </w:t>
      </w:r>
      <w:r w:rsidR="00624506">
        <w:rPr>
          <w:rFonts w:ascii="Times New Roman" w:hAnsi="Times New Roman" w:cs="Times New Roman"/>
          <w:color w:val="242021"/>
          <w:sz w:val="24"/>
          <w:szCs w:val="24"/>
        </w:rPr>
        <w:t>T</w:t>
      </w:r>
      <w:r w:rsidR="00AC11D5">
        <w:rPr>
          <w:rFonts w:ascii="Times New Roman" w:hAnsi="Times New Roman" w:cs="Times New Roman"/>
          <w:color w:val="242021"/>
          <w:sz w:val="24"/>
          <w:szCs w:val="24"/>
        </w:rPr>
        <w:t>he</w:t>
      </w:r>
      <w:r w:rsidR="00AC11D5" w:rsidRPr="002F0887">
        <w:rPr>
          <w:rFonts w:ascii="Times New Roman" w:hAnsi="Times New Roman" w:cs="Times New Roman"/>
          <w:color w:val="242021"/>
          <w:sz w:val="24"/>
          <w:szCs w:val="24"/>
        </w:rPr>
        <w:t xml:space="preserve"> analyses were limited by the</w:t>
      </w:r>
      <w:r w:rsidR="00664649">
        <w:rPr>
          <w:rFonts w:ascii="Times New Roman" w:hAnsi="Times New Roman" w:cs="Times New Roman"/>
          <w:color w:val="242021"/>
          <w:sz w:val="24"/>
          <w:szCs w:val="24"/>
        </w:rPr>
        <w:t xml:space="preserve"> different or</w:t>
      </w:r>
      <w:r w:rsidR="00AC11D5" w:rsidRPr="002F0887">
        <w:rPr>
          <w:rFonts w:ascii="Times New Roman" w:hAnsi="Times New Roman" w:cs="Times New Roman"/>
          <w:color w:val="242021"/>
          <w:sz w:val="24"/>
          <w:szCs w:val="24"/>
        </w:rPr>
        <w:t xml:space="preserve"> heterogeneity of health polic</w:t>
      </w:r>
      <w:r w:rsidR="00664649">
        <w:rPr>
          <w:rFonts w:ascii="Times New Roman" w:hAnsi="Times New Roman" w:cs="Times New Roman"/>
          <w:color w:val="242021"/>
          <w:sz w:val="24"/>
          <w:szCs w:val="24"/>
        </w:rPr>
        <w:t>y interventions</w:t>
      </w:r>
      <w:r w:rsidR="00AC11D5" w:rsidRPr="002F0887">
        <w:rPr>
          <w:rFonts w:ascii="Times New Roman" w:hAnsi="Times New Roman" w:cs="Times New Roman"/>
          <w:color w:val="242021"/>
          <w:sz w:val="24"/>
          <w:szCs w:val="24"/>
        </w:rPr>
        <w:t xml:space="preserve"> </w:t>
      </w:r>
      <w:r w:rsidR="00484E3E">
        <w:rPr>
          <w:rFonts w:ascii="Times New Roman" w:hAnsi="Times New Roman" w:cs="Times New Roman"/>
          <w:color w:val="242021"/>
          <w:sz w:val="24"/>
          <w:szCs w:val="24"/>
        </w:rPr>
        <w:t>evaluated</w:t>
      </w:r>
      <w:r w:rsidR="00AC11D5" w:rsidRPr="002F0887">
        <w:rPr>
          <w:rFonts w:ascii="Times New Roman" w:hAnsi="Times New Roman" w:cs="Times New Roman"/>
          <w:color w:val="242021"/>
          <w:sz w:val="24"/>
          <w:szCs w:val="24"/>
        </w:rPr>
        <w:t xml:space="preserve"> by the various articles</w:t>
      </w:r>
      <w:r w:rsidR="00AC11D5">
        <w:rPr>
          <w:rFonts w:ascii="Times New Roman" w:hAnsi="Times New Roman" w:cs="Times New Roman"/>
          <w:color w:val="242021"/>
          <w:sz w:val="24"/>
          <w:szCs w:val="24"/>
        </w:rPr>
        <w:t xml:space="preserve">. </w:t>
      </w:r>
      <w:r w:rsidR="002C3603">
        <w:rPr>
          <w:rFonts w:ascii="Times New Roman" w:hAnsi="Times New Roman" w:cs="Times New Roman"/>
          <w:color w:val="242021"/>
          <w:sz w:val="24"/>
          <w:szCs w:val="24"/>
        </w:rPr>
        <w:t>Only 20 articles were</w:t>
      </w:r>
      <w:r w:rsidR="00A93358">
        <w:rPr>
          <w:rFonts w:ascii="Times New Roman" w:hAnsi="Times New Roman" w:cs="Times New Roman"/>
          <w:color w:val="242021"/>
          <w:sz w:val="24"/>
          <w:szCs w:val="24"/>
        </w:rPr>
        <w:t xml:space="preserve"> </w:t>
      </w:r>
      <w:r w:rsidR="00300817">
        <w:rPr>
          <w:rFonts w:ascii="Times New Roman" w:hAnsi="Times New Roman" w:cs="Times New Roman"/>
          <w:color w:val="242021"/>
          <w:sz w:val="24"/>
          <w:szCs w:val="24"/>
        </w:rPr>
        <w:t>reviewed,</w:t>
      </w:r>
      <w:r w:rsidR="00103307">
        <w:rPr>
          <w:rFonts w:ascii="Times New Roman" w:hAnsi="Times New Roman" w:cs="Times New Roman"/>
          <w:color w:val="242021"/>
          <w:sz w:val="24"/>
          <w:szCs w:val="24"/>
        </w:rPr>
        <w:t xml:space="preserve"> </w:t>
      </w:r>
      <w:r w:rsidR="002C3603">
        <w:rPr>
          <w:rFonts w:ascii="Times New Roman" w:hAnsi="Times New Roman" w:cs="Times New Roman"/>
          <w:color w:val="242021"/>
          <w:sz w:val="24"/>
          <w:szCs w:val="24"/>
        </w:rPr>
        <w:t>and they</w:t>
      </w:r>
      <w:r w:rsidR="00103307">
        <w:rPr>
          <w:rFonts w:ascii="Times New Roman" w:hAnsi="Times New Roman" w:cs="Times New Roman"/>
          <w:color w:val="242021"/>
          <w:sz w:val="24"/>
          <w:szCs w:val="24"/>
        </w:rPr>
        <w:t xml:space="preserve"> employed ECEA</w:t>
      </w:r>
      <w:r w:rsidR="00D218AB">
        <w:rPr>
          <w:rFonts w:ascii="Times New Roman" w:hAnsi="Times New Roman" w:cs="Times New Roman"/>
          <w:color w:val="242021"/>
          <w:sz w:val="24"/>
          <w:szCs w:val="24"/>
        </w:rPr>
        <w:t>,</w:t>
      </w:r>
      <w:r w:rsidR="00103307">
        <w:rPr>
          <w:rFonts w:ascii="Times New Roman" w:hAnsi="Times New Roman" w:cs="Times New Roman"/>
          <w:color w:val="242021"/>
          <w:sz w:val="24"/>
          <w:szCs w:val="24"/>
        </w:rPr>
        <w:t xml:space="preserve"> </w:t>
      </w:r>
      <w:r w:rsidRPr="002F0887">
        <w:rPr>
          <w:rFonts w:ascii="Times New Roman" w:hAnsi="Times New Roman" w:cs="Times New Roman"/>
          <w:color w:val="242021"/>
          <w:sz w:val="24"/>
          <w:szCs w:val="24"/>
        </w:rPr>
        <w:t xml:space="preserve">making the review less informative </w:t>
      </w:r>
      <w:r w:rsidR="00616766">
        <w:rPr>
          <w:rFonts w:ascii="Times New Roman" w:hAnsi="Times New Roman" w:cs="Times New Roman"/>
          <w:color w:val="242021"/>
          <w:sz w:val="24"/>
          <w:szCs w:val="24"/>
        </w:rPr>
        <w:t>regarding</w:t>
      </w:r>
      <w:r w:rsidRPr="002F0887">
        <w:rPr>
          <w:rFonts w:ascii="Times New Roman" w:hAnsi="Times New Roman" w:cs="Times New Roman"/>
          <w:color w:val="242021"/>
          <w:sz w:val="24"/>
          <w:szCs w:val="24"/>
        </w:rPr>
        <w:t xml:space="preserve"> the complexity surrounding </w:t>
      </w:r>
      <w:r w:rsidR="00892C0F">
        <w:rPr>
          <w:rFonts w:ascii="Times New Roman" w:hAnsi="Times New Roman" w:cs="Times New Roman"/>
          <w:color w:val="242021"/>
          <w:sz w:val="24"/>
          <w:szCs w:val="24"/>
        </w:rPr>
        <w:t>HPA</w:t>
      </w:r>
      <w:r w:rsidRPr="002F0887">
        <w:rPr>
          <w:rFonts w:ascii="Times New Roman" w:hAnsi="Times New Roman" w:cs="Times New Roman"/>
          <w:color w:val="242021"/>
          <w:sz w:val="24"/>
          <w:szCs w:val="24"/>
        </w:rPr>
        <w:t xml:space="preserve">. </w:t>
      </w:r>
      <w:r w:rsidR="00C7068F" w:rsidRPr="002F0887">
        <w:rPr>
          <w:rFonts w:ascii="Times New Roman" w:hAnsi="Times New Roman" w:cs="Times New Roman"/>
          <w:color w:val="242021"/>
          <w:sz w:val="24"/>
          <w:szCs w:val="24"/>
        </w:rPr>
        <w:t xml:space="preserve">The study did not include unpublished (grey literature) </w:t>
      </w:r>
      <w:r w:rsidR="00D972EA">
        <w:rPr>
          <w:rFonts w:ascii="Times New Roman" w:hAnsi="Times New Roman" w:cs="Times New Roman"/>
          <w:color w:val="242021"/>
          <w:sz w:val="24"/>
          <w:szCs w:val="24"/>
        </w:rPr>
        <w:t>articles</w:t>
      </w:r>
      <w:r w:rsidR="00C7068F" w:rsidRPr="002F0887">
        <w:rPr>
          <w:rFonts w:ascii="Times New Roman" w:hAnsi="Times New Roman" w:cs="Times New Roman"/>
          <w:color w:val="242021"/>
          <w:sz w:val="24"/>
          <w:szCs w:val="24"/>
        </w:rPr>
        <w:t>.</w:t>
      </w:r>
      <w:r w:rsidR="002C3603">
        <w:rPr>
          <w:rFonts w:ascii="Times New Roman" w:hAnsi="Times New Roman" w:cs="Times New Roman"/>
          <w:color w:val="242021"/>
          <w:sz w:val="24"/>
          <w:szCs w:val="24"/>
        </w:rPr>
        <w:t xml:space="preserve">  </w:t>
      </w:r>
    </w:p>
    <w:p w14:paraId="4C18FB7D" w14:textId="77777777" w:rsidR="00C12B88" w:rsidRPr="002F0887" w:rsidRDefault="00C12B88" w:rsidP="00C12B88">
      <w:pPr>
        <w:spacing w:line="480" w:lineRule="auto"/>
        <w:rPr>
          <w:rFonts w:ascii="Times New Roman" w:hAnsi="Times New Roman" w:cs="Times New Roman"/>
          <w:color w:val="242021"/>
          <w:sz w:val="24"/>
          <w:szCs w:val="24"/>
        </w:rPr>
      </w:pPr>
      <w:r w:rsidRPr="002F0887">
        <w:rPr>
          <w:rFonts w:ascii="Times New Roman" w:hAnsi="Times New Roman" w:cs="Times New Roman"/>
          <w:color w:val="242021"/>
          <w:sz w:val="24"/>
          <w:szCs w:val="24"/>
        </w:rPr>
        <w:lastRenderedPageBreak/>
        <w:t>REFERENCES</w:t>
      </w:r>
    </w:p>
    <w:p w14:paraId="7D9C96E5" w14:textId="48C18C1B" w:rsidR="00093665" w:rsidRPr="00093665" w:rsidRDefault="00CD69DD" w:rsidP="00093665">
      <w:pPr>
        <w:widowControl w:val="0"/>
        <w:autoSpaceDE w:val="0"/>
        <w:autoSpaceDN w:val="0"/>
        <w:adjustRightInd w:val="0"/>
        <w:spacing w:line="480" w:lineRule="auto"/>
        <w:ind w:left="480" w:hanging="480"/>
        <w:rPr>
          <w:rFonts w:ascii="AvenirNextLTPro-Regular" w:hAnsi="AvenirNextLTPro-Regular" w:cs="Times New Roman"/>
          <w:noProof/>
          <w:sz w:val="16"/>
          <w:szCs w:val="24"/>
        </w:rPr>
      </w:pPr>
      <w:r w:rsidRPr="002F0887">
        <w:rPr>
          <w:rFonts w:ascii="AvenirNextLTPro-Regular" w:hAnsi="AvenirNextLTPro-Regular"/>
          <w:color w:val="242021"/>
          <w:sz w:val="16"/>
          <w:szCs w:val="16"/>
        </w:rPr>
        <w:fldChar w:fldCharType="begin" w:fldLock="1"/>
      </w:r>
      <w:r w:rsidRPr="002F0887">
        <w:rPr>
          <w:rFonts w:ascii="AvenirNextLTPro-Regular" w:hAnsi="AvenirNextLTPro-Regular"/>
          <w:color w:val="242021"/>
          <w:sz w:val="16"/>
          <w:szCs w:val="16"/>
        </w:rPr>
        <w:instrText xml:space="preserve">ADDIN Mendeley Bibliography CSL_BIBLIOGRAPHY </w:instrText>
      </w:r>
      <w:r w:rsidRPr="002F0887">
        <w:rPr>
          <w:rFonts w:ascii="AvenirNextLTPro-Regular" w:hAnsi="AvenirNextLTPro-Regular"/>
          <w:color w:val="242021"/>
          <w:sz w:val="16"/>
          <w:szCs w:val="16"/>
        </w:rPr>
        <w:fldChar w:fldCharType="separate"/>
      </w:r>
      <w:r w:rsidR="00093665" w:rsidRPr="00093665">
        <w:rPr>
          <w:rFonts w:ascii="AvenirNextLTPro-Regular" w:hAnsi="AvenirNextLTPro-Regular" w:cs="Times New Roman"/>
          <w:noProof/>
          <w:sz w:val="16"/>
          <w:szCs w:val="24"/>
        </w:rPr>
        <w:t xml:space="preserve">Arksey, H., </w:t>
      </w:r>
      <w:r w:rsidR="004A0C5F">
        <w:rPr>
          <w:rFonts w:ascii="AvenirNextLTPro-Regular" w:hAnsi="AvenirNextLTPro-Regular" w:cs="Times New Roman"/>
          <w:noProof/>
          <w:sz w:val="16"/>
          <w:szCs w:val="24"/>
        </w:rPr>
        <w:t>and</w:t>
      </w:r>
      <w:r w:rsidR="00093665" w:rsidRPr="00093665">
        <w:rPr>
          <w:rFonts w:ascii="AvenirNextLTPro-Regular" w:hAnsi="AvenirNextLTPro-Regular" w:cs="Times New Roman"/>
          <w:noProof/>
          <w:sz w:val="16"/>
          <w:szCs w:val="24"/>
        </w:rPr>
        <w:t xml:space="preserve"> O’Malley, L. (2005). Scoping studies: Towards a methodological framework. </w:t>
      </w:r>
      <w:r w:rsidR="00093665" w:rsidRPr="00093665">
        <w:rPr>
          <w:rFonts w:ascii="AvenirNextLTPro-Regular" w:hAnsi="AvenirNextLTPro-Regular" w:cs="Times New Roman"/>
          <w:i/>
          <w:iCs/>
          <w:noProof/>
          <w:sz w:val="16"/>
          <w:szCs w:val="24"/>
        </w:rPr>
        <w:t>International Journal of Social Research Methodology: Theory and Practice</w:t>
      </w:r>
      <w:r w:rsidR="00093665" w:rsidRPr="00093665">
        <w:rPr>
          <w:rFonts w:ascii="AvenirNextLTPro-Regular" w:hAnsi="AvenirNextLTPro-Regular" w:cs="Times New Roman"/>
          <w:noProof/>
          <w:sz w:val="16"/>
          <w:szCs w:val="24"/>
        </w:rPr>
        <w:t xml:space="preserve">, </w:t>
      </w:r>
      <w:r w:rsidR="00093665" w:rsidRPr="00093665">
        <w:rPr>
          <w:rFonts w:ascii="AvenirNextLTPro-Regular" w:hAnsi="AvenirNextLTPro-Regular" w:cs="Times New Roman"/>
          <w:i/>
          <w:iCs/>
          <w:noProof/>
          <w:sz w:val="16"/>
          <w:szCs w:val="24"/>
        </w:rPr>
        <w:t>8</w:t>
      </w:r>
      <w:r w:rsidR="00093665" w:rsidRPr="00093665">
        <w:rPr>
          <w:rFonts w:ascii="AvenirNextLTPro-Regular" w:hAnsi="AvenirNextLTPro-Regular" w:cs="Times New Roman"/>
          <w:noProof/>
          <w:sz w:val="16"/>
          <w:szCs w:val="24"/>
        </w:rPr>
        <w:t>(1), 19–32. https://doi.org/10.1080/1364557032000119616</w:t>
      </w:r>
    </w:p>
    <w:p w14:paraId="7B55C653" w14:textId="2134C800" w:rsidR="00093665" w:rsidRPr="00093665" w:rsidRDefault="00093665" w:rsidP="00093665">
      <w:pPr>
        <w:widowControl w:val="0"/>
        <w:autoSpaceDE w:val="0"/>
        <w:autoSpaceDN w:val="0"/>
        <w:adjustRightInd w:val="0"/>
        <w:spacing w:line="480" w:lineRule="auto"/>
        <w:ind w:left="480" w:hanging="480"/>
        <w:rPr>
          <w:rFonts w:ascii="AvenirNextLTPro-Regular" w:hAnsi="AvenirNextLTPro-Regular" w:cs="Times New Roman"/>
          <w:noProof/>
          <w:sz w:val="16"/>
          <w:szCs w:val="24"/>
        </w:rPr>
      </w:pPr>
      <w:r w:rsidRPr="00093665">
        <w:rPr>
          <w:rFonts w:ascii="AvenirNextLTPro-Regular" w:hAnsi="AvenirNextLTPro-Regular" w:cs="Times New Roman"/>
          <w:noProof/>
          <w:sz w:val="16"/>
          <w:szCs w:val="24"/>
        </w:rPr>
        <w:t xml:space="preserve">Assebe, L. F., Kwete, X. J., Wang, D., Liu, L., Norheim, O. F., Jbaily, A., Verguet, S., Johansson, K. A., </w:t>
      </w:r>
      <w:r w:rsidR="002868F3">
        <w:rPr>
          <w:rFonts w:ascii="AvenirNextLTPro-Regular" w:hAnsi="AvenirNextLTPro-Regular" w:cs="Times New Roman"/>
          <w:noProof/>
          <w:sz w:val="16"/>
          <w:szCs w:val="24"/>
        </w:rPr>
        <w:t>and</w:t>
      </w:r>
      <w:r w:rsidRPr="00093665">
        <w:rPr>
          <w:rFonts w:ascii="AvenirNextLTPro-Regular" w:hAnsi="AvenirNextLTPro-Regular" w:cs="Times New Roman"/>
          <w:noProof/>
          <w:sz w:val="16"/>
          <w:szCs w:val="24"/>
        </w:rPr>
        <w:t xml:space="preserve"> Tolla, M. T. (2020). Health gains and financial risk protection afforded by public financing of selected malaria interventions in Ethiopia: An extended cost-effectiveness analysis. </w:t>
      </w:r>
      <w:r w:rsidRPr="00093665">
        <w:rPr>
          <w:rFonts w:ascii="AvenirNextLTPro-Regular" w:hAnsi="AvenirNextLTPro-Regular" w:cs="Times New Roman"/>
          <w:i/>
          <w:iCs/>
          <w:noProof/>
          <w:sz w:val="16"/>
          <w:szCs w:val="24"/>
        </w:rPr>
        <w:t>Malaria Journal</w:t>
      </w:r>
      <w:r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i/>
          <w:iCs/>
          <w:noProof/>
          <w:sz w:val="16"/>
          <w:szCs w:val="24"/>
        </w:rPr>
        <w:t>19</w:t>
      </w:r>
      <w:r w:rsidRPr="00093665">
        <w:rPr>
          <w:rFonts w:ascii="AvenirNextLTPro-Regular" w:hAnsi="AvenirNextLTPro-Regular" w:cs="Times New Roman"/>
          <w:noProof/>
          <w:sz w:val="16"/>
          <w:szCs w:val="24"/>
        </w:rPr>
        <w:t>(1), 1–10. https://doi.org/10.1186/s12936-020-3103-5</w:t>
      </w:r>
    </w:p>
    <w:p w14:paraId="24A6572A" w14:textId="62CF3EED" w:rsidR="00093665" w:rsidRPr="00093665" w:rsidRDefault="00093665" w:rsidP="00093665">
      <w:pPr>
        <w:widowControl w:val="0"/>
        <w:autoSpaceDE w:val="0"/>
        <w:autoSpaceDN w:val="0"/>
        <w:adjustRightInd w:val="0"/>
        <w:spacing w:line="480" w:lineRule="auto"/>
        <w:ind w:left="480" w:hanging="480"/>
        <w:rPr>
          <w:rFonts w:ascii="AvenirNextLTPro-Regular" w:hAnsi="AvenirNextLTPro-Regular" w:cs="Times New Roman"/>
          <w:noProof/>
          <w:sz w:val="16"/>
          <w:szCs w:val="24"/>
        </w:rPr>
      </w:pPr>
      <w:r w:rsidRPr="00093665">
        <w:rPr>
          <w:rFonts w:ascii="AvenirNextLTPro-Regular" w:hAnsi="AvenirNextLTPro-Regular" w:cs="Times New Roman"/>
          <w:noProof/>
          <w:sz w:val="16"/>
          <w:szCs w:val="24"/>
        </w:rPr>
        <w:t xml:space="preserve">Chan, G. J., Getnet, M., Olowojesiku, R., Min-Swe, T., Hunegnaw, B., </w:t>
      </w:r>
      <w:r w:rsidR="00746537">
        <w:rPr>
          <w:rFonts w:ascii="AvenirNextLTPro-Regular" w:hAnsi="AvenirNextLTPro-Regular" w:cs="Times New Roman"/>
          <w:noProof/>
          <w:sz w:val="16"/>
          <w:szCs w:val="24"/>
        </w:rPr>
        <w:t>and</w:t>
      </w:r>
      <w:r w:rsidRPr="00093665">
        <w:rPr>
          <w:rFonts w:ascii="AvenirNextLTPro-Regular" w:hAnsi="AvenirNextLTPro-Regular" w:cs="Times New Roman"/>
          <w:noProof/>
          <w:sz w:val="16"/>
          <w:szCs w:val="24"/>
        </w:rPr>
        <w:t xml:space="preserve"> Bekele, D. (2020). Scoping review protocol on maternal, newborn and child health research in Ethiopia. </w:t>
      </w:r>
      <w:r w:rsidRPr="00093665">
        <w:rPr>
          <w:rFonts w:ascii="AvenirNextLTPro-Regular" w:hAnsi="AvenirNextLTPro-Regular" w:cs="Times New Roman"/>
          <w:i/>
          <w:iCs/>
          <w:noProof/>
          <w:sz w:val="16"/>
          <w:szCs w:val="24"/>
        </w:rPr>
        <w:t>BMJ Open</w:t>
      </w:r>
      <w:r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i/>
          <w:iCs/>
          <w:noProof/>
          <w:sz w:val="16"/>
          <w:szCs w:val="24"/>
        </w:rPr>
        <w:t>10</w:t>
      </w:r>
      <w:r w:rsidRPr="00093665">
        <w:rPr>
          <w:rFonts w:ascii="AvenirNextLTPro-Regular" w:hAnsi="AvenirNextLTPro-Regular" w:cs="Times New Roman"/>
          <w:noProof/>
          <w:sz w:val="16"/>
          <w:szCs w:val="24"/>
        </w:rPr>
        <w:t>(7), e034307. https://doi.org/10.1136/bmjopen-2019-034307</w:t>
      </w:r>
    </w:p>
    <w:p w14:paraId="1C6AA739" w14:textId="2CA568A0" w:rsidR="00093665" w:rsidRPr="00093665" w:rsidRDefault="00093665" w:rsidP="00093665">
      <w:pPr>
        <w:widowControl w:val="0"/>
        <w:autoSpaceDE w:val="0"/>
        <w:autoSpaceDN w:val="0"/>
        <w:adjustRightInd w:val="0"/>
        <w:spacing w:line="480" w:lineRule="auto"/>
        <w:ind w:left="480" w:hanging="480"/>
        <w:rPr>
          <w:rFonts w:ascii="AvenirNextLTPro-Regular" w:hAnsi="AvenirNextLTPro-Regular" w:cs="Times New Roman"/>
          <w:noProof/>
          <w:sz w:val="16"/>
          <w:szCs w:val="24"/>
        </w:rPr>
      </w:pPr>
      <w:r w:rsidRPr="00093665">
        <w:rPr>
          <w:rFonts w:ascii="AvenirNextLTPro-Regular" w:hAnsi="AvenirNextLTPro-Regular" w:cs="Times New Roman"/>
          <w:noProof/>
          <w:sz w:val="16"/>
          <w:szCs w:val="24"/>
        </w:rPr>
        <w:t xml:space="preserve">Cookson, R., Mirelman, A. J., Griffin, S., Asaria, M., Dawkins, B., Norheim, O. F., Verguet, S., </w:t>
      </w:r>
      <w:r w:rsidR="00746537">
        <w:rPr>
          <w:rFonts w:ascii="AvenirNextLTPro-Regular" w:hAnsi="AvenirNextLTPro-Regular" w:cs="Times New Roman"/>
          <w:noProof/>
          <w:sz w:val="16"/>
          <w:szCs w:val="24"/>
        </w:rPr>
        <w:t>and</w:t>
      </w:r>
      <w:r w:rsidR="00746537"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noProof/>
          <w:sz w:val="16"/>
          <w:szCs w:val="24"/>
        </w:rPr>
        <w:t xml:space="preserve">J. Culyer, A. (2017). Using Cost-Effectiveness Analysis to Address Health Equity Concerns. </w:t>
      </w:r>
      <w:r w:rsidRPr="00093665">
        <w:rPr>
          <w:rFonts w:ascii="AvenirNextLTPro-Regular" w:hAnsi="AvenirNextLTPro-Regular" w:cs="Times New Roman"/>
          <w:i/>
          <w:iCs/>
          <w:noProof/>
          <w:sz w:val="16"/>
          <w:szCs w:val="24"/>
        </w:rPr>
        <w:t>Value in Health</w:t>
      </w:r>
      <w:r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i/>
          <w:iCs/>
          <w:noProof/>
          <w:sz w:val="16"/>
          <w:szCs w:val="24"/>
        </w:rPr>
        <w:t>20</w:t>
      </w:r>
      <w:r w:rsidRPr="00093665">
        <w:rPr>
          <w:rFonts w:ascii="AvenirNextLTPro-Regular" w:hAnsi="AvenirNextLTPro-Regular" w:cs="Times New Roman"/>
          <w:noProof/>
          <w:sz w:val="16"/>
          <w:szCs w:val="24"/>
        </w:rPr>
        <w:t>(2), 206–212. https://doi.org/10.1016/j.jval.2016.11.027</w:t>
      </w:r>
    </w:p>
    <w:p w14:paraId="429DFBB1" w14:textId="7635DBB7" w:rsidR="00093665" w:rsidRPr="00093665" w:rsidRDefault="00093665" w:rsidP="00093665">
      <w:pPr>
        <w:widowControl w:val="0"/>
        <w:autoSpaceDE w:val="0"/>
        <w:autoSpaceDN w:val="0"/>
        <w:adjustRightInd w:val="0"/>
        <w:spacing w:line="480" w:lineRule="auto"/>
        <w:ind w:left="480" w:hanging="480"/>
        <w:rPr>
          <w:rFonts w:ascii="AvenirNextLTPro-Regular" w:hAnsi="AvenirNextLTPro-Regular" w:cs="Times New Roman"/>
          <w:noProof/>
          <w:sz w:val="16"/>
          <w:szCs w:val="24"/>
        </w:rPr>
      </w:pPr>
      <w:r w:rsidRPr="00093665">
        <w:rPr>
          <w:rFonts w:ascii="AvenirNextLTPro-Regular" w:hAnsi="AvenirNextLTPro-Regular" w:cs="Times New Roman"/>
          <w:noProof/>
          <w:sz w:val="16"/>
          <w:szCs w:val="24"/>
        </w:rPr>
        <w:t xml:space="preserve">Essue, B. M., Jan, S., Phuc, H. T., Dodson, S., Armstrong, K., </w:t>
      </w:r>
      <w:r w:rsidR="00746537">
        <w:rPr>
          <w:rFonts w:ascii="AvenirNextLTPro-Regular" w:hAnsi="AvenirNextLTPro-Regular" w:cs="Times New Roman"/>
          <w:noProof/>
          <w:sz w:val="16"/>
          <w:szCs w:val="24"/>
        </w:rPr>
        <w:t>and</w:t>
      </w:r>
      <w:r w:rsidR="00746537"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noProof/>
          <w:sz w:val="16"/>
          <w:szCs w:val="24"/>
        </w:rPr>
        <w:t xml:space="preserve">Laba, T. L. (2020). Who benefits most from extending financial protection for cataract surgery in Vietnam? An extended cost-effectiveness analysis of small incision surgery. </w:t>
      </w:r>
      <w:r w:rsidRPr="00093665">
        <w:rPr>
          <w:rFonts w:ascii="AvenirNextLTPro-Regular" w:hAnsi="AvenirNextLTPro-Regular" w:cs="Times New Roman"/>
          <w:i/>
          <w:iCs/>
          <w:noProof/>
          <w:sz w:val="16"/>
          <w:szCs w:val="24"/>
        </w:rPr>
        <w:t>Health Policy and Planning</w:t>
      </w:r>
      <w:r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i/>
          <w:iCs/>
          <w:noProof/>
          <w:sz w:val="16"/>
          <w:szCs w:val="24"/>
        </w:rPr>
        <w:t>35</w:t>
      </w:r>
      <w:r w:rsidRPr="00093665">
        <w:rPr>
          <w:rFonts w:ascii="AvenirNextLTPro-Regular" w:hAnsi="AvenirNextLTPro-Regular" w:cs="Times New Roman"/>
          <w:noProof/>
          <w:sz w:val="16"/>
          <w:szCs w:val="24"/>
        </w:rPr>
        <w:t>(4), 399–407. https://doi.org/10.1093/heapol/czz181</w:t>
      </w:r>
    </w:p>
    <w:p w14:paraId="41CD81CE" w14:textId="354C90FC" w:rsidR="00093665" w:rsidRPr="00093665" w:rsidRDefault="00093665" w:rsidP="00093665">
      <w:pPr>
        <w:widowControl w:val="0"/>
        <w:autoSpaceDE w:val="0"/>
        <w:autoSpaceDN w:val="0"/>
        <w:adjustRightInd w:val="0"/>
        <w:spacing w:line="480" w:lineRule="auto"/>
        <w:ind w:left="480" w:hanging="480"/>
        <w:rPr>
          <w:rFonts w:ascii="AvenirNextLTPro-Regular" w:hAnsi="AvenirNextLTPro-Regular" w:cs="Times New Roman"/>
          <w:noProof/>
          <w:sz w:val="16"/>
          <w:szCs w:val="24"/>
        </w:rPr>
      </w:pPr>
      <w:r w:rsidRPr="00093665">
        <w:rPr>
          <w:rFonts w:ascii="AvenirNextLTPro-Regular" w:hAnsi="AvenirNextLTPro-Regular" w:cs="Times New Roman"/>
          <w:noProof/>
          <w:sz w:val="16"/>
          <w:szCs w:val="24"/>
        </w:rPr>
        <w:t xml:space="preserve">Gagliardi, A. R., Yip, C. Y. Y., Irish, J., Wright, F. C., Rubin, B., Ross, H., Green, R., Abbey, S., McAndrews, M. P., </w:t>
      </w:r>
      <w:r w:rsidR="00E065F2">
        <w:rPr>
          <w:rFonts w:ascii="AvenirNextLTPro-Regular" w:hAnsi="AvenirNextLTPro-Regular" w:cs="Times New Roman"/>
          <w:noProof/>
          <w:sz w:val="16"/>
          <w:szCs w:val="24"/>
        </w:rPr>
        <w:t>and</w:t>
      </w:r>
      <w:r w:rsidR="00E065F2"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noProof/>
          <w:sz w:val="16"/>
          <w:szCs w:val="24"/>
        </w:rPr>
        <w:t xml:space="preserve">Stewart, D. E. (2021). The psychological burden of waiting for procedures and patient-centred strategies that could support the mental health of wait-listed patients and caregivers during the COVID-19 pandemic: A scoping review. </w:t>
      </w:r>
      <w:r w:rsidRPr="00093665">
        <w:rPr>
          <w:rFonts w:ascii="AvenirNextLTPro-Regular" w:hAnsi="AvenirNextLTPro-Regular" w:cs="Times New Roman"/>
          <w:i/>
          <w:iCs/>
          <w:noProof/>
          <w:sz w:val="16"/>
          <w:szCs w:val="24"/>
        </w:rPr>
        <w:t>Health Expectations</w:t>
      </w:r>
      <w:r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i/>
          <w:iCs/>
          <w:noProof/>
          <w:sz w:val="16"/>
          <w:szCs w:val="24"/>
        </w:rPr>
        <w:t>February</w:t>
      </w:r>
      <w:r w:rsidRPr="00093665">
        <w:rPr>
          <w:rFonts w:ascii="AvenirNextLTPro-Regular" w:hAnsi="AvenirNextLTPro-Regular" w:cs="Times New Roman"/>
          <w:noProof/>
          <w:sz w:val="16"/>
          <w:szCs w:val="24"/>
        </w:rPr>
        <w:t>, 1–13. https://doi.org/10.1111/hex.13241</w:t>
      </w:r>
    </w:p>
    <w:p w14:paraId="03F980C6" w14:textId="7F9D201B" w:rsidR="00093665" w:rsidRPr="00093665" w:rsidRDefault="00093665" w:rsidP="00093665">
      <w:pPr>
        <w:widowControl w:val="0"/>
        <w:autoSpaceDE w:val="0"/>
        <w:autoSpaceDN w:val="0"/>
        <w:adjustRightInd w:val="0"/>
        <w:spacing w:line="480" w:lineRule="auto"/>
        <w:ind w:left="480" w:hanging="480"/>
        <w:rPr>
          <w:rFonts w:ascii="AvenirNextLTPro-Regular" w:hAnsi="AvenirNextLTPro-Regular" w:cs="Times New Roman"/>
          <w:noProof/>
          <w:sz w:val="16"/>
          <w:szCs w:val="24"/>
        </w:rPr>
      </w:pPr>
      <w:r w:rsidRPr="00093665">
        <w:rPr>
          <w:rFonts w:ascii="AvenirNextLTPro-Regular" w:hAnsi="AvenirNextLTPro-Regular" w:cs="Times New Roman"/>
          <w:noProof/>
          <w:sz w:val="16"/>
          <w:szCs w:val="24"/>
        </w:rPr>
        <w:t xml:space="preserve">Jha, P., Wu, D. C., Sheel, V., Gupta, P., Essue, B. M., </w:t>
      </w:r>
      <w:r w:rsidR="0016648D">
        <w:rPr>
          <w:rFonts w:ascii="AvenirNextLTPro-Regular" w:hAnsi="AvenirNextLTPro-Regular" w:cs="Times New Roman"/>
          <w:noProof/>
          <w:sz w:val="16"/>
          <w:szCs w:val="24"/>
        </w:rPr>
        <w:t>and</w:t>
      </w:r>
      <w:r w:rsidR="0016648D"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noProof/>
          <w:sz w:val="16"/>
          <w:szCs w:val="24"/>
        </w:rPr>
        <w:t xml:space="preserve">Luong, L. (2020). Impact of cigarette tax increase on health and financing outcomes in four Indian states. </w:t>
      </w:r>
      <w:r w:rsidRPr="00093665">
        <w:rPr>
          <w:rFonts w:ascii="AvenirNextLTPro-Regular" w:hAnsi="AvenirNextLTPro-Regular" w:cs="Times New Roman"/>
          <w:i/>
          <w:iCs/>
          <w:noProof/>
          <w:sz w:val="16"/>
          <w:szCs w:val="24"/>
        </w:rPr>
        <w:t>Gates Open Research</w:t>
      </w:r>
      <w:r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i/>
          <w:iCs/>
          <w:noProof/>
          <w:sz w:val="16"/>
          <w:szCs w:val="24"/>
        </w:rPr>
        <w:t>4</w:t>
      </w:r>
      <w:r w:rsidRPr="00093665">
        <w:rPr>
          <w:rFonts w:ascii="AvenirNextLTPro-Regular" w:hAnsi="AvenirNextLTPro-Regular" w:cs="Times New Roman"/>
          <w:noProof/>
          <w:sz w:val="16"/>
          <w:szCs w:val="24"/>
        </w:rPr>
        <w:t>, 1–18. https://doi.org/10.12688/gatesopenres.13127.1</w:t>
      </w:r>
    </w:p>
    <w:p w14:paraId="15CDE39B" w14:textId="60588140" w:rsidR="00093665" w:rsidRPr="00093665" w:rsidRDefault="00093665" w:rsidP="00093665">
      <w:pPr>
        <w:widowControl w:val="0"/>
        <w:autoSpaceDE w:val="0"/>
        <w:autoSpaceDN w:val="0"/>
        <w:adjustRightInd w:val="0"/>
        <w:spacing w:line="480" w:lineRule="auto"/>
        <w:ind w:left="480" w:hanging="480"/>
        <w:rPr>
          <w:rFonts w:ascii="AvenirNextLTPro-Regular" w:hAnsi="AvenirNextLTPro-Regular" w:cs="Times New Roman"/>
          <w:noProof/>
          <w:sz w:val="16"/>
          <w:szCs w:val="24"/>
        </w:rPr>
      </w:pPr>
      <w:r w:rsidRPr="00093665">
        <w:rPr>
          <w:rFonts w:ascii="AvenirNextLTPro-Regular" w:hAnsi="AvenirNextLTPro-Regular" w:cs="Times New Roman"/>
          <w:noProof/>
          <w:sz w:val="16"/>
          <w:szCs w:val="24"/>
        </w:rPr>
        <w:t xml:space="preserve">Johansson, K. A., Memirie, S. T., Pecenka, C., Jamison, D. T., </w:t>
      </w:r>
      <w:r w:rsidR="0016648D">
        <w:rPr>
          <w:rFonts w:ascii="AvenirNextLTPro-Regular" w:hAnsi="AvenirNextLTPro-Regular" w:cs="Times New Roman"/>
          <w:noProof/>
          <w:sz w:val="16"/>
          <w:szCs w:val="24"/>
        </w:rPr>
        <w:t>and</w:t>
      </w:r>
      <w:r w:rsidR="0016648D"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noProof/>
          <w:sz w:val="16"/>
          <w:szCs w:val="24"/>
        </w:rPr>
        <w:t xml:space="preserve">Verguet, S. (2015). Health Gains and Financial Protection from Pneumococcal Vaccination and Pneumonia Treatment in Ethiopia: Results from an Extended Cost-Effectiveness Analysis. </w:t>
      </w:r>
      <w:r w:rsidRPr="00093665">
        <w:rPr>
          <w:rFonts w:ascii="AvenirNextLTPro-Regular" w:hAnsi="AvenirNextLTPro-Regular" w:cs="Times New Roman"/>
          <w:i/>
          <w:iCs/>
          <w:noProof/>
          <w:sz w:val="16"/>
          <w:szCs w:val="24"/>
        </w:rPr>
        <w:t>PLoS ONE</w:t>
      </w:r>
      <w:r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i/>
          <w:iCs/>
          <w:noProof/>
          <w:sz w:val="16"/>
          <w:szCs w:val="24"/>
        </w:rPr>
        <w:t>10</w:t>
      </w:r>
      <w:r w:rsidRPr="00093665">
        <w:rPr>
          <w:rFonts w:ascii="AvenirNextLTPro-Regular" w:hAnsi="AvenirNextLTPro-Regular" w:cs="Times New Roman"/>
          <w:noProof/>
          <w:sz w:val="16"/>
          <w:szCs w:val="24"/>
        </w:rPr>
        <w:t>(12), 1–16. https://doi.org/10.1371/journal.pone.0142691</w:t>
      </w:r>
    </w:p>
    <w:p w14:paraId="16A16337" w14:textId="4C3A96B2" w:rsidR="00093665" w:rsidRPr="00093665" w:rsidRDefault="00093665" w:rsidP="00093665">
      <w:pPr>
        <w:widowControl w:val="0"/>
        <w:autoSpaceDE w:val="0"/>
        <w:autoSpaceDN w:val="0"/>
        <w:adjustRightInd w:val="0"/>
        <w:spacing w:line="480" w:lineRule="auto"/>
        <w:ind w:left="480" w:hanging="480"/>
        <w:rPr>
          <w:rFonts w:ascii="AvenirNextLTPro-Regular" w:hAnsi="AvenirNextLTPro-Regular" w:cs="Times New Roman"/>
          <w:noProof/>
          <w:sz w:val="16"/>
          <w:szCs w:val="24"/>
        </w:rPr>
      </w:pPr>
      <w:r w:rsidRPr="00093665">
        <w:rPr>
          <w:rFonts w:ascii="AvenirNextLTPro-Regular" w:hAnsi="AvenirNextLTPro-Regular" w:cs="Times New Roman"/>
          <w:noProof/>
          <w:sz w:val="16"/>
          <w:szCs w:val="24"/>
        </w:rPr>
        <w:t xml:space="preserve">Johansson, K. A., Strand, K. B., Fekadu, A., </w:t>
      </w:r>
      <w:r w:rsidR="0016648D">
        <w:rPr>
          <w:rFonts w:ascii="AvenirNextLTPro-Regular" w:hAnsi="AvenirNextLTPro-Regular" w:cs="Times New Roman"/>
          <w:noProof/>
          <w:sz w:val="16"/>
          <w:szCs w:val="24"/>
        </w:rPr>
        <w:t>and</w:t>
      </w:r>
      <w:r w:rsidR="0016648D"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noProof/>
          <w:sz w:val="16"/>
          <w:szCs w:val="24"/>
        </w:rPr>
        <w:t xml:space="preserve">Chisholm, D. (2016). Health Gains and Financial Protection Provided by the Ethiopian Mental Health Strategy: An Extended Cost-Effectiveness Analysis. </w:t>
      </w:r>
      <w:r w:rsidRPr="00093665">
        <w:rPr>
          <w:rFonts w:ascii="AvenirNextLTPro-Regular" w:hAnsi="AvenirNextLTPro-Regular" w:cs="Times New Roman"/>
          <w:i/>
          <w:iCs/>
          <w:noProof/>
          <w:sz w:val="16"/>
          <w:szCs w:val="24"/>
        </w:rPr>
        <w:t>Health Policy and Planning</w:t>
      </w:r>
      <w:r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i/>
          <w:iCs/>
          <w:noProof/>
          <w:sz w:val="16"/>
          <w:szCs w:val="24"/>
        </w:rPr>
        <w:t>32</w:t>
      </w:r>
      <w:r w:rsidRPr="00093665">
        <w:rPr>
          <w:rFonts w:ascii="AvenirNextLTPro-Regular" w:hAnsi="AvenirNextLTPro-Regular" w:cs="Times New Roman"/>
          <w:noProof/>
          <w:sz w:val="16"/>
          <w:szCs w:val="24"/>
        </w:rPr>
        <w:t>(3), 376–383. https://doi.org/10.1093/heapol/czw134</w:t>
      </w:r>
    </w:p>
    <w:p w14:paraId="4867E768" w14:textId="593210A6" w:rsidR="00093665" w:rsidRPr="00093665" w:rsidRDefault="00093665" w:rsidP="00093665">
      <w:pPr>
        <w:widowControl w:val="0"/>
        <w:autoSpaceDE w:val="0"/>
        <w:autoSpaceDN w:val="0"/>
        <w:adjustRightInd w:val="0"/>
        <w:spacing w:line="480" w:lineRule="auto"/>
        <w:ind w:left="480" w:hanging="480"/>
        <w:rPr>
          <w:rFonts w:ascii="AvenirNextLTPro-Regular" w:hAnsi="AvenirNextLTPro-Regular" w:cs="Times New Roman"/>
          <w:noProof/>
          <w:sz w:val="16"/>
          <w:szCs w:val="24"/>
        </w:rPr>
      </w:pPr>
      <w:r w:rsidRPr="00093665">
        <w:rPr>
          <w:rFonts w:ascii="AvenirNextLTPro-Regular" w:hAnsi="AvenirNextLTPro-Regular" w:cs="Times New Roman"/>
          <w:noProof/>
          <w:sz w:val="16"/>
          <w:szCs w:val="24"/>
        </w:rPr>
        <w:t xml:space="preserve">Kruk ME, </w:t>
      </w:r>
      <w:r w:rsidR="0016648D">
        <w:rPr>
          <w:rFonts w:ascii="AvenirNextLTPro-Regular" w:hAnsi="AvenirNextLTPro-Regular" w:cs="Times New Roman"/>
          <w:noProof/>
          <w:sz w:val="16"/>
          <w:szCs w:val="24"/>
        </w:rPr>
        <w:t>and</w:t>
      </w:r>
      <w:r w:rsidR="0016648D"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noProof/>
          <w:sz w:val="16"/>
          <w:szCs w:val="24"/>
        </w:rPr>
        <w:t xml:space="preserve">Goldmann E, G. S. (2009). Borrowing and selling to pay for health care in low- and middle-income countries. </w:t>
      </w:r>
      <w:r w:rsidRPr="00093665">
        <w:rPr>
          <w:rFonts w:ascii="AvenirNextLTPro-Regular" w:hAnsi="AvenirNextLTPro-Regular" w:cs="Times New Roman"/>
          <w:i/>
          <w:iCs/>
          <w:noProof/>
          <w:sz w:val="16"/>
          <w:szCs w:val="24"/>
        </w:rPr>
        <w:t>Health Affairs</w:t>
      </w:r>
      <w:r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i/>
          <w:iCs/>
          <w:noProof/>
          <w:sz w:val="16"/>
          <w:szCs w:val="24"/>
        </w:rPr>
        <w:t>28</w:t>
      </w:r>
      <w:r w:rsidRPr="00093665">
        <w:rPr>
          <w:rFonts w:ascii="AvenirNextLTPro-Regular" w:hAnsi="AvenirNextLTPro-Regular" w:cs="Times New Roman"/>
          <w:noProof/>
          <w:sz w:val="16"/>
          <w:szCs w:val="24"/>
        </w:rPr>
        <w:t>(4), 1056–1066.</w:t>
      </w:r>
    </w:p>
    <w:p w14:paraId="552563FC" w14:textId="75A9D5CE" w:rsidR="00093665" w:rsidRPr="00093665" w:rsidRDefault="00093665" w:rsidP="00093665">
      <w:pPr>
        <w:widowControl w:val="0"/>
        <w:autoSpaceDE w:val="0"/>
        <w:autoSpaceDN w:val="0"/>
        <w:adjustRightInd w:val="0"/>
        <w:spacing w:line="480" w:lineRule="auto"/>
        <w:ind w:left="480" w:hanging="480"/>
        <w:rPr>
          <w:rFonts w:ascii="AvenirNextLTPro-Regular" w:hAnsi="AvenirNextLTPro-Regular" w:cs="Times New Roman"/>
          <w:noProof/>
          <w:sz w:val="16"/>
          <w:szCs w:val="24"/>
        </w:rPr>
      </w:pPr>
      <w:r w:rsidRPr="00093665">
        <w:rPr>
          <w:rFonts w:ascii="AvenirNextLTPro-Regular" w:hAnsi="AvenirNextLTPro-Regular" w:cs="Times New Roman"/>
          <w:noProof/>
          <w:sz w:val="16"/>
          <w:szCs w:val="24"/>
        </w:rPr>
        <w:t xml:space="preserve">Levin, C. E., Sharma, M., Olson, Z., Verguet, S., Shi, J. F., Wang, S. M., Qiao, Y. L., Jamison, D. T., </w:t>
      </w:r>
      <w:r w:rsidR="00F63776">
        <w:rPr>
          <w:rFonts w:ascii="AvenirNextLTPro-Regular" w:hAnsi="AvenirNextLTPro-Regular" w:cs="Times New Roman"/>
          <w:noProof/>
          <w:sz w:val="16"/>
          <w:szCs w:val="24"/>
        </w:rPr>
        <w:t>and</w:t>
      </w:r>
      <w:r w:rsidR="00F63776"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noProof/>
          <w:sz w:val="16"/>
          <w:szCs w:val="24"/>
        </w:rPr>
        <w:t xml:space="preserve">Kim, J. J. (2015). An extended cost-effectiveness analysis of publicly financed HPV vaccination to prevent cervical cancer in China. </w:t>
      </w:r>
      <w:r w:rsidRPr="00093665">
        <w:rPr>
          <w:rFonts w:ascii="AvenirNextLTPro-Regular" w:hAnsi="AvenirNextLTPro-Regular" w:cs="Times New Roman"/>
          <w:i/>
          <w:iCs/>
          <w:noProof/>
          <w:sz w:val="16"/>
          <w:szCs w:val="24"/>
        </w:rPr>
        <w:t>Vaccine</w:t>
      </w:r>
      <w:r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i/>
          <w:iCs/>
          <w:noProof/>
          <w:sz w:val="16"/>
          <w:szCs w:val="24"/>
        </w:rPr>
        <w:t>33</w:t>
      </w:r>
      <w:r w:rsidRPr="00093665">
        <w:rPr>
          <w:rFonts w:ascii="AvenirNextLTPro-Regular" w:hAnsi="AvenirNextLTPro-Regular" w:cs="Times New Roman"/>
          <w:noProof/>
          <w:sz w:val="16"/>
          <w:szCs w:val="24"/>
        </w:rPr>
        <w:t xml:space="preserve">(24), 2830–2841. </w:t>
      </w:r>
      <w:r w:rsidRPr="00093665">
        <w:rPr>
          <w:rFonts w:ascii="AvenirNextLTPro-Regular" w:hAnsi="AvenirNextLTPro-Regular" w:cs="Times New Roman"/>
          <w:noProof/>
          <w:sz w:val="16"/>
          <w:szCs w:val="24"/>
        </w:rPr>
        <w:lastRenderedPageBreak/>
        <w:t>https://doi.org/10.1016/j.vaccine.2015.02.052</w:t>
      </w:r>
    </w:p>
    <w:p w14:paraId="1679A745" w14:textId="62BA49D6" w:rsidR="00093665" w:rsidRPr="00093665" w:rsidRDefault="00093665" w:rsidP="00093665">
      <w:pPr>
        <w:widowControl w:val="0"/>
        <w:autoSpaceDE w:val="0"/>
        <w:autoSpaceDN w:val="0"/>
        <w:adjustRightInd w:val="0"/>
        <w:spacing w:line="480" w:lineRule="auto"/>
        <w:ind w:left="480" w:hanging="480"/>
        <w:rPr>
          <w:rFonts w:ascii="AvenirNextLTPro-Regular" w:hAnsi="AvenirNextLTPro-Regular" w:cs="Times New Roman"/>
          <w:noProof/>
          <w:sz w:val="16"/>
          <w:szCs w:val="24"/>
        </w:rPr>
      </w:pPr>
      <w:r w:rsidRPr="00093665">
        <w:rPr>
          <w:rFonts w:ascii="AvenirNextLTPro-Regular" w:hAnsi="AvenirNextLTPro-Regular" w:cs="Times New Roman"/>
          <w:noProof/>
          <w:sz w:val="16"/>
          <w:szCs w:val="24"/>
        </w:rPr>
        <w:t xml:space="preserve">Loganathan, T., Jit, M., Hutubessy, R., Ng, C. W., Lee, W. S., </w:t>
      </w:r>
      <w:r w:rsidR="00F63776">
        <w:rPr>
          <w:rFonts w:ascii="AvenirNextLTPro-Regular" w:hAnsi="AvenirNextLTPro-Regular" w:cs="Times New Roman"/>
          <w:noProof/>
          <w:sz w:val="16"/>
          <w:szCs w:val="24"/>
        </w:rPr>
        <w:t>and</w:t>
      </w:r>
      <w:r w:rsidR="00F63776"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noProof/>
          <w:sz w:val="16"/>
          <w:szCs w:val="24"/>
        </w:rPr>
        <w:t xml:space="preserve">Verguet, S. (2016). Rotavirus vaccines contribute towards universal health coverage in a mixed public–private healthcare system. </w:t>
      </w:r>
      <w:r w:rsidRPr="00093665">
        <w:rPr>
          <w:rFonts w:ascii="AvenirNextLTPro-Regular" w:hAnsi="AvenirNextLTPro-Regular" w:cs="Times New Roman"/>
          <w:i/>
          <w:iCs/>
          <w:noProof/>
          <w:sz w:val="16"/>
          <w:szCs w:val="24"/>
        </w:rPr>
        <w:t>Tropical Medicine and International Health</w:t>
      </w:r>
      <w:r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i/>
          <w:iCs/>
          <w:noProof/>
          <w:sz w:val="16"/>
          <w:szCs w:val="24"/>
        </w:rPr>
        <w:t>21</w:t>
      </w:r>
      <w:r w:rsidRPr="00093665">
        <w:rPr>
          <w:rFonts w:ascii="AvenirNextLTPro-Regular" w:hAnsi="AvenirNextLTPro-Regular" w:cs="Times New Roman"/>
          <w:noProof/>
          <w:sz w:val="16"/>
          <w:szCs w:val="24"/>
        </w:rPr>
        <w:t>(11), 1458–1467. https://doi.org/10.1111/tmi.12766</w:t>
      </w:r>
    </w:p>
    <w:p w14:paraId="5412CB0C" w14:textId="43896E19" w:rsidR="00093665" w:rsidRPr="00093665" w:rsidRDefault="00093665" w:rsidP="00093665">
      <w:pPr>
        <w:widowControl w:val="0"/>
        <w:autoSpaceDE w:val="0"/>
        <w:autoSpaceDN w:val="0"/>
        <w:adjustRightInd w:val="0"/>
        <w:spacing w:line="480" w:lineRule="auto"/>
        <w:ind w:left="480" w:hanging="480"/>
        <w:rPr>
          <w:rFonts w:ascii="AvenirNextLTPro-Regular" w:hAnsi="AvenirNextLTPro-Regular" w:cs="Times New Roman"/>
          <w:noProof/>
          <w:sz w:val="16"/>
          <w:szCs w:val="24"/>
        </w:rPr>
      </w:pPr>
      <w:r w:rsidRPr="00093665">
        <w:rPr>
          <w:rFonts w:ascii="AvenirNextLTPro-Regular" w:hAnsi="AvenirNextLTPro-Regular" w:cs="Times New Roman"/>
          <w:noProof/>
          <w:sz w:val="16"/>
          <w:szCs w:val="24"/>
        </w:rPr>
        <w:t xml:space="preserve">Megiddo, I., Colson, A., Chisholm, D., Dua, T., Nandi, A., </w:t>
      </w:r>
      <w:r w:rsidR="00F63776">
        <w:rPr>
          <w:rFonts w:ascii="AvenirNextLTPro-Regular" w:hAnsi="AvenirNextLTPro-Regular" w:cs="Times New Roman"/>
          <w:noProof/>
          <w:sz w:val="16"/>
          <w:szCs w:val="24"/>
        </w:rPr>
        <w:t>and</w:t>
      </w:r>
      <w:r w:rsidR="00F63776"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noProof/>
          <w:sz w:val="16"/>
          <w:szCs w:val="24"/>
        </w:rPr>
        <w:t xml:space="preserve">Laxminarayan, R. (2016). Health and economic benefits of public financing of epilepsy treatment in India: An agent-based simulation model. </w:t>
      </w:r>
      <w:r w:rsidRPr="00093665">
        <w:rPr>
          <w:rFonts w:ascii="AvenirNextLTPro-Regular" w:hAnsi="AvenirNextLTPro-Regular" w:cs="Times New Roman"/>
          <w:i/>
          <w:iCs/>
          <w:noProof/>
          <w:sz w:val="16"/>
          <w:szCs w:val="24"/>
        </w:rPr>
        <w:t>Epilepsia</w:t>
      </w:r>
      <w:r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i/>
          <w:iCs/>
          <w:noProof/>
          <w:sz w:val="16"/>
          <w:szCs w:val="24"/>
        </w:rPr>
        <w:t>57</w:t>
      </w:r>
      <w:r w:rsidRPr="00093665">
        <w:rPr>
          <w:rFonts w:ascii="AvenirNextLTPro-Regular" w:hAnsi="AvenirNextLTPro-Regular" w:cs="Times New Roman"/>
          <w:noProof/>
          <w:sz w:val="16"/>
          <w:szCs w:val="24"/>
        </w:rPr>
        <w:t>(3), 464–474. https://doi.org/10.1111/epi.13294</w:t>
      </w:r>
    </w:p>
    <w:p w14:paraId="7004620C" w14:textId="05E32B39" w:rsidR="00093665" w:rsidRPr="00093665" w:rsidRDefault="00093665" w:rsidP="00093665">
      <w:pPr>
        <w:widowControl w:val="0"/>
        <w:autoSpaceDE w:val="0"/>
        <w:autoSpaceDN w:val="0"/>
        <w:adjustRightInd w:val="0"/>
        <w:spacing w:line="480" w:lineRule="auto"/>
        <w:ind w:left="480" w:hanging="480"/>
        <w:rPr>
          <w:rFonts w:ascii="AvenirNextLTPro-Regular" w:hAnsi="AvenirNextLTPro-Regular" w:cs="Times New Roman"/>
          <w:noProof/>
          <w:sz w:val="16"/>
          <w:szCs w:val="24"/>
        </w:rPr>
      </w:pPr>
      <w:r w:rsidRPr="00093665">
        <w:rPr>
          <w:rFonts w:ascii="AvenirNextLTPro-Regular" w:hAnsi="AvenirNextLTPro-Regular" w:cs="Times New Roman"/>
          <w:noProof/>
          <w:sz w:val="16"/>
          <w:szCs w:val="24"/>
        </w:rPr>
        <w:t xml:space="preserve">Pecenka, C. J., Johansson, K. A., Memirie, S. T., Jamison, D. T., </w:t>
      </w:r>
      <w:r w:rsidR="00F63776">
        <w:rPr>
          <w:rFonts w:ascii="AvenirNextLTPro-Regular" w:hAnsi="AvenirNextLTPro-Regular" w:cs="Times New Roman"/>
          <w:noProof/>
          <w:sz w:val="16"/>
          <w:szCs w:val="24"/>
        </w:rPr>
        <w:t>and</w:t>
      </w:r>
      <w:r w:rsidR="00F63776"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noProof/>
          <w:sz w:val="16"/>
          <w:szCs w:val="24"/>
        </w:rPr>
        <w:t xml:space="preserve">Verguet, S. (2015). Health gains and financial risk protection: an extended cost-effectiveness analysis of treatment and prevention of diarrhoea in Ethiopia. </w:t>
      </w:r>
      <w:r w:rsidRPr="00093665">
        <w:rPr>
          <w:rFonts w:ascii="AvenirNextLTPro-Regular" w:hAnsi="AvenirNextLTPro-Regular" w:cs="Times New Roman"/>
          <w:i/>
          <w:iCs/>
          <w:noProof/>
          <w:sz w:val="16"/>
          <w:szCs w:val="24"/>
        </w:rPr>
        <w:t>BMJ Open</w:t>
      </w:r>
      <w:r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i/>
          <w:iCs/>
          <w:noProof/>
          <w:sz w:val="16"/>
          <w:szCs w:val="24"/>
        </w:rPr>
        <w:t>5</w:t>
      </w:r>
      <w:r w:rsidRPr="00093665">
        <w:rPr>
          <w:rFonts w:ascii="AvenirNextLTPro-Regular" w:hAnsi="AvenirNextLTPro-Regular" w:cs="Times New Roman"/>
          <w:noProof/>
          <w:sz w:val="16"/>
          <w:szCs w:val="24"/>
        </w:rPr>
        <w:t>(4), e006402. https://doi.org/10.1136/bmjopen-2014-006402</w:t>
      </w:r>
    </w:p>
    <w:p w14:paraId="73326CA1" w14:textId="0303A41E" w:rsidR="00093665" w:rsidRPr="00093665" w:rsidRDefault="00093665" w:rsidP="00093665">
      <w:pPr>
        <w:widowControl w:val="0"/>
        <w:autoSpaceDE w:val="0"/>
        <w:autoSpaceDN w:val="0"/>
        <w:adjustRightInd w:val="0"/>
        <w:spacing w:line="480" w:lineRule="auto"/>
        <w:ind w:left="480" w:hanging="480"/>
        <w:rPr>
          <w:rFonts w:ascii="AvenirNextLTPro-Regular" w:hAnsi="AvenirNextLTPro-Regular" w:cs="Times New Roman"/>
          <w:noProof/>
          <w:sz w:val="16"/>
          <w:szCs w:val="24"/>
        </w:rPr>
      </w:pPr>
      <w:r w:rsidRPr="00093665">
        <w:rPr>
          <w:rFonts w:ascii="AvenirNextLTPro-Regular" w:hAnsi="AvenirNextLTPro-Regular" w:cs="Times New Roman"/>
          <w:noProof/>
          <w:sz w:val="16"/>
          <w:szCs w:val="24"/>
        </w:rPr>
        <w:t xml:space="preserve">Postolovska, I., Lavado, R., Tarr, G., Verguet, S., Iryna, F., Postolovska, I., Lavado, R., </w:t>
      </w:r>
      <w:r w:rsidR="00F63776">
        <w:rPr>
          <w:rFonts w:ascii="AvenirNextLTPro-Regular" w:hAnsi="AvenirNextLTPro-Regular" w:cs="Times New Roman"/>
          <w:noProof/>
          <w:sz w:val="16"/>
          <w:szCs w:val="24"/>
        </w:rPr>
        <w:t>and</w:t>
      </w:r>
      <w:r w:rsidR="00F63776"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noProof/>
          <w:sz w:val="16"/>
          <w:szCs w:val="24"/>
        </w:rPr>
        <w:t xml:space="preserve">Tarr, G. (2018). </w:t>
      </w:r>
      <w:r w:rsidRPr="00093665">
        <w:rPr>
          <w:rFonts w:ascii="AvenirNextLTPro-Regular" w:hAnsi="AvenirNextLTPro-Regular" w:cs="Times New Roman"/>
          <w:i/>
          <w:iCs/>
          <w:noProof/>
          <w:sz w:val="16"/>
          <w:szCs w:val="24"/>
        </w:rPr>
        <w:t>The Health Gains , Financial Risk Protection Benefits , and Distributional Impact of Increased Tobacco Taxes in Armenia The Health Gains , Financial Risk Protection Benefits , and Distributional Impact of Increased Tobacco Taxes in Armenia</w:t>
      </w:r>
      <w:r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i/>
          <w:iCs/>
          <w:noProof/>
          <w:sz w:val="16"/>
          <w:szCs w:val="24"/>
        </w:rPr>
        <w:t>8604</w:t>
      </w:r>
      <w:r w:rsidRPr="00093665">
        <w:rPr>
          <w:rFonts w:ascii="AvenirNextLTPro-Regular" w:hAnsi="AvenirNextLTPro-Regular" w:cs="Times New Roman"/>
          <w:noProof/>
          <w:sz w:val="16"/>
          <w:szCs w:val="24"/>
        </w:rPr>
        <w:t>. https://doi.org/10.1080/23288604.2017.1413494</w:t>
      </w:r>
    </w:p>
    <w:p w14:paraId="707E4982" w14:textId="185DBACC" w:rsidR="00093665" w:rsidRPr="00093665" w:rsidRDefault="00093665" w:rsidP="00093665">
      <w:pPr>
        <w:widowControl w:val="0"/>
        <w:autoSpaceDE w:val="0"/>
        <w:autoSpaceDN w:val="0"/>
        <w:adjustRightInd w:val="0"/>
        <w:spacing w:line="480" w:lineRule="auto"/>
        <w:ind w:left="480" w:hanging="480"/>
        <w:rPr>
          <w:rFonts w:ascii="AvenirNextLTPro-Regular" w:hAnsi="AvenirNextLTPro-Regular" w:cs="Times New Roman"/>
          <w:noProof/>
          <w:sz w:val="16"/>
          <w:szCs w:val="24"/>
        </w:rPr>
      </w:pPr>
      <w:r w:rsidRPr="00093665">
        <w:rPr>
          <w:rFonts w:ascii="AvenirNextLTPro-Regular" w:hAnsi="AvenirNextLTPro-Regular" w:cs="Times New Roman"/>
          <w:noProof/>
          <w:sz w:val="16"/>
          <w:szCs w:val="24"/>
        </w:rPr>
        <w:t xml:space="preserve">Raykar, N., Nigam, A., </w:t>
      </w:r>
      <w:r w:rsidR="00F63776">
        <w:rPr>
          <w:rFonts w:ascii="AvenirNextLTPro-Regular" w:hAnsi="AvenirNextLTPro-Regular" w:cs="Times New Roman"/>
          <w:noProof/>
          <w:sz w:val="16"/>
          <w:szCs w:val="24"/>
        </w:rPr>
        <w:t>and</w:t>
      </w:r>
      <w:r w:rsidR="00F63776"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noProof/>
          <w:sz w:val="16"/>
          <w:szCs w:val="24"/>
        </w:rPr>
        <w:t xml:space="preserve">Chisholm, D. (2016). An extended cost-effectiveness analysis of schizophrenia treatment in India under universal public finance. </w:t>
      </w:r>
      <w:r w:rsidRPr="00093665">
        <w:rPr>
          <w:rFonts w:ascii="AvenirNextLTPro-Regular" w:hAnsi="AvenirNextLTPro-Regular" w:cs="Times New Roman"/>
          <w:i/>
          <w:iCs/>
          <w:noProof/>
          <w:sz w:val="16"/>
          <w:szCs w:val="24"/>
        </w:rPr>
        <w:t>Cost Effectiveness and Resource Allocation</w:t>
      </w:r>
      <w:r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i/>
          <w:iCs/>
          <w:noProof/>
          <w:sz w:val="16"/>
          <w:szCs w:val="24"/>
        </w:rPr>
        <w:t>14</w:t>
      </w:r>
      <w:r w:rsidRPr="00093665">
        <w:rPr>
          <w:rFonts w:ascii="AvenirNextLTPro-Regular" w:hAnsi="AvenirNextLTPro-Regular" w:cs="Times New Roman"/>
          <w:noProof/>
          <w:sz w:val="16"/>
          <w:szCs w:val="24"/>
        </w:rPr>
        <w:t>(1), 1–11. https://doi.org/10.1186/s12962-016-0058-z</w:t>
      </w:r>
    </w:p>
    <w:p w14:paraId="37D6E528" w14:textId="10154196" w:rsidR="00093665" w:rsidRPr="00093665" w:rsidRDefault="00093665" w:rsidP="00093665">
      <w:pPr>
        <w:widowControl w:val="0"/>
        <w:autoSpaceDE w:val="0"/>
        <w:autoSpaceDN w:val="0"/>
        <w:adjustRightInd w:val="0"/>
        <w:spacing w:line="480" w:lineRule="auto"/>
        <w:ind w:left="480" w:hanging="480"/>
        <w:rPr>
          <w:rFonts w:ascii="AvenirNextLTPro-Regular" w:hAnsi="AvenirNextLTPro-Regular" w:cs="Times New Roman"/>
          <w:noProof/>
          <w:sz w:val="16"/>
          <w:szCs w:val="24"/>
        </w:rPr>
      </w:pPr>
      <w:r w:rsidRPr="00093665">
        <w:rPr>
          <w:rFonts w:ascii="AvenirNextLTPro-Regular" w:hAnsi="AvenirNextLTPro-Regular" w:cs="Times New Roman"/>
          <w:noProof/>
          <w:sz w:val="16"/>
          <w:szCs w:val="24"/>
        </w:rPr>
        <w:t xml:space="preserve">Salti, N., Brouwer, E., </w:t>
      </w:r>
      <w:r w:rsidR="00F63776">
        <w:rPr>
          <w:rFonts w:ascii="AvenirNextLTPro-Regular" w:hAnsi="AvenirNextLTPro-Regular" w:cs="Times New Roman"/>
          <w:noProof/>
          <w:sz w:val="16"/>
          <w:szCs w:val="24"/>
        </w:rPr>
        <w:t>and</w:t>
      </w:r>
      <w:r w:rsidR="00F63776"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noProof/>
          <w:sz w:val="16"/>
          <w:szCs w:val="24"/>
        </w:rPr>
        <w:t xml:space="preserve">Verguet, S. (2016). The health, financial and distributional consequences of increases in the tobacco excise tax among smokers in Lebanon. </w:t>
      </w:r>
      <w:r w:rsidRPr="00093665">
        <w:rPr>
          <w:rFonts w:ascii="AvenirNextLTPro-Regular" w:hAnsi="AvenirNextLTPro-Regular" w:cs="Times New Roman"/>
          <w:i/>
          <w:iCs/>
          <w:noProof/>
          <w:sz w:val="16"/>
          <w:szCs w:val="24"/>
        </w:rPr>
        <w:t>Social Science and Medicine</w:t>
      </w:r>
      <w:r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i/>
          <w:iCs/>
          <w:noProof/>
          <w:sz w:val="16"/>
          <w:szCs w:val="24"/>
        </w:rPr>
        <w:t>170</w:t>
      </w:r>
      <w:r w:rsidRPr="00093665">
        <w:rPr>
          <w:rFonts w:ascii="AvenirNextLTPro-Regular" w:hAnsi="AvenirNextLTPro-Regular" w:cs="Times New Roman"/>
          <w:noProof/>
          <w:sz w:val="16"/>
          <w:szCs w:val="24"/>
        </w:rPr>
        <w:t>, 161–169. https://doi.org/10.1016/j.socscimed.2016.10.020</w:t>
      </w:r>
    </w:p>
    <w:p w14:paraId="4A21FCC8" w14:textId="50BC062B" w:rsidR="00093665" w:rsidRPr="00093665" w:rsidRDefault="00093665" w:rsidP="00093665">
      <w:pPr>
        <w:widowControl w:val="0"/>
        <w:autoSpaceDE w:val="0"/>
        <w:autoSpaceDN w:val="0"/>
        <w:adjustRightInd w:val="0"/>
        <w:spacing w:line="480" w:lineRule="auto"/>
        <w:ind w:left="480" w:hanging="480"/>
        <w:rPr>
          <w:rFonts w:ascii="AvenirNextLTPro-Regular" w:hAnsi="AvenirNextLTPro-Regular" w:cs="Times New Roman"/>
          <w:noProof/>
          <w:sz w:val="16"/>
          <w:szCs w:val="24"/>
        </w:rPr>
      </w:pPr>
      <w:r w:rsidRPr="00093665">
        <w:rPr>
          <w:rFonts w:ascii="AvenirNextLTPro-Regular" w:hAnsi="AvenirNextLTPro-Regular" w:cs="Times New Roman"/>
          <w:noProof/>
          <w:sz w:val="16"/>
          <w:szCs w:val="24"/>
        </w:rPr>
        <w:t xml:space="preserve">Saxena, A., Koon, A. D., Lagrada-Rombaua, L., Angeles-Agdeppa, I., Johns, B., </w:t>
      </w:r>
      <w:r w:rsidR="00F63776">
        <w:rPr>
          <w:rFonts w:ascii="AvenirNextLTPro-Regular" w:hAnsi="AvenirNextLTPro-Regular" w:cs="Times New Roman"/>
          <w:noProof/>
          <w:sz w:val="16"/>
          <w:szCs w:val="24"/>
        </w:rPr>
        <w:t>and</w:t>
      </w:r>
      <w:r w:rsidR="00F63776"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noProof/>
          <w:sz w:val="16"/>
          <w:szCs w:val="24"/>
        </w:rPr>
        <w:t>Capanzana, M. (2019</w:t>
      </w:r>
      <w:r w:rsidR="006E69A8">
        <w:rPr>
          <w:rFonts w:ascii="AvenirNextLTPro-Regular" w:hAnsi="AvenirNextLTPro-Regular" w:cs="Times New Roman"/>
          <w:noProof/>
          <w:sz w:val="16"/>
          <w:szCs w:val="24"/>
        </w:rPr>
        <w:t>a</w:t>
      </w:r>
      <w:r w:rsidRPr="00093665">
        <w:rPr>
          <w:rFonts w:ascii="AvenirNextLTPro-Regular" w:hAnsi="AvenirNextLTPro-Regular" w:cs="Times New Roman"/>
          <w:noProof/>
          <w:sz w:val="16"/>
          <w:szCs w:val="24"/>
        </w:rPr>
        <w:t xml:space="preserve">). Modelling the impact of a tax on sweetened beverages in the Philippines: An extended cost–effectiveness analysis. </w:t>
      </w:r>
      <w:r w:rsidRPr="00093665">
        <w:rPr>
          <w:rFonts w:ascii="AvenirNextLTPro-Regular" w:hAnsi="AvenirNextLTPro-Regular" w:cs="Times New Roman"/>
          <w:i/>
          <w:iCs/>
          <w:noProof/>
          <w:sz w:val="16"/>
          <w:szCs w:val="24"/>
        </w:rPr>
        <w:t>Bulletin of the World Health Organization</w:t>
      </w:r>
      <w:r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i/>
          <w:iCs/>
          <w:noProof/>
          <w:sz w:val="16"/>
          <w:szCs w:val="24"/>
        </w:rPr>
        <w:t>97</w:t>
      </w:r>
      <w:r w:rsidRPr="00093665">
        <w:rPr>
          <w:rFonts w:ascii="AvenirNextLTPro-Regular" w:hAnsi="AvenirNextLTPro-Regular" w:cs="Times New Roman"/>
          <w:noProof/>
          <w:sz w:val="16"/>
          <w:szCs w:val="24"/>
        </w:rPr>
        <w:t>(2), 97–107. https://doi.org/10.2471/BLT.18.219980</w:t>
      </w:r>
    </w:p>
    <w:p w14:paraId="14EB68EA" w14:textId="468FAA49" w:rsidR="00093665" w:rsidRPr="00093665" w:rsidRDefault="00093665" w:rsidP="00093665">
      <w:pPr>
        <w:widowControl w:val="0"/>
        <w:autoSpaceDE w:val="0"/>
        <w:autoSpaceDN w:val="0"/>
        <w:adjustRightInd w:val="0"/>
        <w:spacing w:line="480" w:lineRule="auto"/>
        <w:ind w:left="480" w:hanging="480"/>
        <w:rPr>
          <w:rFonts w:ascii="AvenirNextLTPro-Regular" w:hAnsi="AvenirNextLTPro-Regular" w:cs="Times New Roman"/>
          <w:noProof/>
          <w:sz w:val="16"/>
          <w:szCs w:val="24"/>
        </w:rPr>
      </w:pPr>
      <w:r w:rsidRPr="00093665">
        <w:rPr>
          <w:rFonts w:ascii="AvenirNextLTPro-Regular" w:hAnsi="AvenirNextLTPro-Regular" w:cs="Times New Roman"/>
          <w:noProof/>
          <w:sz w:val="16"/>
          <w:szCs w:val="24"/>
        </w:rPr>
        <w:t xml:space="preserve">Saxena, A., Stacey, N., Puech, P. D. R., Mudara, C., Hofman, K., </w:t>
      </w:r>
      <w:r w:rsidR="00F63776">
        <w:rPr>
          <w:rFonts w:ascii="AvenirNextLTPro-Regular" w:hAnsi="AvenirNextLTPro-Regular" w:cs="Times New Roman"/>
          <w:noProof/>
          <w:sz w:val="16"/>
          <w:szCs w:val="24"/>
        </w:rPr>
        <w:t>and</w:t>
      </w:r>
      <w:r w:rsidR="00F63776"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noProof/>
          <w:sz w:val="16"/>
          <w:szCs w:val="24"/>
        </w:rPr>
        <w:t>Verguet, S. (2019</w:t>
      </w:r>
      <w:r w:rsidR="006E69A8">
        <w:rPr>
          <w:rFonts w:ascii="AvenirNextLTPro-Regular" w:hAnsi="AvenirNextLTPro-Regular" w:cs="Times New Roman"/>
          <w:noProof/>
          <w:sz w:val="16"/>
          <w:szCs w:val="24"/>
        </w:rPr>
        <w:t>b</w:t>
      </w:r>
      <w:r w:rsidRPr="00093665">
        <w:rPr>
          <w:rFonts w:ascii="AvenirNextLTPro-Regular" w:hAnsi="AvenirNextLTPro-Regular" w:cs="Times New Roman"/>
          <w:noProof/>
          <w:sz w:val="16"/>
          <w:szCs w:val="24"/>
        </w:rPr>
        <w:t xml:space="preserve">). The distributional impact of taxing sugar-sweetened beverages: Findings from an extended cost-effectiveness analysis in South Africa. </w:t>
      </w:r>
      <w:r w:rsidRPr="00093665">
        <w:rPr>
          <w:rFonts w:ascii="AvenirNextLTPro-Regular" w:hAnsi="AvenirNextLTPro-Regular" w:cs="Times New Roman"/>
          <w:i/>
          <w:iCs/>
          <w:noProof/>
          <w:sz w:val="16"/>
          <w:szCs w:val="24"/>
        </w:rPr>
        <w:t>BMJ Global Health</w:t>
      </w:r>
      <w:r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i/>
          <w:iCs/>
          <w:noProof/>
          <w:sz w:val="16"/>
          <w:szCs w:val="24"/>
        </w:rPr>
        <w:t>4</w:t>
      </w:r>
      <w:r w:rsidRPr="00093665">
        <w:rPr>
          <w:rFonts w:ascii="AvenirNextLTPro-Regular" w:hAnsi="AvenirNextLTPro-Regular" w:cs="Times New Roman"/>
          <w:noProof/>
          <w:sz w:val="16"/>
          <w:szCs w:val="24"/>
        </w:rPr>
        <w:t>(4). https://doi.org/10.1136/bmjgh-2018-001317</w:t>
      </w:r>
    </w:p>
    <w:p w14:paraId="26248DD6" w14:textId="16D665DD" w:rsidR="00093665" w:rsidRPr="00093665" w:rsidRDefault="00093665" w:rsidP="00093665">
      <w:pPr>
        <w:widowControl w:val="0"/>
        <w:autoSpaceDE w:val="0"/>
        <w:autoSpaceDN w:val="0"/>
        <w:adjustRightInd w:val="0"/>
        <w:spacing w:line="480" w:lineRule="auto"/>
        <w:ind w:left="480" w:hanging="480"/>
        <w:rPr>
          <w:rFonts w:ascii="AvenirNextLTPro-Regular" w:hAnsi="AvenirNextLTPro-Regular" w:cs="Times New Roman"/>
          <w:noProof/>
          <w:sz w:val="16"/>
          <w:szCs w:val="24"/>
        </w:rPr>
      </w:pPr>
      <w:r w:rsidRPr="00093665">
        <w:rPr>
          <w:rFonts w:ascii="AvenirNextLTPro-Regular" w:hAnsi="AvenirNextLTPro-Regular" w:cs="Times New Roman"/>
          <w:noProof/>
          <w:sz w:val="16"/>
          <w:szCs w:val="24"/>
        </w:rPr>
        <w:t xml:space="preserve">Verguet, </w:t>
      </w:r>
      <w:r w:rsidR="006F76A9">
        <w:rPr>
          <w:rFonts w:ascii="AvenirNextLTPro-Regular" w:hAnsi="AvenirNextLTPro-Regular" w:cs="Times New Roman"/>
          <w:noProof/>
          <w:sz w:val="16"/>
          <w:szCs w:val="24"/>
        </w:rPr>
        <w:t>S.</w:t>
      </w:r>
      <w:r w:rsidR="00EB5CEE">
        <w:rPr>
          <w:rFonts w:ascii="AvenirNextLTPro-Regular" w:hAnsi="AvenirNextLTPro-Regular" w:cs="Times New Roman"/>
          <w:noProof/>
          <w:sz w:val="16"/>
          <w:szCs w:val="24"/>
        </w:rPr>
        <w:t>, Laxminarayan,</w:t>
      </w:r>
      <w:r w:rsidR="006F76A9">
        <w:rPr>
          <w:rFonts w:ascii="AvenirNextLTPro-Regular" w:hAnsi="AvenirNextLTPro-Regular" w:cs="Times New Roman"/>
          <w:noProof/>
          <w:sz w:val="16"/>
          <w:szCs w:val="24"/>
        </w:rPr>
        <w:t xml:space="preserve"> </w:t>
      </w:r>
      <w:r w:rsidRPr="00093665">
        <w:rPr>
          <w:rFonts w:ascii="AvenirNextLTPro-Regular" w:hAnsi="AvenirNextLTPro-Regular" w:cs="Times New Roman"/>
          <w:noProof/>
          <w:sz w:val="16"/>
          <w:szCs w:val="24"/>
        </w:rPr>
        <w:t xml:space="preserve">R. and </w:t>
      </w:r>
      <w:r w:rsidR="002B1678">
        <w:rPr>
          <w:rFonts w:ascii="AvenirNextLTPro-Regular" w:hAnsi="AvenirNextLTPro-Regular" w:cs="Times New Roman"/>
          <w:noProof/>
          <w:sz w:val="16"/>
          <w:szCs w:val="24"/>
        </w:rPr>
        <w:t xml:space="preserve">Jamison, </w:t>
      </w:r>
      <w:r w:rsidRPr="00093665">
        <w:rPr>
          <w:rFonts w:ascii="AvenirNextLTPro-Regular" w:hAnsi="AvenirNextLTPro-Regular" w:cs="Times New Roman"/>
          <w:noProof/>
          <w:sz w:val="16"/>
          <w:szCs w:val="24"/>
        </w:rPr>
        <w:t>D. T. (2015</w:t>
      </w:r>
      <w:r w:rsidR="00BA2A7D">
        <w:rPr>
          <w:rFonts w:ascii="AvenirNextLTPro-Regular" w:hAnsi="AvenirNextLTPro-Regular" w:cs="Times New Roman"/>
          <w:noProof/>
          <w:sz w:val="16"/>
          <w:szCs w:val="24"/>
        </w:rPr>
        <w:t>a</w:t>
      </w:r>
      <w:r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i/>
          <w:iCs/>
          <w:noProof/>
          <w:sz w:val="16"/>
          <w:szCs w:val="24"/>
        </w:rPr>
        <w:t>Universal Public Finance of Tuberculosis Treatment in India: An Extended Cost-Effectiveness Analysis</w:t>
      </w:r>
      <w:r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i/>
          <w:iCs/>
          <w:noProof/>
          <w:sz w:val="16"/>
          <w:szCs w:val="24"/>
        </w:rPr>
        <w:t>24</w:t>
      </w:r>
      <w:r w:rsidRPr="00093665">
        <w:rPr>
          <w:rFonts w:ascii="AvenirNextLTPro-Regular" w:hAnsi="AvenirNextLTPro-Regular" w:cs="Times New Roman"/>
          <w:noProof/>
          <w:sz w:val="16"/>
          <w:szCs w:val="24"/>
        </w:rPr>
        <w:t>, 318–332. https://doi.org/10.1002/hec</w:t>
      </w:r>
    </w:p>
    <w:p w14:paraId="63620064" w14:textId="6262A1C6" w:rsidR="00093665" w:rsidRPr="00093665" w:rsidRDefault="00093665" w:rsidP="00093665">
      <w:pPr>
        <w:widowControl w:val="0"/>
        <w:autoSpaceDE w:val="0"/>
        <w:autoSpaceDN w:val="0"/>
        <w:adjustRightInd w:val="0"/>
        <w:spacing w:line="480" w:lineRule="auto"/>
        <w:ind w:left="480" w:hanging="480"/>
        <w:rPr>
          <w:rFonts w:ascii="AvenirNextLTPro-Regular" w:hAnsi="AvenirNextLTPro-Regular" w:cs="Times New Roman"/>
          <w:noProof/>
          <w:sz w:val="16"/>
          <w:szCs w:val="24"/>
        </w:rPr>
      </w:pPr>
      <w:r w:rsidRPr="00093665">
        <w:rPr>
          <w:rFonts w:ascii="AvenirNextLTPro-Regular" w:hAnsi="AvenirNextLTPro-Regular" w:cs="Times New Roman"/>
          <w:noProof/>
          <w:sz w:val="16"/>
          <w:szCs w:val="24"/>
        </w:rPr>
        <w:t xml:space="preserve">Verguet, S., Gauvreau, C. L., Mishra, S., MacLennan, M., Murphy, S. M., Brouwer, E. D., Nugent, R. A., Zhao, K., Jha, P., </w:t>
      </w:r>
      <w:r w:rsidR="006F76A9">
        <w:rPr>
          <w:rFonts w:ascii="AvenirNextLTPro-Regular" w:hAnsi="AvenirNextLTPro-Regular" w:cs="Times New Roman"/>
          <w:noProof/>
          <w:sz w:val="16"/>
          <w:szCs w:val="24"/>
        </w:rPr>
        <w:t>and</w:t>
      </w:r>
      <w:r w:rsidR="006F76A9"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noProof/>
          <w:sz w:val="16"/>
          <w:szCs w:val="24"/>
        </w:rPr>
        <w:t>Jamison, D. T. (2015</w:t>
      </w:r>
      <w:r w:rsidR="00BA2A7D">
        <w:rPr>
          <w:rFonts w:ascii="AvenirNextLTPro-Regular" w:hAnsi="AvenirNextLTPro-Regular" w:cs="Times New Roman"/>
          <w:noProof/>
          <w:sz w:val="16"/>
          <w:szCs w:val="24"/>
        </w:rPr>
        <w:t>b</w:t>
      </w:r>
      <w:r w:rsidRPr="00093665">
        <w:rPr>
          <w:rFonts w:ascii="AvenirNextLTPro-Regular" w:hAnsi="AvenirNextLTPro-Regular" w:cs="Times New Roman"/>
          <w:noProof/>
          <w:sz w:val="16"/>
          <w:szCs w:val="24"/>
        </w:rPr>
        <w:t xml:space="preserve">). The consequences of tobacco tax on household health and finances in rich and poor smokers in China: An extended cost-effectiveness analysis. </w:t>
      </w:r>
      <w:r w:rsidRPr="00093665">
        <w:rPr>
          <w:rFonts w:ascii="AvenirNextLTPro-Regular" w:hAnsi="AvenirNextLTPro-Regular" w:cs="Times New Roman"/>
          <w:i/>
          <w:iCs/>
          <w:noProof/>
          <w:sz w:val="16"/>
          <w:szCs w:val="24"/>
        </w:rPr>
        <w:t>The Lancet Global Health</w:t>
      </w:r>
      <w:r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i/>
          <w:iCs/>
          <w:noProof/>
          <w:sz w:val="16"/>
          <w:szCs w:val="24"/>
        </w:rPr>
        <w:t>3</w:t>
      </w:r>
      <w:r w:rsidRPr="00093665">
        <w:rPr>
          <w:rFonts w:ascii="AvenirNextLTPro-Regular" w:hAnsi="AvenirNextLTPro-Regular" w:cs="Times New Roman"/>
          <w:noProof/>
          <w:sz w:val="16"/>
          <w:szCs w:val="24"/>
        </w:rPr>
        <w:t>(4), e206–e216. https://doi.org/10.1016/S2214-109X(15)70095-1</w:t>
      </w:r>
    </w:p>
    <w:p w14:paraId="41B5D844" w14:textId="1FF4ACB8" w:rsidR="00093665" w:rsidRPr="00093665" w:rsidRDefault="00093665" w:rsidP="00093665">
      <w:pPr>
        <w:widowControl w:val="0"/>
        <w:autoSpaceDE w:val="0"/>
        <w:autoSpaceDN w:val="0"/>
        <w:adjustRightInd w:val="0"/>
        <w:spacing w:line="480" w:lineRule="auto"/>
        <w:ind w:left="480" w:hanging="480"/>
        <w:rPr>
          <w:rFonts w:ascii="AvenirNextLTPro-Regular" w:hAnsi="AvenirNextLTPro-Regular" w:cs="Times New Roman"/>
          <w:noProof/>
          <w:sz w:val="16"/>
          <w:szCs w:val="24"/>
        </w:rPr>
      </w:pPr>
      <w:r w:rsidRPr="00093665">
        <w:rPr>
          <w:rFonts w:ascii="AvenirNextLTPro-Regular" w:hAnsi="AvenirNextLTPro-Regular" w:cs="Times New Roman"/>
          <w:noProof/>
          <w:sz w:val="16"/>
          <w:szCs w:val="24"/>
        </w:rPr>
        <w:t xml:space="preserve">Verguet, S., Murphy, S., Anderson, B., Arne, K., Glass, R., </w:t>
      </w:r>
      <w:r w:rsidR="000B7097">
        <w:rPr>
          <w:rFonts w:ascii="AvenirNextLTPro-Regular" w:hAnsi="AvenirNextLTPro-Regular" w:cs="Times New Roman"/>
          <w:noProof/>
          <w:sz w:val="16"/>
          <w:szCs w:val="24"/>
        </w:rPr>
        <w:t>and</w:t>
      </w:r>
      <w:r w:rsidR="000B7097"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noProof/>
          <w:sz w:val="16"/>
          <w:szCs w:val="24"/>
        </w:rPr>
        <w:t xml:space="preserve">Rheingans, R. (2013). Public finance of rotavirus vaccination in India and Ethiopia : An extended cost-effectiveness analysis. </w:t>
      </w:r>
      <w:r w:rsidRPr="00093665">
        <w:rPr>
          <w:rFonts w:ascii="AvenirNextLTPro-Regular" w:hAnsi="AvenirNextLTPro-Regular" w:cs="Times New Roman"/>
          <w:i/>
          <w:iCs/>
          <w:noProof/>
          <w:sz w:val="16"/>
          <w:szCs w:val="24"/>
        </w:rPr>
        <w:t>Vaccine</w:t>
      </w:r>
      <w:r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i/>
          <w:iCs/>
          <w:noProof/>
          <w:sz w:val="16"/>
          <w:szCs w:val="24"/>
        </w:rPr>
        <w:t>31</w:t>
      </w:r>
      <w:r w:rsidRPr="00093665">
        <w:rPr>
          <w:rFonts w:ascii="AvenirNextLTPro-Regular" w:hAnsi="AvenirNextLTPro-Regular" w:cs="Times New Roman"/>
          <w:noProof/>
          <w:sz w:val="16"/>
          <w:szCs w:val="24"/>
        </w:rPr>
        <w:t>(42), 4902–4910. https://doi.org/10.1016/j.vaccine.2013.07.014</w:t>
      </w:r>
    </w:p>
    <w:p w14:paraId="78367DAB" w14:textId="3AB434E2" w:rsidR="00093665" w:rsidRPr="00093665" w:rsidRDefault="00093665" w:rsidP="00093665">
      <w:pPr>
        <w:widowControl w:val="0"/>
        <w:autoSpaceDE w:val="0"/>
        <w:autoSpaceDN w:val="0"/>
        <w:adjustRightInd w:val="0"/>
        <w:spacing w:line="480" w:lineRule="auto"/>
        <w:ind w:left="480" w:hanging="480"/>
        <w:rPr>
          <w:rFonts w:ascii="AvenirNextLTPro-Regular" w:hAnsi="AvenirNextLTPro-Regular" w:cs="Times New Roman"/>
          <w:noProof/>
          <w:sz w:val="16"/>
          <w:szCs w:val="24"/>
        </w:rPr>
      </w:pPr>
      <w:r w:rsidRPr="00093665">
        <w:rPr>
          <w:rFonts w:ascii="AvenirNextLTPro-Regular" w:hAnsi="AvenirNextLTPro-Regular" w:cs="Times New Roman"/>
          <w:noProof/>
          <w:sz w:val="16"/>
          <w:szCs w:val="24"/>
        </w:rPr>
        <w:lastRenderedPageBreak/>
        <w:t xml:space="preserve">Verguet, S., Olson, Z. D., Babigumira, J. B., Desalegn, D., Johansson, K. A., Kruk, M. E., Levin, C. E., Nugent, R. A., Pecenka, C., Shrime, M. G., Memirie, S. T., Watkins, D. A., </w:t>
      </w:r>
      <w:r w:rsidR="000B7097">
        <w:rPr>
          <w:rFonts w:ascii="AvenirNextLTPro-Regular" w:hAnsi="AvenirNextLTPro-Regular" w:cs="Times New Roman"/>
          <w:noProof/>
          <w:sz w:val="16"/>
          <w:szCs w:val="24"/>
        </w:rPr>
        <w:t>and</w:t>
      </w:r>
      <w:r w:rsidR="000B7097"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noProof/>
          <w:sz w:val="16"/>
          <w:szCs w:val="24"/>
        </w:rPr>
        <w:t>Jamison, D. T. (2015</w:t>
      </w:r>
      <w:r w:rsidR="00BA2A7D">
        <w:rPr>
          <w:rFonts w:ascii="AvenirNextLTPro-Regular" w:hAnsi="AvenirNextLTPro-Regular" w:cs="Times New Roman"/>
          <w:noProof/>
          <w:sz w:val="16"/>
          <w:szCs w:val="24"/>
        </w:rPr>
        <w:t>c</w:t>
      </w:r>
      <w:r w:rsidRPr="00093665">
        <w:rPr>
          <w:rFonts w:ascii="AvenirNextLTPro-Regular" w:hAnsi="AvenirNextLTPro-Regular" w:cs="Times New Roman"/>
          <w:noProof/>
          <w:sz w:val="16"/>
          <w:szCs w:val="24"/>
        </w:rPr>
        <w:t xml:space="preserve">). Health gains and financial risk protection afforded by public financing of selected interventions in ethiopia: An extended cost-effectiveness analysis. </w:t>
      </w:r>
      <w:r w:rsidRPr="00093665">
        <w:rPr>
          <w:rFonts w:ascii="AvenirNextLTPro-Regular" w:hAnsi="AvenirNextLTPro-Regular" w:cs="Times New Roman"/>
          <w:i/>
          <w:iCs/>
          <w:noProof/>
          <w:sz w:val="16"/>
          <w:szCs w:val="24"/>
        </w:rPr>
        <w:t>The Lancet Global Health</w:t>
      </w:r>
      <w:r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i/>
          <w:iCs/>
          <w:noProof/>
          <w:sz w:val="16"/>
          <w:szCs w:val="24"/>
        </w:rPr>
        <w:t>3</w:t>
      </w:r>
      <w:r w:rsidRPr="00093665">
        <w:rPr>
          <w:rFonts w:ascii="AvenirNextLTPro-Regular" w:hAnsi="AvenirNextLTPro-Regular" w:cs="Times New Roman"/>
          <w:noProof/>
          <w:sz w:val="16"/>
          <w:szCs w:val="24"/>
        </w:rPr>
        <w:t>(5), e288–e296. https://doi.org/10.1016/S2214-109X(14)70346-8</w:t>
      </w:r>
    </w:p>
    <w:p w14:paraId="5D800893" w14:textId="4B5C5364" w:rsidR="00093665" w:rsidRPr="00093665" w:rsidRDefault="00093665" w:rsidP="00093665">
      <w:pPr>
        <w:widowControl w:val="0"/>
        <w:autoSpaceDE w:val="0"/>
        <w:autoSpaceDN w:val="0"/>
        <w:adjustRightInd w:val="0"/>
        <w:spacing w:line="480" w:lineRule="auto"/>
        <w:ind w:left="480" w:hanging="480"/>
        <w:rPr>
          <w:rFonts w:ascii="AvenirNextLTPro-Regular" w:hAnsi="AvenirNextLTPro-Regular" w:cs="Times New Roman"/>
          <w:noProof/>
          <w:sz w:val="16"/>
          <w:szCs w:val="24"/>
        </w:rPr>
      </w:pPr>
      <w:r w:rsidRPr="00093665">
        <w:rPr>
          <w:rFonts w:ascii="AvenirNextLTPro-Regular" w:hAnsi="AvenirNextLTPro-Regular" w:cs="Times New Roman"/>
          <w:noProof/>
          <w:sz w:val="16"/>
          <w:szCs w:val="24"/>
        </w:rPr>
        <w:t xml:space="preserve">Verguet, S., Tarr, G., Gauvreau, C. L., Mishra, S., Jha, P., Liu, L., Xiao, Y., Qiu, Y., </w:t>
      </w:r>
      <w:r w:rsidR="000B7097">
        <w:rPr>
          <w:rFonts w:ascii="AvenirNextLTPro-Regular" w:hAnsi="AvenirNextLTPro-Regular" w:cs="Times New Roman"/>
          <w:noProof/>
          <w:sz w:val="16"/>
          <w:szCs w:val="24"/>
        </w:rPr>
        <w:t>and</w:t>
      </w:r>
      <w:r w:rsidR="000B7097"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noProof/>
          <w:sz w:val="16"/>
          <w:szCs w:val="24"/>
        </w:rPr>
        <w:t xml:space="preserve">Zhao, K. (2017). Distributional benefits of tobacco tax and smoke-free workplaces in China: A modeling study. </w:t>
      </w:r>
      <w:r w:rsidRPr="00093665">
        <w:rPr>
          <w:rFonts w:ascii="AvenirNextLTPro-Regular" w:hAnsi="AvenirNextLTPro-Regular" w:cs="Times New Roman"/>
          <w:i/>
          <w:iCs/>
          <w:noProof/>
          <w:sz w:val="16"/>
          <w:szCs w:val="24"/>
        </w:rPr>
        <w:t>Journal of Global Health</w:t>
      </w:r>
      <w:r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i/>
          <w:iCs/>
          <w:noProof/>
          <w:sz w:val="16"/>
          <w:szCs w:val="24"/>
        </w:rPr>
        <w:t>7</w:t>
      </w:r>
      <w:r w:rsidRPr="00093665">
        <w:rPr>
          <w:rFonts w:ascii="AvenirNextLTPro-Regular" w:hAnsi="AvenirNextLTPro-Regular" w:cs="Times New Roman"/>
          <w:noProof/>
          <w:sz w:val="16"/>
          <w:szCs w:val="24"/>
        </w:rPr>
        <w:t>(2), 1–13. https://doi.org/10.7189/jogh.07.020701</w:t>
      </w:r>
    </w:p>
    <w:p w14:paraId="13D5C832" w14:textId="6772C95D" w:rsidR="00093665" w:rsidRPr="00093665" w:rsidRDefault="00093665" w:rsidP="00093665">
      <w:pPr>
        <w:widowControl w:val="0"/>
        <w:autoSpaceDE w:val="0"/>
        <w:autoSpaceDN w:val="0"/>
        <w:adjustRightInd w:val="0"/>
        <w:spacing w:line="480" w:lineRule="auto"/>
        <w:ind w:left="480" w:hanging="480"/>
        <w:rPr>
          <w:rFonts w:ascii="AvenirNextLTPro-Regular" w:hAnsi="AvenirNextLTPro-Regular"/>
          <w:noProof/>
          <w:sz w:val="16"/>
        </w:rPr>
      </w:pPr>
      <w:r w:rsidRPr="00093665">
        <w:rPr>
          <w:rFonts w:ascii="AvenirNextLTPro-Regular" w:hAnsi="AvenirNextLTPro-Regular" w:cs="Times New Roman"/>
          <w:noProof/>
          <w:sz w:val="16"/>
          <w:szCs w:val="24"/>
        </w:rPr>
        <w:t xml:space="preserve">Watkins, D. A., Olson, Z. D., Verguet, S., Nugent, R. A., </w:t>
      </w:r>
      <w:r w:rsidR="000B7097">
        <w:rPr>
          <w:rFonts w:ascii="AvenirNextLTPro-Regular" w:hAnsi="AvenirNextLTPro-Regular" w:cs="Times New Roman"/>
          <w:noProof/>
          <w:sz w:val="16"/>
          <w:szCs w:val="24"/>
        </w:rPr>
        <w:t>and</w:t>
      </w:r>
      <w:r w:rsidR="000B7097"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noProof/>
          <w:sz w:val="16"/>
          <w:szCs w:val="24"/>
        </w:rPr>
        <w:t xml:space="preserve">Jamison, D. T. (2016). Cardiovascular disease and impoverishment averted due to a salt reduction policy in South Africa: An extended cost-effectiveness analysis. </w:t>
      </w:r>
      <w:r w:rsidRPr="00093665">
        <w:rPr>
          <w:rFonts w:ascii="AvenirNextLTPro-Regular" w:hAnsi="AvenirNextLTPro-Regular" w:cs="Times New Roman"/>
          <w:i/>
          <w:iCs/>
          <w:noProof/>
          <w:sz w:val="16"/>
          <w:szCs w:val="24"/>
        </w:rPr>
        <w:t>Health Policy and Planning</w:t>
      </w:r>
      <w:r w:rsidRPr="00093665">
        <w:rPr>
          <w:rFonts w:ascii="AvenirNextLTPro-Regular" w:hAnsi="AvenirNextLTPro-Regular" w:cs="Times New Roman"/>
          <w:noProof/>
          <w:sz w:val="16"/>
          <w:szCs w:val="24"/>
        </w:rPr>
        <w:t xml:space="preserve">, </w:t>
      </w:r>
      <w:r w:rsidRPr="00093665">
        <w:rPr>
          <w:rFonts w:ascii="AvenirNextLTPro-Regular" w:hAnsi="AvenirNextLTPro-Regular" w:cs="Times New Roman"/>
          <w:i/>
          <w:iCs/>
          <w:noProof/>
          <w:sz w:val="16"/>
          <w:szCs w:val="24"/>
        </w:rPr>
        <w:t>31</w:t>
      </w:r>
      <w:r w:rsidRPr="00093665">
        <w:rPr>
          <w:rFonts w:ascii="AvenirNextLTPro-Regular" w:hAnsi="AvenirNextLTPro-Regular" w:cs="Times New Roman"/>
          <w:noProof/>
          <w:sz w:val="16"/>
          <w:szCs w:val="24"/>
        </w:rPr>
        <w:t>(1), 75–82. https://doi.org/10.1093/heapol/czv023</w:t>
      </w:r>
    </w:p>
    <w:p w14:paraId="54191652" w14:textId="77777777" w:rsidR="00F42A02" w:rsidRDefault="00CD69DD" w:rsidP="00A86845">
      <w:pPr>
        <w:spacing w:line="480" w:lineRule="auto"/>
        <w:rPr>
          <w:rFonts w:ascii="AvenirNextLTPro-Regular" w:hAnsi="AvenirNextLTPro-Regular"/>
          <w:color w:val="242021"/>
          <w:sz w:val="16"/>
          <w:szCs w:val="16"/>
        </w:rPr>
        <w:sectPr w:rsidR="00F42A02" w:rsidSect="00E57E96">
          <w:pgSz w:w="12240" w:h="15840"/>
          <w:pgMar w:top="1440" w:right="1440" w:bottom="1440" w:left="1440" w:header="720" w:footer="720" w:gutter="0"/>
          <w:pgNumType w:start="1"/>
          <w:cols w:space="720"/>
          <w:docGrid w:linePitch="360"/>
        </w:sectPr>
      </w:pPr>
      <w:r w:rsidRPr="002F0887">
        <w:rPr>
          <w:rFonts w:ascii="AvenirNextLTPro-Regular" w:hAnsi="AvenirNextLTPro-Regular"/>
          <w:color w:val="242021"/>
          <w:sz w:val="16"/>
          <w:szCs w:val="16"/>
        </w:rPr>
        <w:fldChar w:fldCharType="end"/>
      </w:r>
    </w:p>
    <w:p w14:paraId="530EFEAC" w14:textId="06D86CD4" w:rsidR="007C4C64" w:rsidRPr="00AE223F" w:rsidRDefault="00534D09" w:rsidP="007C4C64">
      <w:pPr>
        <w:spacing w:line="480" w:lineRule="auto"/>
        <w:rPr>
          <w:rFonts w:ascii="Times New Roman" w:hAnsi="Times New Roman" w:cs="Times New Roman"/>
          <w:b/>
          <w:bCs/>
          <w:color w:val="242021"/>
          <w:sz w:val="24"/>
          <w:szCs w:val="24"/>
        </w:rPr>
      </w:pPr>
      <w:r w:rsidRPr="00B470A2">
        <w:rPr>
          <w:rFonts w:ascii="Times New Roman" w:hAnsi="Times New Roman" w:cs="Times New Roman"/>
          <w:b/>
          <w:bCs/>
          <w:color w:val="242021"/>
          <w:sz w:val="24"/>
          <w:szCs w:val="24"/>
        </w:rPr>
        <w:lastRenderedPageBreak/>
        <w:t>APPENDIX</w:t>
      </w:r>
    </w:p>
    <w:p w14:paraId="14296892" w14:textId="6334E74A" w:rsidR="009E3EDE" w:rsidRPr="00B470A2" w:rsidRDefault="009E3EDE" w:rsidP="00276457">
      <w:pPr>
        <w:pStyle w:val="ListParagraph"/>
        <w:numPr>
          <w:ilvl w:val="0"/>
          <w:numId w:val="3"/>
        </w:numPr>
        <w:spacing w:line="480" w:lineRule="auto"/>
        <w:rPr>
          <w:rFonts w:ascii="Times New Roman" w:hAnsi="Times New Roman" w:cs="Times New Roman"/>
          <w:b/>
          <w:bCs/>
          <w:color w:val="242021"/>
          <w:sz w:val="24"/>
          <w:szCs w:val="24"/>
        </w:rPr>
      </w:pPr>
      <w:r w:rsidRPr="00B470A2">
        <w:rPr>
          <w:rFonts w:ascii="Times New Roman" w:hAnsi="Times New Roman" w:cs="Times New Roman"/>
          <w:b/>
          <w:bCs/>
          <w:color w:val="242021"/>
          <w:sz w:val="20"/>
          <w:szCs w:val="20"/>
        </w:rPr>
        <w:t>Abbreviations</w:t>
      </w:r>
    </w:p>
    <w:p w14:paraId="7543482A" w14:textId="5B5CC4E2" w:rsidR="00195B4D" w:rsidRDefault="00195B4D" w:rsidP="00195B4D">
      <w:pPr>
        <w:spacing w:line="276" w:lineRule="auto"/>
        <w:rPr>
          <w:rFonts w:ascii="Times New Roman" w:hAnsi="Times New Roman" w:cs="Times New Roman"/>
          <w:color w:val="242021"/>
          <w:sz w:val="20"/>
          <w:szCs w:val="20"/>
        </w:rPr>
      </w:pPr>
      <w:r>
        <w:rPr>
          <w:rFonts w:ascii="Times New Roman" w:hAnsi="Times New Roman" w:cs="Times New Roman"/>
          <w:color w:val="242021"/>
          <w:sz w:val="20"/>
          <w:szCs w:val="20"/>
        </w:rPr>
        <w:t xml:space="preserve">CHE    Catastrophic Health Expenditure </w:t>
      </w:r>
    </w:p>
    <w:p w14:paraId="5736A052" w14:textId="1C2F16B6" w:rsidR="009B50BA" w:rsidRDefault="009B50BA" w:rsidP="005B4A25">
      <w:pPr>
        <w:spacing w:line="276" w:lineRule="auto"/>
        <w:rPr>
          <w:rFonts w:ascii="Times New Roman" w:hAnsi="Times New Roman" w:cs="Times New Roman"/>
          <w:color w:val="242021"/>
          <w:sz w:val="20"/>
          <w:szCs w:val="20"/>
        </w:rPr>
      </w:pPr>
      <w:r>
        <w:rPr>
          <w:rFonts w:ascii="Times New Roman" w:hAnsi="Times New Roman" w:cs="Times New Roman"/>
          <w:color w:val="242021"/>
          <w:sz w:val="20"/>
          <w:szCs w:val="20"/>
        </w:rPr>
        <w:t>DCEA Distributional cost-effectiveness analysis</w:t>
      </w:r>
    </w:p>
    <w:p w14:paraId="7BDDF6B5" w14:textId="20FEBD69" w:rsidR="00785B38" w:rsidRDefault="00785B38" w:rsidP="00785B38">
      <w:pPr>
        <w:spacing w:line="276" w:lineRule="auto"/>
        <w:rPr>
          <w:rFonts w:ascii="Times New Roman" w:hAnsi="Times New Roman" w:cs="Times New Roman"/>
          <w:color w:val="242021"/>
          <w:sz w:val="20"/>
          <w:szCs w:val="20"/>
        </w:rPr>
      </w:pPr>
      <w:r w:rsidRPr="002F0887">
        <w:rPr>
          <w:rFonts w:ascii="Times New Roman" w:hAnsi="Times New Roman" w:cs="Times New Roman"/>
          <w:color w:val="242021"/>
          <w:sz w:val="20"/>
          <w:szCs w:val="20"/>
        </w:rPr>
        <w:t xml:space="preserve">DHS </w:t>
      </w:r>
      <w:r>
        <w:rPr>
          <w:rFonts w:ascii="Times New Roman" w:hAnsi="Times New Roman" w:cs="Times New Roman"/>
          <w:color w:val="242021"/>
          <w:sz w:val="20"/>
          <w:szCs w:val="20"/>
        </w:rPr>
        <w:t xml:space="preserve">   Demographic Health Survey</w:t>
      </w:r>
    </w:p>
    <w:p w14:paraId="0C77884C" w14:textId="1DAA5760" w:rsidR="009B50BA" w:rsidRDefault="009B50BA" w:rsidP="005B4A25">
      <w:pPr>
        <w:spacing w:line="276" w:lineRule="auto"/>
        <w:rPr>
          <w:rFonts w:ascii="Times New Roman" w:hAnsi="Times New Roman" w:cs="Times New Roman"/>
          <w:color w:val="242021"/>
          <w:sz w:val="20"/>
          <w:szCs w:val="20"/>
        </w:rPr>
      </w:pPr>
      <w:r>
        <w:rPr>
          <w:rFonts w:ascii="Times New Roman" w:hAnsi="Times New Roman" w:cs="Times New Roman"/>
          <w:color w:val="242021"/>
          <w:sz w:val="20"/>
          <w:szCs w:val="20"/>
        </w:rPr>
        <w:t>ECEA Extended cost-effectiveness analysis</w:t>
      </w:r>
    </w:p>
    <w:p w14:paraId="3A8361E1" w14:textId="2F9544A7" w:rsidR="00D85198" w:rsidRDefault="00D85198" w:rsidP="005B4A25">
      <w:pPr>
        <w:spacing w:line="276" w:lineRule="auto"/>
        <w:rPr>
          <w:rFonts w:ascii="Times New Roman" w:hAnsi="Times New Roman" w:cs="Times New Roman"/>
          <w:color w:val="242021"/>
          <w:sz w:val="20"/>
          <w:szCs w:val="20"/>
        </w:rPr>
      </w:pPr>
      <w:r>
        <w:rPr>
          <w:rFonts w:ascii="Times New Roman" w:hAnsi="Times New Roman" w:cs="Times New Roman"/>
          <w:color w:val="242021"/>
          <w:sz w:val="20"/>
          <w:szCs w:val="20"/>
        </w:rPr>
        <w:t>EIA     Equity Impact Analysis</w:t>
      </w:r>
    </w:p>
    <w:p w14:paraId="5633D9B7" w14:textId="7E553693" w:rsidR="00D85198" w:rsidRPr="002F0887" w:rsidRDefault="00D85198" w:rsidP="005B4A25">
      <w:pPr>
        <w:spacing w:line="276" w:lineRule="auto"/>
        <w:rPr>
          <w:rFonts w:ascii="Times New Roman" w:hAnsi="Times New Roman" w:cs="Times New Roman"/>
          <w:color w:val="242021"/>
          <w:sz w:val="20"/>
          <w:szCs w:val="20"/>
        </w:rPr>
      </w:pPr>
      <w:r>
        <w:rPr>
          <w:rFonts w:ascii="Times New Roman" w:hAnsi="Times New Roman" w:cs="Times New Roman"/>
          <w:color w:val="242021"/>
          <w:sz w:val="20"/>
          <w:szCs w:val="20"/>
        </w:rPr>
        <w:t>ETA    Equity Trade-off Analysis</w:t>
      </w:r>
    </w:p>
    <w:p w14:paraId="1921C479" w14:textId="267129B9" w:rsidR="00B70961" w:rsidRDefault="00B70961" w:rsidP="00B70961">
      <w:pPr>
        <w:spacing w:line="276" w:lineRule="auto"/>
        <w:rPr>
          <w:rFonts w:ascii="Times New Roman" w:hAnsi="Times New Roman" w:cs="Times New Roman"/>
          <w:color w:val="242021"/>
          <w:sz w:val="20"/>
          <w:szCs w:val="20"/>
        </w:rPr>
      </w:pPr>
      <w:r w:rsidRPr="002F0887">
        <w:rPr>
          <w:rFonts w:ascii="Times New Roman" w:hAnsi="Times New Roman" w:cs="Times New Roman"/>
          <w:color w:val="242021"/>
          <w:sz w:val="20"/>
          <w:szCs w:val="20"/>
        </w:rPr>
        <w:t xml:space="preserve">FRP </w:t>
      </w:r>
      <w:r>
        <w:rPr>
          <w:rFonts w:ascii="Times New Roman" w:hAnsi="Times New Roman" w:cs="Times New Roman"/>
          <w:color w:val="242021"/>
          <w:sz w:val="20"/>
          <w:szCs w:val="20"/>
        </w:rPr>
        <w:t xml:space="preserve">    </w:t>
      </w:r>
      <w:r w:rsidRPr="002F0887">
        <w:rPr>
          <w:rFonts w:ascii="Times New Roman" w:hAnsi="Times New Roman" w:cs="Times New Roman"/>
          <w:color w:val="242021"/>
          <w:sz w:val="20"/>
          <w:szCs w:val="20"/>
        </w:rPr>
        <w:t>Financial Risk Protection</w:t>
      </w:r>
    </w:p>
    <w:p w14:paraId="5E5A62D7" w14:textId="2FDD278A" w:rsidR="00E01516" w:rsidRDefault="00E01516" w:rsidP="00B70961">
      <w:pPr>
        <w:spacing w:line="276" w:lineRule="auto"/>
        <w:rPr>
          <w:rFonts w:ascii="Times New Roman" w:hAnsi="Times New Roman" w:cs="Times New Roman"/>
          <w:color w:val="242021"/>
          <w:sz w:val="20"/>
          <w:szCs w:val="20"/>
        </w:rPr>
      </w:pPr>
      <w:r>
        <w:rPr>
          <w:rFonts w:ascii="Times New Roman" w:hAnsi="Times New Roman" w:cs="Times New Roman"/>
          <w:color w:val="242021"/>
          <w:sz w:val="20"/>
          <w:szCs w:val="20"/>
        </w:rPr>
        <w:t>FC        Financial Consequence</w:t>
      </w:r>
    </w:p>
    <w:p w14:paraId="5242AE40" w14:textId="3D2D001C" w:rsidR="00B06349" w:rsidRPr="002F0887" w:rsidRDefault="00B06349" w:rsidP="00B70961">
      <w:pPr>
        <w:spacing w:line="276" w:lineRule="auto"/>
        <w:rPr>
          <w:rFonts w:ascii="Times New Roman" w:hAnsi="Times New Roman" w:cs="Times New Roman"/>
          <w:color w:val="242021"/>
          <w:sz w:val="20"/>
          <w:szCs w:val="20"/>
        </w:rPr>
      </w:pPr>
      <w:r>
        <w:rPr>
          <w:rFonts w:ascii="Times New Roman" w:hAnsi="Times New Roman" w:cs="Times New Roman"/>
          <w:color w:val="242021"/>
          <w:sz w:val="20"/>
          <w:szCs w:val="20"/>
        </w:rPr>
        <w:t>HBG     Health Benefits Gained</w:t>
      </w:r>
    </w:p>
    <w:p w14:paraId="170ABD60" w14:textId="420A2D1F" w:rsidR="00AC43A8" w:rsidRDefault="00AC43A8" w:rsidP="005B4A25">
      <w:pPr>
        <w:spacing w:line="276" w:lineRule="auto"/>
        <w:rPr>
          <w:rFonts w:ascii="Times New Roman" w:hAnsi="Times New Roman" w:cs="Times New Roman"/>
          <w:color w:val="242021"/>
          <w:sz w:val="20"/>
          <w:szCs w:val="20"/>
        </w:rPr>
      </w:pPr>
      <w:r>
        <w:rPr>
          <w:rFonts w:ascii="Times New Roman" w:hAnsi="Times New Roman" w:cs="Times New Roman"/>
          <w:color w:val="242021"/>
          <w:sz w:val="20"/>
          <w:szCs w:val="20"/>
        </w:rPr>
        <w:t>HPA    Health Policy Assessment</w:t>
      </w:r>
    </w:p>
    <w:p w14:paraId="1B71C6A6" w14:textId="5E96EB24" w:rsidR="0022034D" w:rsidRDefault="0022034D" w:rsidP="005B4A25">
      <w:pPr>
        <w:spacing w:line="276" w:lineRule="auto"/>
        <w:rPr>
          <w:rFonts w:ascii="Times New Roman" w:hAnsi="Times New Roman" w:cs="Times New Roman"/>
          <w:color w:val="242021"/>
          <w:sz w:val="20"/>
          <w:szCs w:val="20"/>
        </w:rPr>
      </w:pPr>
      <w:r>
        <w:rPr>
          <w:rFonts w:ascii="Times New Roman" w:hAnsi="Times New Roman" w:cs="Times New Roman"/>
          <w:color w:val="242021"/>
          <w:sz w:val="20"/>
          <w:szCs w:val="20"/>
        </w:rPr>
        <w:t xml:space="preserve">JBI      Joanna Briggs Institute         </w:t>
      </w:r>
    </w:p>
    <w:p w14:paraId="0F08CD56" w14:textId="77F80F60" w:rsidR="00D85198" w:rsidRDefault="00D85198" w:rsidP="005B4A25">
      <w:pPr>
        <w:spacing w:line="276" w:lineRule="auto"/>
        <w:rPr>
          <w:rFonts w:ascii="Times New Roman" w:hAnsi="Times New Roman" w:cs="Times New Roman"/>
          <w:color w:val="242021"/>
          <w:sz w:val="20"/>
          <w:szCs w:val="20"/>
        </w:rPr>
      </w:pPr>
      <w:r>
        <w:rPr>
          <w:rFonts w:ascii="Times New Roman" w:hAnsi="Times New Roman" w:cs="Times New Roman"/>
          <w:color w:val="242021"/>
          <w:sz w:val="20"/>
          <w:szCs w:val="20"/>
        </w:rPr>
        <w:t>LMIC Lower-middle-income country</w:t>
      </w:r>
    </w:p>
    <w:p w14:paraId="06D9166E" w14:textId="120DBF2C" w:rsidR="00560DD3" w:rsidRDefault="00560DD3" w:rsidP="005B4A25">
      <w:pPr>
        <w:spacing w:line="276" w:lineRule="auto"/>
        <w:rPr>
          <w:rFonts w:ascii="Times New Roman" w:hAnsi="Times New Roman" w:cs="Times New Roman"/>
          <w:color w:val="242021"/>
          <w:sz w:val="20"/>
          <w:szCs w:val="20"/>
        </w:rPr>
      </w:pPr>
      <w:r>
        <w:rPr>
          <w:rFonts w:ascii="Times New Roman" w:hAnsi="Times New Roman" w:cs="Times New Roman"/>
          <w:color w:val="242021"/>
          <w:sz w:val="20"/>
          <w:szCs w:val="20"/>
        </w:rPr>
        <w:t>MeSH Medical Subject Heading</w:t>
      </w:r>
    </w:p>
    <w:p w14:paraId="2D84CF73" w14:textId="7AFC7919" w:rsidR="00852CF2" w:rsidRDefault="00852CF2" w:rsidP="005B4A25">
      <w:pPr>
        <w:spacing w:line="276" w:lineRule="auto"/>
        <w:rPr>
          <w:rFonts w:ascii="Times New Roman" w:hAnsi="Times New Roman" w:cs="Times New Roman"/>
          <w:color w:val="242021"/>
          <w:sz w:val="20"/>
          <w:szCs w:val="20"/>
        </w:rPr>
      </w:pPr>
      <w:r>
        <w:rPr>
          <w:rFonts w:ascii="Times New Roman" w:hAnsi="Times New Roman" w:cs="Times New Roman"/>
          <w:color w:val="242021"/>
          <w:sz w:val="20"/>
          <w:szCs w:val="20"/>
        </w:rPr>
        <w:t>SSB   Sugar-sweetened beverage</w:t>
      </w:r>
    </w:p>
    <w:p w14:paraId="6A00F543" w14:textId="7ED2E36E" w:rsidR="006A437E" w:rsidRDefault="006A437E" w:rsidP="005B4A25">
      <w:pPr>
        <w:spacing w:line="276" w:lineRule="auto"/>
        <w:rPr>
          <w:rFonts w:ascii="Times New Roman" w:hAnsi="Times New Roman" w:cs="Times New Roman"/>
          <w:color w:val="242021"/>
          <w:sz w:val="20"/>
          <w:szCs w:val="20"/>
        </w:rPr>
      </w:pPr>
      <w:r>
        <w:rPr>
          <w:rFonts w:ascii="Times New Roman" w:hAnsi="Times New Roman" w:cs="Times New Roman"/>
          <w:color w:val="242021"/>
          <w:sz w:val="20"/>
          <w:szCs w:val="20"/>
        </w:rPr>
        <w:t>UHC Universal Health Coverage</w:t>
      </w:r>
    </w:p>
    <w:p w14:paraId="42BEB183" w14:textId="346BB761" w:rsidR="006A437E" w:rsidRDefault="006A437E" w:rsidP="005B4A25">
      <w:pPr>
        <w:spacing w:line="276" w:lineRule="auto"/>
        <w:rPr>
          <w:rFonts w:ascii="Times New Roman" w:hAnsi="Times New Roman" w:cs="Times New Roman"/>
          <w:color w:val="242021"/>
          <w:sz w:val="20"/>
          <w:szCs w:val="20"/>
        </w:rPr>
      </w:pPr>
      <w:r>
        <w:rPr>
          <w:rFonts w:ascii="Times New Roman" w:hAnsi="Times New Roman" w:cs="Times New Roman"/>
          <w:color w:val="242021"/>
          <w:sz w:val="20"/>
          <w:szCs w:val="20"/>
        </w:rPr>
        <w:t>UPF Universal Public Financing</w:t>
      </w:r>
    </w:p>
    <w:p w14:paraId="4B96E746" w14:textId="791C059E" w:rsidR="006A437E" w:rsidRPr="002F0887" w:rsidRDefault="006A437E" w:rsidP="005B4A25">
      <w:pPr>
        <w:spacing w:line="276" w:lineRule="auto"/>
        <w:rPr>
          <w:rFonts w:ascii="Times New Roman" w:hAnsi="Times New Roman" w:cs="Times New Roman"/>
          <w:color w:val="242021"/>
          <w:sz w:val="20"/>
          <w:szCs w:val="20"/>
        </w:rPr>
      </w:pPr>
    </w:p>
    <w:p w14:paraId="6AF3FB82" w14:textId="78127FF7" w:rsidR="00906CAF" w:rsidRPr="002F0887" w:rsidRDefault="00906CAF" w:rsidP="005B4A25">
      <w:pPr>
        <w:spacing w:line="276" w:lineRule="auto"/>
        <w:rPr>
          <w:rFonts w:ascii="Times New Roman" w:hAnsi="Times New Roman" w:cs="Times New Roman"/>
          <w:color w:val="242021"/>
          <w:sz w:val="20"/>
          <w:szCs w:val="20"/>
        </w:rPr>
      </w:pPr>
    </w:p>
    <w:p w14:paraId="70EC6539" w14:textId="37F42282" w:rsidR="001D314E" w:rsidRPr="002F0887" w:rsidRDefault="001D314E" w:rsidP="00A86845">
      <w:pPr>
        <w:spacing w:line="480" w:lineRule="auto"/>
        <w:rPr>
          <w:rFonts w:ascii="Times New Roman" w:hAnsi="Times New Roman" w:cs="Times New Roman"/>
          <w:color w:val="242021"/>
          <w:sz w:val="24"/>
          <w:szCs w:val="24"/>
        </w:rPr>
      </w:pPr>
    </w:p>
    <w:p w14:paraId="2BDCB729" w14:textId="4D6B62E1" w:rsidR="001D314E" w:rsidRPr="002F0887" w:rsidRDefault="001D314E" w:rsidP="00A86845">
      <w:pPr>
        <w:spacing w:line="480" w:lineRule="auto"/>
        <w:rPr>
          <w:rFonts w:ascii="Times New Roman" w:hAnsi="Times New Roman" w:cs="Times New Roman"/>
          <w:color w:val="242021"/>
          <w:sz w:val="24"/>
          <w:szCs w:val="24"/>
        </w:rPr>
      </w:pPr>
    </w:p>
    <w:p w14:paraId="2BBD3A6A" w14:textId="1576C4D5" w:rsidR="001D314E" w:rsidRPr="002F0887" w:rsidRDefault="001D314E" w:rsidP="00A86845">
      <w:pPr>
        <w:spacing w:line="480" w:lineRule="auto"/>
        <w:rPr>
          <w:rFonts w:ascii="Times New Roman" w:hAnsi="Times New Roman" w:cs="Times New Roman"/>
          <w:color w:val="242021"/>
          <w:sz w:val="24"/>
          <w:szCs w:val="24"/>
        </w:rPr>
      </w:pPr>
    </w:p>
    <w:p w14:paraId="1662C4EA" w14:textId="77777777" w:rsidR="001D314E" w:rsidRDefault="001D314E" w:rsidP="00A86845">
      <w:pPr>
        <w:spacing w:line="480" w:lineRule="auto"/>
        <w:rPr>
          <w:rFonts w:ascii="Times New Roman" w:hAnsi="Times New Roman" w:cs="Times New Roman"/>
          <w:color w:val="242021"/>
        </w:rPr>
      </w:pPr>
    </w:p>
    <w:p w14:paraId="4D44798C" w14:textId="10853E13" w:rsidR="00692E03" w:rsidRDefault="00692E03" w:rsidP="00A86845">
      <w:pPr>
        <w:spacing w:line="480" w:lineRule="auto"/>
        <w:rPr>
          <w:rFonts w:ascii="Times New Roman" w:hAnsi="Times New Roman" w:cs="Times New Roman"/>
          <w:color w:val="242021"/>
        </w:rPr>
      </w:pPr>
    </w:p>
    <w:p w14:paraId="62AB0CC2" w14:textId="57154E9C" w:rsidR="000D3F2B" w:rsidRDefault="000D3F2B" w:rsidP="00A86845">
      <w:pPr>
        <w:spacing w:line="480" w:lineRule="auto"/>
        <w:rPr>
          <w:rFonts w:ascii="Times New Roman" w:hAnsi="Times New Roman" w:cs="Times New Roman"/>
          <w:color w:val="242021"/>
        </w:rPr>
      </w:pPr>
    </w:p>
    <w:p w14:paraId="6775923B" w14:textId="77777777" w:rsidR="000D3F2B" w:rsidRDefault="000D3F2B" w:rsidP="00A86845">
      <w:pPr>
        <w:spacing w:line="480" w:lineRule="auto"/>
        <w:rPr>
          <w:rFonts w:ascii="Times New Roman" w:hAnsi="Times New Roman" w:cs="Times New Roman"/>
          <w:color w:val="242021"/>
        </w:rPr>
      </w:pPr>
    </w:p>
    <w:p w14:paraId="793B7E21" w14:textId="77777777" w:rsidR="00692E03" w:rsidRDefault="00692E03" w:rsidP="00A86845">
      <w:pPr>
        <w:spacing w:line="480" w:lineRule="auto"/>
        <w:rPr>
          <w:rFonts w:ascii="Times New Roman" w:hAnsi="Times New Roman" w:cs="Times New Roman"/>
          <w:color w:val="242021"/>
        </w:rPr>
      </w:pPr>
    </w:p>
    <w:p w14:paraId="07761322" w14:textId="77777777" w:rsidR="003F40B0" w:rsidRPr="0089207B" w:rsidRDefault="003F40B0" w:rsidP="003F40B0">
      <w:pPr>
        <w:pStyle w:val="ListParagraph"/>
        <w:numPr>
          <w:ilvl w:val="0"/>
          <w:numId w:val="3"/>
        </w:numPr>
        <w:spacing w:line="480" w:lineRule="auto"/>
        <w:rPr>
          <w:rFonts w:ascii="Times New Roman" w:hAnsi="Times New Roman" w:cs="Times New Roman"/>
          <w:b/>
          <w:bCs/>
          <w:color w:val="242021"/>
          <w:sz w:val="24"/>
          <w:szCs w:val="24"/>
        </w:rPr>
      </w:pPr>
      <w:r w:rsidRPr="0089207B">
        <w:rPr>
          <w:rFonts w:ascii="Times New Roman" w:hAnsi="Times New Roman" w:cs="Times New Roman"/>
          <w:b/>
          <w:bCs/>
          <w:color w:val="242021"/>
          <w:sz w:val="24"/>
          <w:szCs w:val="24"/>
        </w:rPr>
        <w:t>Figure 1: Preferred Reporting Items for Systematic and Meta-Analysis Extension for Scoping Reviews (PRISMA-ScR) diagram. Flow chart of studies screened and included.</w:t>
      </w:r>
    </w:p>
    <w:p w14:paraId="66AA4C6A" w14:textId="7DA7DD0C" w:rsidR="00692E03" w:rsidRDefault="000F2BDF" w:rsidP="00692E03">
      <w:pPr>
        <w:spacing w:line="480" w:lineRule="auto"/>
        <w:jc w:val="both"/>
        <w:rPr>
          <w:rFonts w:ascii="Times New Roman" w:hAnsi="Times New Roman" w:cs="Times New Roman"/>
          <w:color w:val="242021"/>
          <w:sz w:val="24"/>
          <w:szCs w:val="24"/>
        </w:rPr>
      </w:pPr>
      <w:r>
        <w:rPr>
          <w:rFonts w:ascii="Times New Roman" w:hAnsi="Times New Roman" w:cs="Times New Roman"/>
          <w:noProof/>
          <w:color w:val="242021"/>
          <w:sz w:val="24"/>
          <w:szCs w:val="24"/>
        </w:rPr>
        <mc:AlternateContent>
          <mc:Choice Requires="wps">
            <w:drawing>
              <wp:anchor distT="0" distB="0" distL="114300" distR="114300" simplePos="0" relativeHeight="251680768" behindDoc="0" locked="0" layoutInCell="1" allowOverlap="1" wp14:anchorId="13690F93" wp14:editId="1A4D37D2">
                <wp:simplePos x="0" y="0"/>
                <wp:positionH relativeFrom="margin">
                  <wp:posOffset>4130297</wp:posOffset>
                </wp:positionH>
                <wp:positionV relativeFrom="paragraph">
                  <wp:posOffset>65265</wp:posOffset>
                </wp:positionV>
                <wp:extent cx="2224007" cy="718863"/>
                <wp:effectExtent l="0" t="0" r="24130" b="24130"/>
                <wp:wrapNone/>
                <wp:docPr id="16" name="Rectangle 16"/>
                <wp:cNvGraphicFramePr/>
                <a:graphic xmlns:a="http://schemas.openxmlformats.org/drawingml/2006/main">
                  <a:graphicData uri="http://schemas.microsoft.com/office/word/2010/wordprocessingShape">
                    <wps:wsp>
                      <wps:cNvSpPr/>
                      <wps:spPr>
                        <a:xfrm>
                          <a:off x="0" y="0"/>
                          <a:ext cx="2224007" cy="7188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9F0828" w14:textId="281C4754" w:rsidR="000F2BDF" w:rsidRDefault="000F2BDF" w:rsidP="000F2BDF">
                            <w:pPr>
                              <w:jc w:val="center"/>
                            </w:pPr>
                            <w:r>
                              <w:t>Record identified in Google scholar and ScienceDirect</w:t>
                            </w:r>
                          </w:p>
                          <w:p w14:paraId="6F08A59E" w14:textId="486BDCDD" w:rsidR="000F2BDF" w:rsidRDefault="000F2BDF" w:rsidP="000F2BDF">
                            <w:pPr>
                              <w:jc w:val="center"/>
                            </w:pPr>
                            <w:r>
                              <w:t xml:space="preserve">(n= </w:t>
                            </w:r>
                            <w:r>
                              <w:t>1</w:t>
                            </w: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90F93" id="Rectangle 16" o:spid="_x0000_s1026" style="position:absolute;left:0;text-align:left;margin-left:325.2pt;margin-top:5.15pt;width:175.1pt;height:56.6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" fillcolor="white [3201]" strokecolor="#70ad47 [3209]" strokeweight="1pt">
                <v:textbox>
                  <w:txbxContent>
                    <w:p w14:paraId="0B9F0828" w14:textId="281C4754" w:rsidR="000F2BDF" w:rsidRDefault="000F2BDF" w:rsidP="000F2BDF">
                      <w:pPr>
                        <w:jc w:val="center"/>
                      </w:pPr>
                      <w:r>
                        <w:t>Record identified in Google scholar and ScienceDirect</w:t>
                      </w:r>
                    </w:p>
                    <w:p w14:paraId="6F08A59E" w14:textId="486BDCDD" w:rsidR="000F2BDF" w:rsidRDefault="000F2BDF" w:rsidP="000F2BDF">
                      <w:pPr>
                        <w:jc w:val="center"/>
                      </w:pPr>
                      <w:r>
                        <w:t xml:space="preserve">(n= </w:t>
                      </w:r>
                      <w:r>
                        <w:t>1</w:t>
                      </w:r>
                      <w:r>
                        <w:t>0)</w:t>
                      </w:r>
                    </w:p>
                  </w:txbxContent>
                </v:textbox>
                <w10:wrap anchorx="margin"/>
              </v:rect>
            </w:pict>
          </mc:Fallback>
        </mc:AlternateContent>
      </w:r>
      <w:r w:rsidR="00AD4742">
        <w:rPr>
          <w:rFonts w:ascii="Times New Roman" w:hAnsi="Times New Roman" w:cs="Times New Roman"/>
          <w:noProof/>
          <w:color w:val="242021"/>
          <w:sz w:val="24"/>
          <w:szCs w:val="24"/>
        </w:rPr>
        <mc:AlternateContent>
          <mc:Choice Requires="wps">
            <w:drawing>
              <wp:anchor distT="0" distB="0" distL="114300" distR="114300" simplePos="0" relativeHeight="251659264" behindDoc="0" locked="0" layoutInCell="1" allowOverlap="1" wp14:anchorId="3F69EB3C" wp14:editId="52266E7D">
                <wp:simplePos x="0" y="0"/>
                <wp:positionH relativeFrom="column">
                  <wp:posOffset>1234440</wp:posOffset>
                </wp:positionH>
                <wp:positionV relativeFrom="paragraph">
                  <wp:posOffset>264160</wp:posOffset>
                </wp:positionV>
                <wp:extent cx="2491740" cy="563880"/>
                <wp:effectExtent l="0" t="0" r="22860" b="26670"/>
                <wp:wrapNone/>
                <wp:docPr id="1" name="Rectangle 1"/>
                <wp:cNvGraphicFramePr/>
                <a:graphic xmlns:a="http://schemas.openxmlformats.org/drawingml/2006/main">
                  <a:graphicData uri="http://schemas.microsoft.com/office/word/2010/wordprocessingShape">
                    <wps:wsp>
                      <wps:cNvSpPr/>
                      <wps:spPr>
                        <a:xfrm>
                          <a:off x="0" y="0"/>
                          <a:ext cx="2491740" cy="5638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026886" w14:textId="63046AE3" w:rsidR="003058B9" w:rsidRDefault="003058B9" w:rsidP="003058B9">
                            <w:pPr>
                              <w:jc w:val="center"/>
                            </w:pPr>
                            <w:r>
                              <w:t>Record identified in databases</w:t>
                            </w:r>
                          </w:p>
                          <w:p w14:paraId="3B857DE7" w14:textId="777D9C9A" w:rsidR="003058B9" w:rsidRDefault="003058B9" w:rsidP="003058B9">
                            <w:pPr>
                              <w:jc w:val="center"/>
                            </w:pPr>
                            <w:r>
                              <w:t xml:space="preserve">(n= </w:t>
                            </w:r>
                            <w:r w:rsidR="00FA4392">
                              <w:t>4452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9EB3C" id="Rectangle 1" o:spid="_x0000_s1027" style="position:absolute;left:0;text-align:left;margin-left:97.2pt;margin-top:20.8pt;width:196.2pt;height:4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" fillcolor="white [3201]" strokecolor="#70ad47 [3209]" strokeweight="1pt">
                <v:textbox>
                  <w:txbxContent>
                    <w:p w14:paraId="76026886" w14:textId="63046AE3" w:rsidR="003058B9" w:rsidRDefault="003058B9" w:rsidP="003058B9">
                      <w:pPr>
                        <w:jc w:val="center"/>
                      </w:pPr>
                      <w:r>
                        <w:t>Record identified in databases</w:t>
                      </w:r>
                    </w:p>
                    <w:p w14:paraId="3B857DE7" w14:textId="777D9C9A" w:rsidR="003058B9" w:rsidRDefault="003058B9" w:rsidP="003058B9">
                      <w:pPr>
                        <w:jc w:val="center"/>
                      </w:pPr>
                      <w:r>
                        <w:t xml:space="preserve">(n= </w:t>
                      </w:r>
                      <w:r w:rsidR="00FA4392">
                        <w:t>4452</w:t>
                      </w:r>
                      <w:r>
                        <w:t>)</w:t>
                      </w:r>
                    </w:p>
                  </w:txbxContent>
                </v:textbox>
              </v:rect>
            </w:pict>
          </mc:Fallback>
        </mc:AlternateContent>
      </w:r>
    </w:p>
    <w:p w14:paraId="25E43E37" w14:textId="2BD80BE6" w:rsidR="00692E03" w:rsidRDefault="0093126C" w:rsidP="00A86845">
      <w:pPr>
        <w:spacing w:line="480" w:lineRule="auto"/>
        <w:rPr>
          <w:rFonts w:ascii="Times New Roman" w:hAnsi="Times New Roman" w:cs="Times New Roman"/>
          <w:color w:val="242021"/>
        </w:rPr>
      </w:pPr>
      <w:r>
        <w:rPr>
          <w:rFonts w:ascii="Times New Roman" w:hAnsi="Times New Roman" w:cs="Times New Roman"/>
          <w:noProof/>
          <w:color w:val="242021"/>
          <w:sz w:val="24"/>
          <w:szCs w:val="24"/>
        </w:rPr>
        <mc:AlternateContent>
          <mc:Choice Requires="wps">
            <w:drawing>
              <wp:anchor distT="0" distB="0" distL="114300" distR="114300" simplePos="0" relativeHeight="251682816" behindDoc="0" locked="0" layoutInCell="1" allowOverlap="1" wp14:anchorId="56EC00A2" wp14:editId="6CABD152">
                <wp:simplePos x="0" y="0"/>
                <wp:positionH relativeFrom="column">
                  <wp:posOffset>3708142</wp:posOffset>
                </wp:positionH>
                <wp:positionV relativeFrom="paragraph">
                  <wp:posOffset>55740</wp:posOffset>
                </wp:positionV>
                <wp:extent cx="398694" cy="60497"/>
                <wp:effectExtent l="38100" t="19050" r="20955" b="92075"/>
                <wp:wrapNone/>
                <wp:docPr id="17" name="Straight Arrow Connector 17"/>
                <wp:cNvGraphicFramePr/>
                <a:graphic xmlns:a="http://schemas.openxmlformats.org/drawingml/2006/main">
                  <a:graphicData uri="http://schemas.microsoft.com/office/word/2010/wordprocessingShape">
                    <wps:wsp>
                      <wps:cNvCnPr/>
                      <wps:spPr>
                        <a:xfrm flipH="1">
                          <a:off x="0" y="0"/>
                          <a:ext cx="398694" cy="604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487588" id="_x0000_t32" coordsize="21600,21600" o:spt="32" o:oned="t" path="m,l21600,21600e" filled="f">
                <v:path arrowok="t" fillok="f" o:connecttype="none"/>
                <o:lock v:ext="edit" shapetype="t"/>
              </v:shapetype>
              <v:shape id="Straight Arrow Connector 17" o:spid="_x0000_s1026" type="#_x0000_t32" style="position:absolute;margin-left:292pt;margin-top:4.4pt;width:31.4pt;height:4.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" strokecolor="black [3200]" strokeweight=".5pt">
                <v:stroke endarrow="block" joinstyle="miter"/>
              </v:shape>
            </w:pict>
          </mc:Fallback>
        </mc:AlternateContent>
      </w:r>
    </w:p>
    <w:p w14:paraId="16C75823" w14:textId="0250C4EC" w:rsidR="000D3F2B" w:rsidRPr="000D3F2B" w:rsidRDefault="00F818A0" w:rsidP="000D3F2B">
      <w:pPr>
        <w:rPr>
          <w:rFonts w:ascii="Times New Roman" w:hAnsi="Times New Roman" w:cs="Times New Roman"/>
        </w:rPr>
      </w:pPr>
      <w:r>
        <w:rPr>
          <w:rFonts w:ascii="Times New Roman" w:hAnsi="Times New Roman" w:cs="Times New Roman"/>
          <w:noProof/>
          <w:color w:val="242021"/>
          <w:sz w:val="24"/>
          <w:szCs w:val="24"/>
        </w:rPr>
        <mc:AlternateContent>
          <mc:Choice Requires="wps">
            <w:drawing>
              <wp:anchor distT="0" distB="0" distL="114300" distR="114300" simplePos="0" relativeHeight="251670528" behindDoc="0" locked="0" layoutInCell="1" allowOverlap="1" wp14:anchorId="71491A7D" wp14:editId="78D9A00E">
                <wp:simplePos x="0" y="0"/>
                <wp:positionH relativeFrom="column">
                  <wp:posOffset>2468880</wp:posOffset>
                </wp:positionH>
                <wp:positionV relativeFrom="paragraph">
                  <wp:posOffset>6350</wp:posOffset>
                </wp:positionV>
                <wp:extent cx="7620" cy="190500"/>
                <wp:effectExtent l="76200" t="0" r="68580" b="57150"/>
                <wp:wrapNone/>
                <wp:docPr id="10" name="Straight Arrow Connector 10"/>
                <wp:cNvGraphicFramePr/>
                <a:graphic xmlns:a="http://schemas.openxmlformats.org/drawingml/2006/main">
                  <a:graphicData uri="http://schemas.microsoft.com/office/word/2010/wordprocessingShape">
                    <wps:wsp>
                      <wps:cNvCnPr/>
                      <wps:spPr>
                        <a:xfrm>
                          <a:off x="0" y="0"/>
                          <a:ext cx="762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D224CB" id="Straight Arrow Connector 10" o:spid="_x0000_s1026" type="#_x0000_t32" style="position:absolute;margin-left:194.4pt;margin-top:.5pt;width:.6pt;height: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" strokecolor="black [3200]" strokeweight=".5pt">
                <v:stroke endarrow="block" joinstyle="miter"/>
              </v:shape>
            </w:pict>
          </mc:Fallback>
        </mc:AlternateContent>
      </w:r>
      <w:r w:rsidR="003058B9">
        <w:rPr>
          <w:rFonts w:ascii="Times New Roman" w:hAnsi="Times New Roman" w:cs="Times New Roman"/>
          <w:noProof/>
          <w:color w:val="242021"/>
          <w:sz w:val="24"/>
          <w:szCs w:val="24"/>
        </w:rPr>
        <mc:AlternateContent>
          <mc:Choice Requires="wps">
            <w:drawing>
              <wp:anchor distT="0" distB="0" distL="114300" distR="114300" simplePos="0" relativeHeight="251667456" behindDoc="0" locked="0" layoutInCell="1" allowOverlap="1" wp14:anchorId="4A20BD95" wp14:editId="4CE54840">
                <wp:simplePos x="0" y="0"/>
                <wp:positionH relativeFrom="margin">
                  <wp:posOffset>4084320</wp:posOffset>
                </wp:positionH>
                <wp:positionV relativeFrom="paragraph">
                  <wp:posOffset>173990</wp:posOffset>
                </wp:positionV>
                <wp:extent cx="2171700" cy="563880"/>
                <wp:effectExtent l="0" t="0" r="19050" b="26670"/>
                <wp:wrapNone/>
                <wp:docPr id="6" name="Rectangle 6"/>
                <wp:cNvGraphicFramePr/>
                <a:graphic xmlns:a="http://schemas.openxmlformats.org/drawingml/2006/main">
                  <a:graphicData uri="http://schemas.microsoft.com/office/word/2010/wordprocessingShape">
                    <wps:wsp>
                      <wps:cNvSpPr/>
                      <wps:spPr>
                        <a:xfrm>
                          <a:off x="0" y="0"/>
                          <a:ext cx="2171700" cy="5638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73A749" w14:textId="2E7A2003" w:rsidR="003D69FD" w:rsidRDefault="003D69FD" w:rsidP="003D69FD">
                            <w:pPr>
                              <w:jc w:val="center"/>
                            </w:pPr>
                            <w:r>
                              <w:t>Titles/abstracts excluded</w:t>
                            </w:r>
                          </w:p>
                          <w:p w14:paraId="1E2AD99A" w14:textId="50824695" w:rsidR="003D69FD" w:rsidRDefault="003D69FD" w:rsidP="003D69FD">
                            <w:pPr>
                              <w:jc w:val="center"/>
                            </w:pPr>
                            <w:r>
                              <w:t>(n</w:t>
                            </w:r>
                            <w:r w:rsidR="00FA4392">
                              <w:t>= 3</w:t>
                            </w:r>
                            <w:r w:rsidR="00D27238">
                              <w:t>75</w:t>
                            </w:r>
                            <w:r w:rsidR="006D3BE8">
                              <w:t>0</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0BD95" id="Rectangle 6" o:spid="_x0000_s1028" style="position:absolute;margin-left:321.6pt;margin-top:13.7pt;width:171pt;height:44.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" fillcolor="white [3201]" strokecolor="#70ad47 [3209]" strokeweight="1pt">
                <v:textbox>
                  <w:txbxContent>
                    <w:p w14:paraId="0173A749" w14:textId="2E7A2003" w:rsidR="003D69FD" w:rsidRDefault="003D69FD" w:rsidP="003D69FD">
                      <w:pPr>
                        <w:jc w:val="center"/>
                      </w:pPr>
                      <w:r>
                        <w:t>Titles/abstracts excluded</w:t>
                      </w:r>
                    </w:p>
                    <w:p w14:paraId="1E2AD99A" w14:textId="50824695" w:rsidR="003D69FD" w:rsidRDefault="003D69FD" w:rsidP="003D69FD">
                      <w:pPr>
                        <w:jc w:val="center"/>
                      </w:pPr>
                      <w:r>
                        <w:t>(n</w:t>
                      </w:r>
                      <w:r w:rsidR="00FA4392">
                        <w:t>= 3</w:t>
                      </w:r>
                      <w:r w:rsidR="00D27238">
                        <w:t>75</w:t>
                      </w:r>
                      <w:r w:rsidR="006D3BE8">
                        <w:t>0</w:t>
                      </w:r>
                      <w:r>
                        <w:t>)</w:t>
                      </w:r>
                    </w:p>
                  </w:txbxContent>
                </v:textbox>
                <w10:wrap anchorx="margin"/>
              </v:rect>
            </w:pict>
          </mc:Fallback>
        </mc:AlternateContent>
      </w:r>
      <w:r w:rsidR="003058B9">
        <w:rPr>
          <w:rFonts w:ascii="Times New Roman" w:hAnsi="Times New Roman" w:cs="Times New Roman"/>
          <w:noProof/>
          <w:color w:val="242021"/>
          <w:sz w:val="24"/>
          <w:szCs w:val="24"/>
        </w:rPr>
        <mc:AlternateContent>
          <mc:Choice Requires="wps">
            <w:drawing>
              <wp:anchor distT="0" distB="0" distL="114300" distR="114300" simplePos="0" relativeHeight="251661312" behindDoc="0" locked="0" layoutInCell="1" allowOverlap="1" wp14:anchorId="291201EF" wp14:editId="014A313A">
                <wp:simplePos x="0" y="0"/>
                <wp:positionH relativeFrom="margin">
                  <wp:posOffset>1287780</wp:posOffset>
                </wp:positionH>
                <wp:positionV relativeFrom="paragraph">
                  <wp:posOffset>196850</wp:posOffset>
                </wp:positionV>
                <wp:extent cx="2476500" cy="579120"/>
                <wp:effectExtent l="0" t="0" r="19050" b="11430"/>
                <wp:wrapNone/>
                <wp:docPr id="3" name="Rectangle 3"/>
                <wp:cNvGraphicFramePr/>
                <a:graphic xmlns:a="http://schemas.openxmlformats.org/drawingml/2006/main">
                  <a:graphicData uri="http://schemas.microsoft.com/office/word/2010/wordprocessingShape">
                    <wps:wsp>
                      <wps:cNvSpPr/>
                      <wps:spPr>
                        <a:xfrm>
                          <a:off x="0" y="0"/>
                          <a:ext cx="2476500" cy="5791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4F331F" w14:textId="6E3BE33F" w:rsidR="003058B9" w:rsidRDefault="003058B9" w:rsidP="003058B9">
                            <w:pPr>
                              <w:jc w:val="center"/>
                            </w:pPr>
                            <w:r>
                              <w:t xml:space="preserve">Record </w:t>
                            </w:r>
                            <w:r>
                              <w:t>after duplicates removed</w:t>
                            </w:r>
                          </w:p>
                          <w:p w14:paraId="7768F6D0" w14:textId="47467C3E" w:rsidR="003058B9" w:rsidRDefault="003058B9" w:rsidP="003058B9">
                            <w:pPr>
                              <w:jc w:val="center"/>
                            </w:pPr>
                            <w:r>
                              <w:t xml:space="preserve">(n= </w:t>
                            </w:r>
                            <w:r w:rsidR="00FA4392">
                              <w:t>3794</w:t>
                            </w:r>
                            <w:r>
                              <w:t>)</w:t>
                            </w:r>
                          </w:p>
                          <w:p w14:paraId="3B929425" w14:textId="77777777" w:rsidR="003058B9" w:rsidRDefault="003058B9" w:rsidP="003058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201EF" id="Rectangle 3" o:spid="_x0000_s1029" style="position:absolute;margin-left:101.4pt;margin-top:15.5pt;width:195pt;height:45.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" fillcolor="white [3201]" strokecolor="#70ad47 [3209]" strokeweight="1pt">
                <v:textbox>
                  <w:txbxContent>
                    <w:p w14:paraId="164F331F" w14:textId="6E3BE33F" w:rsidR="003058B9" w:rsidRDefault="003058B9" w:rsidP="003058B9">
                      <w:pPr>
                        <w:jc w:val="center"/>
                      </w:pPr>
                      <w:r>
                        <w:t xml:space="preserve">Record </w:t>
                      </w:r>
                      <w:r>
                        <w:t>after duplicates removed</w:t>
                      </w:r>
                    </w:p>
                    <w:p w14:paraId="7768F6D0" w14:textId="47467C3E" w:rsidR="003058B9" w:rsidRDefault="003058B9" w:rsidP="003058B9">
                      <w:pPr>
                        <w:jc w:val="center"/>
                      </w:pPr>
                      <w:r>
                        <w:t xml:space="preserve">(n= </w:t>
                      </w:r>
                      <w:r w:rsidR="00FA4392">
                        <w:t>3794</w:t>
                      </w:r>
                      <w:r>
                        <w:t>)</w:t>
                      </w:r>
                    </w:p>
                    <w:p w14:paraId="3B929425" w14:textId="77777777" w:rsidR="003058B9" w:rsidRDefault="003058B9" w:rsidP="003058B9">
                      <w:pPr>
                        <w:jc w:val="center"/>
                      </w:pPr>
                    </w:p>
                  </w:txbxContent>
                </v:textbox>
                <w10:wrap anchorx="margin"/>
              </v:rect>
            </w:pict>
          </mc:Fallback>
        </mc:AlternateContent>
      </w:r>
    </w:p>
    <w:p w14:paraId="52A4D897" w14:textId="3880BCBB" w:rsidR="000D3F2B" w:rsidRPr="000D3F2B" w:rsidRDefault="00F818A0" w:rsidP="000D3F2B">
      <w:pPr>
        <w:rPr>
          <w:rFonts w:ascii="Times New Roman" w:hAnsi="Times New Roman" w:cs="Times New Roman"/>
        </w:rPr>
      </w:pPr>
      <w:r>
        <w:rPr>
          <w:rFonts w:ascii="Times New Roman" w:hAnsi="Times New Roman" w:cs="Times New Roman"/>
          <w:noProof/>
          <w:color w:val="242021"/>
          <w:sz w:val="24"/>
          <w:szCs w:val="24"/>
        </w:rPr>
        <mc:AlternateContent>
          <mc:Choice Requires="wps">
            <w:drawing>
              <wp:anchor distT="0" distB="0" distL="114300" distR="114300" simplePos="0" relativeHeight="251678720" behindDoc="0" locked="0" layoutInCell="1" allowOverlap="1" wp14:anchorId="303290D6" wp14:editId="199F8B65">
                <wp:simplePos x="0" y="0"/>
                <wp:positionH relativeFrom="column">
                  <wp:posOffset>3787140</wp:posOffset>
                </wp:positionH>
                <wp:positionV relativeFrom="paragraph">
                  <wp:posOffset>161924</wp:posOffset>
                </wp:positionV>
                <wp:extent cx="365760" cy="45719"/>
                <wp:effectExtent l="0" t="57150" r="15240" b="50165"/>
                <wp:wrapNone/>
                <wp:docPr id="14" name="Straight Arrow Connector 14"/>
                <wp:cNvGraphicFramePr/>
                <a:graphic xmlns:a="http://schemas.openxmlformats.org/drawingml/2006/main">
                  <a:graphicData uri="http://schemas.microsoft.com/office/word/2010/wordprocessingShape">
                    <wps:wsp>
                      <wps:cNvCnPr/>
                      <wps:spPr>
                        <a:xfrm flipV="1">
                          <a:off x="0" y="0"/>
                          <a:ext cx="3657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C2716D" id="Straight Arrow Connector 14" o:spid="_x0000_s1026" type="#_x0000_t32" style="position:absolute;margin-left:298.2pt;margin-top:12.75pt;width:28.8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" strokecolor="black [3200]" strokeweight=".5pt">
                <v:stroke endarrow="block" joinstyle="miter"/>
              </v:shape>
            </w:pict>
          </mc:Fallback>
        </mc:AlternateContent>
      </w:r>
    </w:p>
    <w:p w14:paraId="7BCCD428" w14:textId="7B7FCDC9" w:rsidR="000D3F2B" w:rsidRDefault="000D3F2B" w:rsidP="000D3F2B">
      <w:pPr>
        <w:tabs>
          <w:tab w:val="left" w:pos="1570"/>
        </w:tabs>
        <w:rPr>
          <w:rFonts w:ascii="Times New Roman" w:hAnsi="Times New Roman" w:cs="Times New Roman"/>
          <w:color w:val="242021"/>
        </w:rPr>
      </w:pPr>
      <w:r>
        <w:rPr>
          <w:rFonts w:ascii="Times New Roman" w:hAnsi="Times New Roman" w:cs="Times New Roman"/>
          <w:color w:val="242021"/>
        </w:rPr>
        <w:tab/>
      </w:r>
    </w:p>
    <w:p w14:paraId="687E6AF5" w14:textId="7D818A27" w:rsidR="000D3F2B" w:rsidRDefault="00F818A0" w:rsidP="000D3F2B">
      <w:pPr>
        <w:tabs>
          <w:tab w:val="left" w:pos="1570"/>
        </w:tabs>
        <w:rPr>
          <w:rFonts w:ascii="Times New Roman" w:hAnsi="Times New Roman" w:cs="Times New Roman"/>
          <w:color w:val="242021"/>
        </w:rPr>
      </w:pPr>
      <w:r>
        <w:rPr>
          <w:rFonts w:ascii="Times New Roman" w:hAnsi="Times New Roman" w:cs="Times New Roman"/>
          <w:noProof/>
          <w:color w:val="242021"/>
          <w:sz w:val="24"/>
          <w:szCs w:val="24"/>
        </w:rPr>
        <mc:AlternateContent>
          <mc:Choice Requires="wps">
            <w:drawing>
              <wp:anchor distT="0" distB="0" distL="114300" distR="114300" simplePos="0" relativeHeight="251672576" behindDoc="0" locked="0" layoutInCell="1" allowOverlap="1" wp14:anchorId="480F191A" wp14:editId="6138F938">
                <wp:simplePos x="0" y="0"/>
                <wp:positionH relativeFrom="column">
                  <wp:posOffset>2522220</wp:posOffset>
                </wp:positionH>
                <wp:positionV relativeFrom="paragraph">
                  <wp:posOffset>4445</wp:posOffset>
                </wp:positionV>
                <wp:extent cx="7620" cy="190500"/>
                <wp:effectExtent l="76200" t="0" r="68580" b="57150"/>
                <wp:wrapNone/>
                <wp:docPr id="11" name="Straight Arrow Connector 11"/>
                <wp:cNvGraphicFramePr/>
                <a:graphic xmlns:a="http://schemas.openxmlformats.org/drawingml/2006/main">
                  <a:graphicData uri="http://schemas.microsoft.com/office/word/2010/wordprocessingShape">
                    <wps:wsp>
                      <wps:cNvCnPr/>
                      <wps:spPr>
                        <a:xfrm>
                          <a:off x="0" y="0"/>
                          <a:ext cx="762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958D87" id="Straight Arrow Connector 11" o:spid="_x0000_s1026" type="#_x0000_t32" style="position:absolute;margin-left:198.6pt;margin-top:.35pt;width:.6pt;height: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" strokecolor="black [3200]" strokeweight=".5pt">
                <v:stroke endarrow="block" joinstyle="miter"/>
              </v:shape>
            </w:pict>
          </mc:Fallback>
        </mc:AlternateContent>
      </w:r>
    </w:p>
    <w:p w14:paraId="1483E342" w14:textId="5937BF21" w:rsidR="00AD4742" w:rsidRDefault="00F818A0" w:rsidP="000D3F2B">
      <w:pPr>
        <w:tabs>
          <w:tab w:val="left" w:pos="1570"/>
        </w:tabs>
        <w:rPr>
          <w:rFonts w:ascii="Times New Roman" w:hAnsi="Times New Roman" w:cs="Times New Roman"/>
          <w:color w:val="242021"/>
        </w:rPr>
      </w:pPr>
      <w:r>
        <w:rPr>
          <w:rFonts w:ascii="Times New Roman" w:hAnsi="Times New Roman" w:cs="Times New Roman"/>
          <w:noProof/>
          <w:color w:val="242021"/>
          <w:sz w:val="24"/>
          <w:szCs w:val="24"/>
        </w:rPr>
        <mc:AlternateContent>
          <mc:Choice Requires="wps">
            <w:drawing>
              <wp:anchor distT="0" distB="0" distL="114300" distR="114300" simplePos="0" relativeHeight="251676672" behindDoc="0" locked="0" layoutInCell="1" allowOverlap="1" wp14:anchorId="60F410F9" wp14:editId="4E897D07">
                <wp:simplePos x="0" y="0"/>
                <wp:positionH relativeFrom="column">
                  <wp:posOffset>3794760</wp:posOffset>
                </wp:positionH>
                <wp:positionV relativeFrom="paragraph">
                  <wp:posOffset>266065</wp:posOffset>
                </wp:positionV>
                <wp:extent cx="403860" cy="45719"/>
                <wp:effectExtent l="0" t="57150" r="15240" b="50165"/>
                <wp:wrapNone/>
                <wp:docPr id="13" name="Straight Arrow Connector 13"/>
                <wp:cNvGraphicFramePr/>
                <a:graphic xmlns:a="http://schemas.openxmlformats.org/drawingml/2006/main">
                  <a:graphicData uri="http://schemas.microsoft.com/office/word/2010/wordprocessingShape">
                    <wps:wsp>
                      <wps:cNvCnPr/>
                      <wps:spPr>
                        <a:xfrm flipV="1">
                          <a:off x="0" y="0"/>
                          <a:ext cx="4038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B89EB8" id="Straight Arrow Connector 13" o:spid="_x0000_s1026" type="#_x0000_t32" style="position:absolute;margin-left:298.8pt;margin-top:20.95pt;width:31.8pt;height:3.6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" strokecolor="black [3200]" strokeweight=".5pt">
                <v:stroke endarrow="block" joinstyle="miter"/>
              </v:shape>
            </w:pict>
          </mc:Fallback>
        </mc:AlternateContent>
      </w:r>
      <w:r w:rsidR="000B231F">
        <w:rPr>
          <w:rFonts w:ascii="Times New Roman" w:hAnsi="Times New Roman" w:cs="Times New Roman"/>
          <w:noProof/>
          <w:color w:val="242021"/>
          <w:sz w:val="24"/>
          <w:szCs w:val="24"/>
        </w:rPr>
        <mc:AlternateContent>
          <mc:Choice Requires="wps">
            <w:drawing>
              <wp:anchor distT="0" distB="0" distL="114300" distR="114300" simplePos="0" relativeHeight="251669504" behindDoc="0" locked="0" layoutInCell="1" allowOverlap="1" wp14:anchorId="429A7B71" wp14:editId="4F10288E">
                <wp:simplePos x="0" y="0"/>
                <wp:positionH relativeFrom="margin">
                  <wp:posOffset>4191000</wp:posOffset>
                </wp:positionH>
                <wp:positionV relativeFrom="paragraph">
                  <wp:posOffset>3810</wp:posOffset>
                </wp:positionV>
                <wp:extent cx="2148840" cy="777240"/>
                <wp:effectExtent l="0" t="0" r="22860" b="22860"/>
                <wp:wrapNone/>
                <wp:docPr id="9" name="Rectangle 9"/>
                <wp:cNvGraphicFramePr/>
                <a:graphic xmlns:a="http://schemas.openxmlformats.org/drawingml/2006/main">
                  <a:graphicData uri="http://schemas.microsoft.com/office/word/2010/wordprocessingShape">
                    <wps:wsp>
                      <wps:cNvSpPr/>
                      <wps:spPr>
                        <a:xfrm>
                          <a:off x="0" y="0"/>
                          <a:ext cx="2148840" cy="777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9B45BF" w14:textId="00FE2FC4" w:rsidR="000B231F" w:rsidRDefault="000B231F" w:rsidP="000B231F">
                            <w:pPr>
                              <w:jc w:val="center"/>
                            </w:pPr>
                            <w:r>
                              <w:t>Studies excluded during</w:t>
                            </w:r>
                            <w:r>
                              <w:t xml:space="preserve"> quality assessment</w:t>
                            </w:r>
                            <w:r>
                              <w:t xml:space="preserve"> </w:t>
                            </w:r>
                          </w:p>
                          <w:p w14:paraId="6DCFFCEF" w14:textId="1463E457" w:rsidR="000B231F" w:rsidRDefault="000B231F" w:rsidP="000B231F">
                            <w:pPr>
                              <w:jc w:val="center"/>
                            </w:pPr>
                            <w:r>
                              <w:t xml:space="preserve">(n= </w:t>
                            </w:r>
                            <w:r w:rsidR="00D27238">
                              <w:t>2</w:t>
                            </w:r>
                            <w:r w:rsidR="006D3BE8">
                              <w:t>4</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A7B71" id="Rectangle 9" o:spid="_x0000_s1030" style="position:absolute;margin-left:330pt;margin-top:.3pt;width:169.2pt;height:61.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" fillcolor="white [3201]" strokecolor="#70ad47 [3209]" strokeweight="1pt">
                <v:textbox>
                  <w:txbxContent>
                    <w:p w14:paraId="759B45BF" w14:textId="00FE2FC4" w:rsidR="000B231F" w:rsidRDefault="000B231F" w:rsidP="000B231F">
                      <w:pPr>
                        <w:jc w:val="center"/>
                      </w:pPr>
                      <w:r>
                        <w:t>Studies excluded during</w:t>
                      </w:r>
                      <w:r>
                        <w:t xml:space="preserve"> quality assessment</w:t>
                      </w:r>
                      <w:r>
                        <w:t xml:space="preserve"> </w:t>
                      </w:r>
                    </w:p>
                    <w:p w14:paraId="6DCFFCEF" w14:textId="1463E457" w:rsidR="000B231F" w:rsidRDefault="000B231F" w:rsidP="000B231F">
                      <w:pPr>
                        <w:jc w:val="center"/>
                      </w:pPr>
                      <w:r>
                        <w:t xml:space="preserve">(n= </w:t>
                      </w:r>
                      <w:r w:rsidR="00D27238">
                        <w:t>2</w:t>
                      </w:r>
                      <w:r w:rsidR="006D3BE8">
                        <w:t>4</w:t>
                      </w:r>
                      <w:r>
                        <w:t>)</w:t>
                      </w:r>
                    </w:p>
                  </w:txbxContent>
                </v:textbox>
                <w10:wrap anchorx="margin"/>
              </v:rect>
            </w:pict>
          </mc:Fallback>
        </mc:AlternateContent>
      </w:r>
      <w:r w:rsidR="003058B9">
        <w:rPr>
          <w:rFonts w:ascii="Times New Roman" w:hAnsi="Times New Roman" w:cs="Times New Roman"/>
          <w:noProof/>
          <w:color w:val="242021"/>
          <w:sz w:val="24"/>
          <w:szCs w:val="24"/>
        </w:rPr>
        <mc:AlternateContent>
          <mc:Choice Requires="wps">
            <w:drawing>
              <wp:anchor distT="0" distB="0" distL="114300" distR="114300" simplePos="0" relativeHeight="251663360" behindDoc="0" locked="0" layoutInCell="1" allowOverlap="1" wp14:anchorId="0F641630" wp14:editId="24FF4794">
                <wp:simplePos x="0" y="0"/>
                <wp:positionH relativeFrom="margin">
                  <wp:posOffset>1348740</wp:posOffset>
                </wp:positionH>
                <wp:positionV relativeFrom="paragraph">
                  <wp:posOffset>19050</wp:posOffset>
                </wp:positionV>
                <wp:extent cx="2430780" cy="571500"/>
                <wp:effectExtent l="0" t="0" r="26670" b="19050"/>
                <wp:wrapNone/>
                <wp:docPr id="4" name="Rectangle 4"/>
                <wp:cNvGraphicFramePr/>
                <a:graphic xmlns:a="http://schemas.openxmlformats.org/drawingml/2006/main">
                  <a:graphicData uri="http://schemas.microsoft.com/office/word/2010/wordprocessingShape">
                    <wps:wsp>
                      <wps:cNvSpPr/>
                      <wps:spPr>
                        <a:xfrm>
                          <a:off x="0" y="0"/>
                          <a:ext cx="243078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9BB86F" w14:textId="74F2B9A8" w:rsidR="00BC50C2" w:rsidRDefault="00BC50C2" w:rsidP="00BC50C2">
                            <w:pPr>
                              <w:jc w:val="center"/>
                            </w:pPr>
                            <w:r>
                              <w:t>Records after initial screening</w:t>
                            </w:r>
                          </w:p>
                          <w:p w14:paraId="1EC94CF5" w14:textId="504D62DC" w:rsidR="00BC50C2" w:rsidRDefault="00BC50C2" w:rsidP="00BC50C2">
                            <w:pPr>
                              <w:jc w:val="center"/>
                            </w:pPr>
                            <w:r>
                              <w:t xml:space="preserve">(n= </w:t>
                            </w:r>
                            <w:r w:rsidR="00D27238">
                              <w:t>4</w:t>
                            </w:r>
                            <w:r w:rsidR="006D3BE8">
                              <w:t>4</w:t>
                            </w:r>
                            <w:r w:rsidR="00FA439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41630" id="Rectangle 4" o:spid="_x0000_s1031" style="position:absolute;margin-left:106.2pt;margin-top:1.5pt;width:191.4pt;height: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" fillcolor="white [3201]" strokecolor="#70ad47 [3209]" strokeweight="1pt">
                <v:textbox>
                  <w:txbxContent>
                    <w:p w14:paraId="449BB86F" w14:textId="74F2B9A8" w:rsidR="00BC50C2" w:rsidRDefault="00BC50C2" w:rsidP="00BC50C2">
                      <w:pPr>
                        <w:jc w:val="center"/>
                      </w:pPr>
                      <w:r>
                        <w:t>Records after initial screening</w:t>
                      </w:r>
                    </w:p>
                    <w:p w14:paraId="1EC94CF5" w14:textId="504D62DC" w:rsidR="00BC50C2" w:rsidRDefault="00BC50C2" w:rsidP="00BC50C2">
                      <w:pPr>
                        <w:jc w:val="center"/>
                      </w:pPr>
                      <w:r>
                        <w:t xml:space="preserve">(n= </w:t>
                      </w:r>
                      <w:r w:rsidR="00D27238">
                        <w:t>4</w:t>
                      </w:r>
                      <w:r w:rsidR="006D3BE8">
                        <w:t>4</w:t>
                      </w:r>
                      <w:r w:rsidR="00FA4392">
                        <w:t>)</w:t>
                      </w:r>
                    </w:p>
                  </w:txbxContent>
                </v:textbox>
                <w10:wrap anchorx="margin"/>
              </v:rect>
            </w:pict>
          </mc:Fallback>
        </mc:AlternateContent>
      </w:r>
    </w:p>
    <w:p w14:paraId="27877FC9" w14:textId="25CA33F3" w:rsidR="00AD4742" w:rsidRDefault="00AD4742" w:rsidP="000D3F2B">
      <w:pPr>
        <w:tabs>
          <w:tab w:val="left" w:pos="1570"/>
        </w:tabs>
        <w:rPr>
          <w:rFonts w:ascii="Times New Roman" w:hAnsi="Times New Roman" w:cs="Times New Roman"/>
          <w:color w:val="242021"/>
        </w:rPr>
      </w:pPr>
    </w:p>
    <w:p w14:paraId="286FF5C4" w14:textId="69ED0EE4" w:rsidR="00AD4742" w:rsidRDefault="00F818A0" w:rsidP="000D3F2B">
      <w:pPr>
        <w:tabs>
          <w:tab w:val="left" w:pos="1570"/>
        </w:tabs>
        <w:rPr>
          <w:rFonts w:ascii="Times New Roman" w:hAnsi="Times New Roman" w:cs="Times New Roman"/>
          <w:color w:val="242021"/>
        </w:rPr>
      </w:pPr>
      <w:r>
        <w:rPr>
          <w:rFonts w:ascii="Times New Roman" w:hAnsi="Times New Roman" w:cs="Times New Roman"/>
          <w:noProof/>
          <w:color w:val="242021"/>
          <w:sz w:val="24"/>
          <w:szCs w:val="24"/>
        </w:rPr>
        <mc:AlternateContent>
          <mc:Choice Requires="wps">
            <w:drawing>
              <wp:anchor distT="0" distB="0" distL="114300" distR="114300" simplePos="0" relativeHeight="251674624" behindDoc="0" locked="0" layoutInCell="1" allowOverlap="1" wp14:anchorId="5A122171" wp14:editId="4AAAB155">
                <wp:simplePos x="0" y="0"/>
                <wp:positionH relativeFrom="column">
                  <wp:posOffset>2506980</wp:posOffset>
                </wp:positionH>
                <wp:positionV relativeFrom="paragraph">
                  <wp:posOffset>132080</wp:posOffset>
                </wp:positionV>
                <wp:extent cx="7620" cy="190500"/>
                <wp:effectExtent l="76200" t="0" r="68580" b="57150"/>
                <wp:wrapNone/>
                <wp:docPr id="12" name="Straight Arrow Connector 12"/>
                <wp:cNvGraphicFramePr/>
                <a:graphic xmlns:a="http://schemas.openxmlformats.org/drawingml/2006/main">
                  <a:graphicData uri="http://schemas.microsoft.com/office/word/2010/wordprocessingShape">
                    <wps:wsp>
                      <wps:cNvCnPr/>
                      <wps:spPr>
                        <a:xfrm>
                          <a:off x="0" y="0"/>
                          <a:ext cx="762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D11B30" id="Straight Arrow Connector 12" o:spid="_x0000_s1026" type="#_x0000_t32" style="position:absolute;margin-left:197.4pt;margin-top:10.4pt;width:.6pt;height: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" strokecolor="black [3200]" strokeweight=".5pt">
                <v:stroke endarrow="block" joinstyle="miter"/>
              </v:shape>
            </w:pict>
          </mc:Fallback>
        </mc:AlternateContent>
      </w:r>
    </w:p>
    <w:p w14:paraId="6F7B76FC" w14:textId="76CCFC51" w:rsidR="00AD4742" w:rsidRDefault="003058B9" w:rsidP="000D3F2B">
      <w:pPr>
        <w:tabs>
          <w:tab w:val="left" w:pos="1570"/>
        </w:tabs>
        <w:rPr>
          <w:rFonts w:ascii="Times New Roman" w:hAnsi="Times New Roman" w:cs="Times New Roman"/>
          <w:color w:val="242021"/>
        </w:rPr>
      </w:pPr>
      <w:r>
        <w:rPr>
          <w:rFonts w:ascii="Times New Roman" w:hAnsi="Times New Roman" w:cs="Times New Roman"/>
          <w:noProof/>
          <w:color w:val="242021"/>
          <w:sz w:val="24"/>
          <w:szCs w:val="24"/>
        </w:rPr>
        <mc:AlternateContent>
          <mc:Choice Requires="wps">
            <w:drawing>
              <wp:anchor distT="0" distB="0" distL="114300" distR="114300" simplePos="0" relativeHeight="251665408" behindDoc="0" locked="0" layoutInCell="1" allowOverlap="1" wp14:anchorId="7B577744" wp14:editId="6A960F70">
                <wp:simplePos x="0" y="0"/>
                <wp:positionH relativeFrom="margin">
                  <wp:posOffset>1440180</wp:posOffset>
                </wp:positionH>
                <wp:positionV relativeFrom="paragraph">
                  <wp:posOffset>192405</wp:posOffset>
                </wp:positionV>
                <wp:extent cx="2484120" cy="800100"/>
                <wp:effectExtent l="0" t="0" r="11430" b="19050"/>
                <wp:wrapNone/>
                <wp:docPr id="5" name="Rectangle 5"/>
                <wp:cNvGraphicFramePr/>
                <a:graphic xmlns:a="http://schemas.openxmlformats.org/drawingml/2006/main">
                  <a:graphicData uri="http://schemas.microsoft.com/office/word/2010/wordprocessingShape">
                    <wps:wsp>
                      <wps:cNvSpPr/>
                      <wps:spPr>
                        <a:xfrm>
                          <a:off x="0" y="0"/>
                          <a:ext cx="248412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15DB6E" w14:textId="5D2C480D" w:rsidR="0048695E" w:rsidRDefault="0048695E" w:rsidP="0048695E">
                            <w:pPr>
                              <w:jc w:val="center"/>
                            </w:pPr>
                            <w:r>
                              <w:t xml:space="preserve">Studies included </w:t>
                            </w:r>
                            <w:r w:rsidR="000B231F">
                              <w:t xml:space="preserve">in review </w:t>
                            </w:r>
                          </w:p>
                          <w:p w14:paraId="3341A199" w14:textId="3FA84848" w:rsidR="0048695E" w:rsidRDefault="0048695E" w:rsidP="0048695E">
                            <w:pPr>
                              <w:jc w:val="center"/>
                            </w:pPr>
                            <w:r>
                              <w:t>(n</w:t>
                            </w:r>
                            <w:r w:rsidR="00FA4392">
                              <w:t>= 20</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77744" id="Rectangle 5" o:spid="_x0000_s1032" style="position:absolute;margin-left:113.4pt;margin-top:15.15pt;width:195.6pt;height:6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" fillcolor="white [3201]" strokecolor="#70ad47 [3209]" strokeweight="1pt">
                <v:textbox>
                  <w:txbxContent>
                    <w:p w14:paraId="5B15DB6E" w14:textId="5D2C480D" w:rsidR="0048695E" w:rsidRDefault="0048695E" w:rsidP="0048695E">
                      <w:pPr>
                        <w:jc w:val="center"/>
                      </w:pPr>
                      <w:r>
                        <w:t xml:space="preserve">Studies included </w:t>
                      </w:r>
                      <w:r w:rsidR="000B231F">
                        <w:t xml:space="preserve">in review </w:t>
                      </w:r>
                    </w:p>
                    <w:p w14:paraId="3341A199" w14:textId="3FA84848" w:rsidR="0048695E" w:rsidRDefault="0048695E" w:rsidP="0048695E">
                      <w:pPr>
                        <w:jc w:val="center"/>
                      </w:pPr>
                      <w:r>
                        <w:t>(n</w:t>
                      </w:r>
                      <w:r w:rsidR="00FA4392">
                        <w:t>= 20</w:t>
                      </w:r>
                      <w:r>
                        <w:t>)</w:t>
                      </w:r>
                    </w:p>
                  </w:txbxContent>
                </v:textbox>
                <w10:wrap anchorx="margin"/>
              </v:rect>
            </w:pict>
          </mc:Fallback>
        </mc:AlternateContent>
      </w:r>
    </w:p>
    <w:p w14:paraId="3DE7B115" w14:textId="5ECD0461" w:rsidR="00AD4742" w:rsidRDefault="00AD4742" w:rsidP="000D3F2B">
      <w:pPr>
        <w:tabs>
          <w:tab w:val="left" w:pos="1570"/>
        </w:tabs>
        <w:rPr>
          <w:rFonts w:ascii="Times New Roman" w:hAnsi="Times New Roman" w:cs="Times New Roman"/>
          <w:color w:val="242021"/>
        </w:rPr>
      </w:pPr>
    </w:p>
    <w:p w14:paraId="62704BD5" w14:textId="1C8D9386" w:rsidR="00F818A0" w:rsidRDefault="00F818A0" w:rsidP="000D3F2B">
      <w:pPr>
        <w:tabs>
          <w:tab w:val="left" w:pos="1570"/>
        </w:tabs>
        <w:rPr>
          <w:rFonts w:ascii="Times New Roman" w:hAnsi="Times New Roman" w:cs="Times New Roman"/>
          <w:color w:val="242021"/>
        </w:rPr>
      </w:pPr>
    </w:p>
    <w:p w14:paraId="7E61499A" w14:textId="77777777" w:rsidR="00E2221B" w:rsidRDefault="00E2221B" w:rsidP="000D3F2B">
      <w:pPr>
        <w:tabs>
          <w:tab w:val="left" w:pos="1570"/>
        </w:tabs>
        <w:rPr>
          <w:rFonts w:ascii="Times New Roman" w:hAnsi="Times New Roman" w:cs="Times New Roman"/>
          <w:color w:val="242021"/>
        </w:rPr>
      </w:pPr>
    </w:p>
    <w:p w14:paraId="483B88A2" w14:textId="79FDEF22" w:rsidR="00A0163D" w:rsidRDefault="00A0163D" w:rsidP="000D3F2B">
      <w:pPr>
        <w:tabs>
          <w:tab w:val="left" w:pos="1570"/>
        </w:tabs>
        <w:rPr>
          <w:rFonts w:ascii="Times New Roman" w:hAnsi="Times New Roman" w:cs="Times New Roman"/>
          <w:color w:val="242021"/>
        </w:rPr>
      </w:pPr>
    </w:p>
    <w:p w14:paraId="1DCBE304" w14:textId="31D0C714" w:rsidR="003944F0" w:rsidRDefault="003944F0" w:rsidP="000D3F2B">
      <w:pPr>
        <w:tabs>
          <w:tab w:val="left" w:pos="1570"/>
        </w:tabs>
        <w:rPr>
          <w:rFonts w:ascii="Times New Roman" w:hAnsi="Times New Roman" w:cs="Times New Roman"/>
          <w:color w:val="242021"/>
        </w:rPr>
      </w:pPr>
    </w:p>
    <w:p w14:paraId="31720DB4" w14:textId="7F847825" w:rsidR="003944F0" w:rsidRDefault="003944F0" w:rsidP="000D3F2B">
      <w:pPr>
        <w:tabs>
          <w:tab w:val="left" w:pos="1570"/>
        </w:tabs>
        <w:rPr>
          <w:rFonts w:ascii="Times New Roman" w:hAnsi="Times New Roman" w:cs="Times New Roman"/>
          <w:color w:val="242021"/>
        </w:rPr>
      </w:pPr>
    </w:p>
    <w:p w14:paraId="180227C4" w14:textId="25BC5BA7" w:rsidR="003944F0" w:rsidRDefault="003944F0" w:rsidP="000D3F2B">
      <w:pPr>
        <w:tabs>
          <w:tab w:val="left" w:pos="1570"/>
        </w:tabs>
        <w:rPr>
          <w:rFonts w:ascii="Times New Roman" w:hAnsi="Times New Roman" w:cs="Times New Roman"/>
          <w:color w:val="242021"/>
        </w:rPr>
      </w:pPr>
    </w:p>
    <w:p w14:paraId="4614DA27" w14:textId="2901E4C2" w:rsidR="003944F0" w:rsidRDefault="003944F0" w:rsidP="000D3F2B">
      <w:pPr>
        <w:tabs>
          <w:tab w:val="left" w:pos="1570"/>
        </w:tabs>
        <w:rPr>
          <w:rFonts w:ascii="Times New Roman" w:hAnsi="Times New Roman" w:cs="Times New Roman"/>
          <w:color w:val="242021"/>
        </w:rPr>
      </w:pPr>
    </w:p>
    <w:p w14:paraId="48B1B11B" w14:textId="63E42F59" w:rsidR="003944F0" w:rsidRDefault="003944F0" w:rsidP="000D3F2B">
      <w:pPr>
        <w:tabs>
          <w:tab w:val="left" w:pos="1570"/>
        </w:tabs>
        <w:rPr>
          <w:rFonts w:ascii="Times New Roman" w:hAnsi="Times New Roman" w:cs="Times New Roman"/>
          <w:color w:val="242021"/>
        </w:rPr>
      </w:pPr>
    </w:p>
    <w:p w14:paraId="43F961AB" w14:textId="5124AC05" w:rsidR="003944F0" w:rsidRDefault="003944F0" w:rsidP="000D3F2B">
      <w:pPr>
        <w:tabs>
          <w:tab w:val="left" w:pos="1570"/>
        </w:tabs>
        <w:rPr>
          <w:rFonts w:ascii="Times New Roman" w:hAnsi="Times New Roman" w:cs="Times New Roman"/>
          <w:color w:val="242021"/>
        </w:rPr>
      </w:pPr>
    </w:p>
    <w:p w14:paraId="06E81FED" w14:textId="121D6DFD" w:rsidR="003944F0" w:rsidRDefault="003944F0" w:rsidP="000D3F2B">
      <w:pPr>
        <w:tabs>
          <w:tab w:val="left" w:pos="1570"/>
        </w:tabs>
        <w:rPr>
          <w:rFonts w:ascii="Times New Roman" w:hAnsi="Times New Roman" w:cs="Times New Roman"/>
          <w:color w:val="242021"/>
        </w:rPr>
      </w:pPr>
    </w:p>
    <w:p w14:paraId="0E1140CE" w14:textId="46EFD3A9" w:rsidR="003944F0" w:rsidRDefault="003944F0" w:rsidP="000D3F2B">
      <w:pPr>
        <w:tabs>
          <w:tab w:val="left" w:pos="1570"/>
        </w:tabs>
        <w:rPr>
          <w:rFonts w:ascii="Times New Roman" w:hAnsi="Times New Roman" w:cs="Times New Roman"/>
          <w:color w:val="242021"/>
        </w:rPr>
      </w:pPr>
    </w:p>
    <w:p w14:paraId="491787E0" w14:textId="77777777" w:rsidR="00F818A0" w:rsidRDefault="00F818A0" w:rsidP="000D3F2B">
      <w:pPr>
        <w:tabs>
          <w:tab w:val="left" w:pos="1570"/>
        </w:tabs>
        <w:rPr>
          <w:rFonts w:ascii="Times New Roman" w:hAnsi="Times New Roman" w:cs="Times New Roman"/>
          <w:color w:val="242021"/>
        </w:rPr>
      </w:pPr>
    </w:p>
    <w:p w14:paraId="511C8B95" w14:textId="25DE35EA" w:rsidR="000D3F2B" w:rsidRPr="00E642CA" w:rsidRDefault="00395341" w:rsidP="003F40B0">
      <w:pPr>
        <w:pStyle w:val="ListParagraph"/>
        <w:numPr>
          <w:ilvl w:val="0"/>
          <w:numId w:val="3"/>
        </w:numPr>
        <w:tabs>
          <w:tab w:val="left" w:pos="1570"/>
        </w:tabs>
        <w:rPr>
          <w:rFonts w:ascii="Times New Roman" w:hAnsi="Times New Roman" w:cs="Times New Roman"/>
          <w:b/>
          <w:bCs/>
        </w:rPr>
      </w:pPr>
      <w:r w:rsidRPr="00E642CA">
        <w:rPr>
          <w:rFonts w:ascii="Times New Roman" w:hAnsi="Times New Roman" w:cs="Times New Roman"/>
          <w:b/>
          <w:bCs/>
        </w:rPr>
        <w:t xml:space="preserve">Table 1. </w:t>
      </w:r>
      <w:r w:rsidR="000D3F2B" w:rsidRPr="00E642CA">
        <w:rPr>
          <w:rFonts w:ascii="Times New Roman" w:hAnsi="Times New Roman" w:cs="Times New Roman"/>
          <w:b/>
          <w:bCs/>
        </w:rPr>
        <w:t>Search Strategy</w:t>
      </w:r>
    </w:p>
    <w:tbl>
      <w:tblPr>
        <w:tblStyle w:val="TableGrid"/>
        <w:tblW w:w="0" w:type="auto"/>
        <w:tblInd w:w="720" w:type="dxa"/>
        <w:tblLook w:val="04A0" w:firstRow="1" w:lastRow="0" w:firstColumn="1" w:lastColumn="0" w:noHBand="0" w:noVBand="1"/>
      </w:tblPr>
      <w:tblGrid>
        <w:gridCol w:w="895"/>
        <w:gridCol w:w="7735"/>
      </w:tblGrid>
      <w:tr w:rsidR="00987663" w:rsidRPr="00E642CA" w14:paraId="56B2FF86" w14:textId="77777777" w:rsidTr="00987663">
        <w:tc>
          <w:tcPr>
            <w:tcW w:w="895" w:type="dxa"/>
          </w:tcPr>
          <w:p w14:paraId="32BE55BC" w14:textId="77777777" w:rsidR="00987663" w:rsidRPr="00E642CA" w:rsidRDefault="00987663" w:rsidP="0090063C">
            <w:pPr>
              <w:pStyle w:val="ListParagraph"/>
              <w:tabs>
                <w:tab w:val="left" w:pos="1570"/>
              </w:tabs>
              <w:ind w:left="0"/>
              <w:rPr>
                <w:rFonts w:ascii="Times New Roman" w:hAnsi="Times New Roman" w:cs="Times New Roman"/>
                <w:b/>
                <w:bCs/>
                <w:sz w:val="24"/>
                <w:szCs w:val="24"/>
              </w:rPr>
            </w:pPr>
          </w:p>
        </w:tc>
        <w:tc>
          <w:tcPr>
            <w:tcW w:w="7735" w:type="dxa"/>
          </w:tcPr>
          <w:p w14:paraId="4AEBE4BD" w14:textId="7C32BC4F" w:rsidR="00987663" w:rsidRPr="00E642CA" w:rsidRDefault="00196335" w:rsidP="0090063C">
            <w:pPr>
              <w:pStyle w:val="ListParagraph"/>
              <w:tabs>
                <w:tab w:val="left" w:pos="1570"/>
              </w:tabs>
              <w:ind w:left="0"/>
              <w:rPr>
                <w:rFonts w:ascii="Times New Roman" w:hAnsi="Times New Roman" w:cs="Times New Roman"/>
                <w:b/>
                <w:bCs/>
                <w:sz w:val="24"/>
                <w:szCs w:val="24"/>
              </w:rPr>
            </w:pPr>
            <w:r w:rsidRPr="00E642CA">
              <w:rPr>
                <w:rFonts w:ascii="Times New Roman" w:hAnsi="Times New Roman" w:cs="Times New Roman"/>
                <w:b/>
                <w:bCs/>
                <w:sz w:val="24"/>
                <w:szCs w:val="24"/>
              </w:rPr>
              <w:t>MeSH and search items</w:t>
            </w:r>
          </w:p>
        </w:tc>
      </w:tr>
      <w:tr w:rsidR="00987663" w:rsidRPr="00AF24C6" w14:paraId="1EB02B77" w14:textId="77777777" w:rsidTr="00987663">
        <w:tc>
          <w:tcPr>
            <w:tcW w:w="895" w:type="dxa"/>
          </w:tcPr>
          <w:p w14:paraId="2C01A1DB" w14:textId="6EA3E57B" w:rsidR="00987663" w:rsidRPr="00AF24C6" w:rsidRDefault="00987663" w:rsidP="0090063C">
            <w:pPr>
              <w:pStyle w:val="ListParagraph"/>
              <w:tabs>
                <w:tab w:val="left" w:pos="1570"/>
              </w:tabs>
              <w:ind w:left="0"/>
              <w:rPr>
                <w:rFonts w:ascii="Times New Roman" w:hAnsi="Times New Roman" w:cs="Times New Roman"/>
                <w:sz w:val="24"/>
                <w:szCs w:val="24"/>
              </w:rPr>
            </w:pPr>
            <w:r w:rsidRPr="00AF24C6">
              <w:rPr>
                <w:rFonts w:ascii="Times New Roman" w:hAnsi="Times New Roman" w:cs="Times New Roman"/>
                <w:sz w:val="24"/>
                <w:szCs w:val="24"/>
              </w:rPr>
              <w:t>1</w:t>
            </w:r>
          </w:p>
        </w:tc>
        <w:tc>
          <w:tcPr>
            <w:tcW w:w="7735" w:type="dxa"/>
          </w:tcPr>
          <w:p w14:paraId="55AB10CB" w14:textId="75514766" w:rsidR="00987663" w:rsidRPr="00AF24C6" w:rsidRDefault="008E6FD8" w:rsidP="0090063C">
            <w:pPr>
              <w:pStyle w:val="ListParagraph"/>
              <w:tabs>
                <w:tab w:val="left" w:pos="1570"/>
              </w:tabs>
              <w:ind w:left="0"/>
              <w:rPr>
                <w:rFonts w:ascii="Times New Roman" w:hAnsi="Times New Roman" w:cs="Times New Roman"/>
                <w:sz w:val="24"/>
                <w:szCs w:val="24"/>
              </w:rPr>
            </w:pPr>
            <w:r w:rsidRPr="00AF24C6">
              <w:rPr>
                <w:rFonts w:ascii="Times New Roman" w:hAnsi="Times New Roman" w:cs="Times New Roman"/>
                <w:color w:val="2D2D2D"/>
                <w:sz w:val="24"/>
                <w:szCs w:val="24"/>
                <w:shd w:val="clear" w:color="auto" w:fill="F8F8F8"/>
              </w:rPr>
              <w:t>exp Developing Countries/</w:t>
            </w:r>
          </w:p>
        </w:tc>
      </w:tr>
      <w:tr w:rsidR="00987663" w:rsidRPr="00AF24C6" w14:paraId="162852BE" w14:textId="77777777" w:rsidTr="00987663">
        <w:tc>
          <w:tcPr>
            <w:tcW w:w="895" w:type="dxa"/>
          </w:tcPr>
          <w:p w14:paraId="67804766" w14:textId="20A796BF" w:rsidR="00987663" w:rsidRPr="00AF24C6" w:rsidRDefault="00987663" w:rsidP="0090063C">
            <w:pPr>
              <w:pStyle w:val="ListParagraph"/>
              <w:tabs>
                <w:tab w:val="left" w:pos="1570"/>
              </w:tabs>
              <w:ind w:left="0"/>
              <w:rPr>
                <w:rFonts w:ascii="Times New Roman" w:hAnsi="Times New Roman" w:cs="Times New Roman"/>
                <w:sz w:val="24"/>
                <w:szCs w:val="24"/>
              </w:rPr>
            </w:pPr>
            <w:r w:rsidRPr="00AF24C6">
              <w:rPr>
                <w:rFonts w:ascii="Times New Roman" w:hAnsi="Times New Roman" w:cs="Times New Roman"/>
                <w:sz w:val="24"/>
                <w:szCs w:val="24"/>
              </w:rPr>
              <w:t>2</w:t>
            </w:r>
          </w:p>
        </w:tc>
        <w:tc>
          <w:tcPr>
            <w:tcW w:w="7735" w:type="dxa"/>
          </w:tcPr>
          <w:p w14:paraId="3F4005B9" w14:textId="346ACCFB" w:rsidR="00987663" w:rsidRPr="00AF24C6" w:rsidRDefault="008E6FD8" w:rsidP="0090063C">
            <w:pPr>
              <w:pStyle w:val="ListParagraph"/>
              <w:tabs>
                <w:tab w:val="left" w:pos="1570"/>
              </w:tabs>
              <w:ind w:left="0"/>
              <w:rPr>
                <w:rFonts w:ascii="Times New Roman" w:hAnsi="Times New Roman" w:cs="Times New Roman"/>
                <w:sz w:val="24"/>
                <w:szCs w:val="24"/>
              </w:rPr>
            </w:pPr>
            <w:r w:rsidRPr="00AF24C6">
              <w:rPr>
                <w:rFonts w:ascii="Times New Roman" w:hAnsi="Times New Roman" w:cs="Times New Roman"/>
                <w:color w:val="2D2D2D"/>
                <w:sz w:val="24"/>
                <w:szCs w:val="24"/>
                <w:shd w:val="clear" w:color="auto" w:fill="FFFFFF"/>
              </w:rPr>
              <w:t>exp Cost-Benefit Analysis/ec [Economics]</w:t>
            </w:r>
          </w:p>
        </w:tc>
      </w:tr>
      <w:tr w:rsidR="00987663" w:rsidRPr="00AF24C6" w14:paraId="5F2830FE" w14:textId="77777777" w:rsidTr="00987663">
        <w:tc>
          <w:tcPr>
            <w:tcW w:w="895" w:type="dxa"/>
          </w:tcPr>
          <w:p w14:paraId="23FAEFE8" w14:textId="11AD3F29" w:rsidR="00987663" w:rsidRPr="00AF24C6" w:rsidRDefault="00987663" w:rsidP="0090063C">
            <w:pPr>
              <w:pStyle w:val="ListParagraph"/>
              <w:tabs>
                <w:tab w:val="left" w:pos="1570"/>
              </w:tabs>
              <w:ind w:left="0"/>
              <w:rPr>
                <w:rFonts w:ascii="Times New Roman" w:hAnsi="Times New Roman" w:cs="Times New Roman"/>
                <w:sz w:val="24"/>
                <w:szCs w:val="24"/>
              </w:rPr>
            </w:pPr>
            <w:r w:rsidRPr="00AF24C6">
              <w:rPr>
                <w:rFonts w:ascii="Times New Roman" w:hAnsi="Times New Roman" w:cs="Times New Roman"/>
                <w:sz w:val="24"/>
                <w:szCs w:val="24"/>
              </w:rPr>
              <w:t>3</w:t>
            </w:r>
          </w:p>
        </w:tc>
        <w:tc>
          <w:tcPr>
            <w:tcW w:w="7735" w:type="dxa"/>
          </w:tcPr>
          <w:p w14:paraId="6CD2698D" w14:textId="1C91DFC1" w:rsidR="00987663" w:rsidRPr="00AF24C6" w:rsidRDefault="008E6FD8" w:rsidP="0090063C">
            <w:pPr>
              <w:pStyle w:val="ListParagraph"/>
              <w:tabs>
                <w:tab w:val="left" w:pos="1570"/>
              </w:tabs>
              <w:ind w:left="0"/>
              <w:rPr>
                <w:rFonts w:ascii="Times New Roman" w:hAnsi="Times New Roman" w:cs="Times New Roman"/>
                <w:sz w:val="24"/>
                <w:szCs w:val="24"/>
              </w:rPr>
            </w:pPr>
            <w:r w:rsidRPr="00AF24C6">
              <w:rPr>
                <w:rFonts w:ascii="Times New Roman" w:hAnsi="Times New Roman" w:cs="Times New Roman"/>
                <w:color w:val="2D2D2D"/>
                <w:sz w:val="24"/>
                <w:szCs w:val="24"/>
                <w:shd w:val="clear" w:color="auto" w:fill="F8F8F8"/>
              </w:rPr>
              <w:t>extended cost-effectiveness*.tw,kf.</w:t>
            </w:r>
          </w:p>
        </w:tc>
      </w:tr>
      <w:tr w:rsidR="00987663" w:rsidRPr="00AF24C6" w14:paraId="0FD793A2" w14:textId="77777777" w:rsidTr="00987663">
        <w:tc>
          <w:tcPr>
            <w:tcW w:w="895" w:type="dxa"/>
          </w:tcPr>
          <w:p w14:paraId="23EC7A55" w14:textId="3E5CB082" w:rsidR="00987663" w:rsidRPr="00AF24C6" w:rsidRDefault="00987663" w:rsidP="0090063C">
            <w:pPr>
              <w:pStyle w:val="ListParagraph"/>
              <w:tabs>
                <w:tab w:val="left" w:pos="1570"/>
              </w:tabs>
              <w:ind w:left="0"/>
              <w:rPr>
                <w:rFonts w:ascii="Times New Roman" w:hAnsi="Times New Roman" w:cs="Times New Roman"/>
                <w:sz w:val="24"/>
                <w:szCs w:val="24"/>
              </w:rPr>
            </w:pPr>
            <w:r w:rsidRPr="00AF24C6">
              <w:rPr>
                <w:rFonts w:ascii="Times New Roman" w:hAnsi="Times New Roman" w:cs="Times New Roman"/>
                <w:sz w:val="24"/>
                <w:szCs w:val="24"/>
              </w:rPr>
              <w:t>4</w:t>
            </w:r>
          </w:p>
        </w:tc>
        <w:tc>
          <w:tcPr>
            <w:tcW w:w="7735" w:type="dxa"/>
          </w:tcPr>
          <w:p w14:paraId="421DE499" w14:textId="2F9E5BAD" w:rsidR="00987663" w:rsidRPr="00AF24C6" w:rsidRDefault="008E6FD8" w:rsidP="0090063C">
            <w:pPr>
              <w:pStyle w:val="ListParagraph"/>
              <w:tabs>
                <w:tab w:val="left" w:pos="1570"/>
              </w:tabs>
              <w:ind w:left="0"/>
              <w:rPr>
                <w:rFonts w:ascii="Times New Roman" w:hAnsi="Times New Roman" w:cs="Times New Roman"/>
                <w:sz w:val="24"/>
                <w:szCs w:val="24"/>
              </w:rPr>
            </w:pPr>
            <w:r w:rsidRPr="00AF24C6">
              <w:rPr>
                <w:rFonts w:ascii="Times New Roman" w:hAnsi="Times New Roman" w:cs="Times New Roman"/>
                <w:color w:val="2D2D2D"/>
                <w:sz w:val="24"/>
                <w:szCs w:val="24"/>
                <w:shd w:val="clear" w:color="auto" w:fill="FFFFFF"/>
              </w:rPr>
              <w:t>distributional cost-effectiveness*.tw,kf.</w:t>
            </w:r>
          </w:p>
        </w:tc>
      </w:tr>
      <w:tr w:rsidR="00987663" w:rsidRPr="00AF24C6" w14:paraId="69D30F9F" w14:textId="77777777" w:rsidTr="00987663">
        <w:tc>
          <w:tcPr>
            <w:tcW w:w="895" w:type="dxa"/>
          </w:tcPr>
          <w:p w14:paraId="5C475D5B" w14:textId="04EC2FF1" w:rsidR="00987663" w:rsidRPr="00AF24C6" w:rsidRDefault="00987663" w:rsidP="0090063C">
            <w:pPr>
              <w:pStyle w:val="ListParagraph"/>
              <w:tabs>
                <w:tab w:val="left" w:pos="1570"/>
              </w:tabs>
              <w:ind w:left="0"/>
              <w:rPr>
                <w:rFonts w:ascii="Times New Roman" w:hAnsi="Times New Roman" w:cs="Times New Roman"/>
                <w:sz w:val="24"/>
                <w:szCs w:val="24"/>
              </w:rPr>
            </w:pPr>
            <w:r w:rsidRPr="00AF24C6">
              <w:rPr>
                <w:rFonts w:ascii="Times New Roman" w:hAnsi="Times New Roman" w:cs="Times New Roman"/>
                <w:sz w:val="24"/>
                <w:szCs w:val="24"/>
              </w:rPr>
              <w:t>5</w:t>
            </w:r>
          </w:p>
        </w:tc>
        <w:tc>
          <w:tcPr>
            <w:tcW w:w="7735" w:type="dxa"/>
          </w:tcPr>
          <w:p w14:paraId="38D54C0B" w14:textId="4C1FD1F0" w:rsidR="00987663" w:rsidRPr="00AF24C6" w:rsidRDefault="008E6FD8" w:rsidP="0090063C">
            <w:pPr>
              <w:pStyle w:val="ListParagraph"/>
              <w:tabs>
                <w:tab w:val="left" w:pos="1570"/>
              </w:tabs>
              <w:ind w:left="0"/>
              <w:rPr>
                <w:rFonts w:ascii="Times New Roman" w:hAnsi="Times New Roman" w:cs="Times New Roman"/>
                <w:sz w:val="24"/>
                <w:szCs w:val="24"/>
              </w:rPr>
            </w:pPr>
            <w:r w:rsidRPr="00AF24C6">
              <w:rPr>
                <w:rFonts w:ascii="Times New Roman" w:hAnsi="Times New Roman" w:cs="Times New Roman"/>
                <w:color w:val="2D2D2D"/>
                <w:sz w:val="24"/>
                <w:szCs w:val="24"/>
                <w:shd w:val="clear" w:color="auto" w:fill="F8F8F8"/>
              </w:rPr>
              <w:t>3 or 4</w:t>
            </w:r>
          </w:p>
        </w:tc>
      </w:tr>
      <w:tr w:rsidR="00987663" w:rsidRPr="00AF24C6" w14:paraId="34D6E5BB" w14:textId="77777777" w:rsidTr="00987663">
        <w:tc>
          <w:tcPr>
            <w:tcW w:w="895" w:type="dxa"/>
          </w:tcPr>
          <w:p w14:paraId="610B277E" w14:textId="73F7D351" w:rsidR="00987663" w:rsidRPr="00AF24C6" w:rsidRDefault="00987663" w:rsidP="0090063C">
            <w:pPr>
              <w:pStyle w:val="ListParagraph"/>
              <w:tabs>
                <w:tab w:val="left" w:pos="1570"/>
              </w:tabs>
              <w:ind w:left="0"/>
              <w:rPr>
                <w:rFonts w:ascii="Times New Roman" w:hAnsi="Times New Roman" w:cs="Times New Roman"/>
                <w:sz w:val="24"/>
                <w:szCs w:val="24"/>
              </w:rPr>
            </w:pPr>
            <w:r w:rsidRPr="00AF24C6">
              <w:rPr>
                <w:rFonts w:ascii="Times New Roman" w:hAnsi="Times New Roman" w:cs="Times New Roman"/>
                <w:sz w:val="24"/>
                <w:szCs w:val="24"/>
              </w:rPr>
              <w:t>6</w:t>
            </w:r>
          </w:p>
        </w:tc>
        <w:tc>
          <w:tcPr>
            <w:tcW w:w="7735" w:type="dxa"/>
          </w:tcPr>
          <w:p w14:paraId="03F6F9B9" w14:textId="4B1E30A2" w:rsidR="00987663" w:rsidRPr="00AF24C6" w:rsidRDefault="008E6FD8" w:rsidP="008E6FD8">
            <w:pPr>
              <w:tabs>
                <w:tab w:val="left" w:pos="1570"/>
              </w:tabs>
              <w:rPr>
                <w:rFonts w:ascii="Times New Roman" w:hAnsi="Times New Roman" w:cs="Times New Roman"/>
                <w:sz w:val="24"/>
                <w:szCs w:val="24"/>
              </w:rPr>
            </w:pPr>
            <w:r w:rsidRPr="00AF24C6">
              <w:rPr>
                <w:rStyle w:val="searchhistory-search-term"/>
                <w:rFonts w:ascii="Times New Roman" w:hAnsi="Times New Roman" w:cs="Times New Roman"/>
                <w:color w:val="2D2D2D"/>
                <w:sz w:val="24"/>
                <w:szCs w:val="24"/>
                <w:shd w:val="clear" w:color="auto" w:fill="FFFFFF"/>
              </w:rPr>
              <w:t>1 and 2</w:t>
            </w:r>
          </w:p>
        </w:tc>
      </w:tr>
      <w:tr w:rsidR="00987663" w:rsidRPr="00AF24C6" w14:paraId="4209D491" w14:textId="77777777" w:rsidTr="00987663">
        <w:tc>
          <w:tcPr>
            <w:tcW w:w="895" w:type="dxa"/>
          </w:tcPr>
          <w:p w14:paraId="1678CAAE" w14:textId="0572AF0F" w:rsidR="00987663" w:rsidRPr="00AF24C6" w:rsidRDefault="00987663" w:rsidP="0090063C">
            <w:pPr>
              <w:pStyle w:val="ListParagraph"/>
              <w:tabs>
                <w:tab w:val="left" w:pos="1570"/>
              </w:tabs>
              <w:ind w:left="0"/>
              <w:rPr>
                <w:rFonts w:ascii="Times New Roman" w:hAnsi="Times New Roman" w:cs="Times New Roman"/>
                <w:sz w:val="24"/>
                <w:szCs w:val="24"/>
              </w:rPr>
            </w:pPr>
            <w:r w:rsidRPr="00AF24C6">
              <w:rPr>
                <w:rFonts w:ascii="Times New Roman" w:hAnsi="Times New Roman" w:cs="Times New Roman"/>
                <w:sz w:val="24"/>
                <w:szCs w:val="24"/>
              </w:rPr>
              <w:t>7</w:t>
            </w:r>
          </w:p>
        </w:tc>
        <w:tc>
          <w:tcPr>
            <w:tcW w:w="7735" w:type="dxa"/>
          </w:tcPr>
          <w:p w14:paraId="33042B9C" w14:textId="42562032" w:rsidR="00987663" w:rsidRPr="00AF24C6" w:rsidRDefault="00C11AA9" w:rsidP="0090063C">
            <w:pPr>
              <w:pStyle w:val="ListParagraph"/>
              <w:tabs>
                <w:tab w:val="left" w:pos="1570"/>
              </w:tabs>
              <w:ind w:left="0"/>
              <w:rPr>
                <w:rFonts w:ascii="Times New Roman" w:hAnsi="Times New Roman" w:cs="Times New Roman"/>
                <w:sz w:val="24"/>
                <w:szCs w:val="24"/>
              </w:rPr>
            </w:pPr>
            <w:r w:rsidRPr="00AF24C6">
              <w:rPr>
                <w:rFonts w:ascii="Times New Roman" w:hAnsi="Times New Roman" w:cs="Times New Roman"/>
                <w:color w:val="2D2D2D"/>
                <w:sz w:val="24"/>
                <w:szCs w:val="24"/>
                <w:shd w:val="clear" w:color="auto" w:fill="F8F8F8"/>
              </w:rPr>
              <w:t>5 or 6</w:t>
            </w:r>
          </w:p>
        </w:tc>
      </w:tr>
      <w:tr w:rsidR="00987663" w:rsidRPr="00AF24C6" w14:paraId="639925C6" w14:textId="77777777" w:rsidTr="00987663">
        <w:tc>
          <w:tcPr>
            <w:tcW w:w="895" w:type="dxa"/>
          </w:tcPr>
          <w:p w14:paraId="0E2C90CD" w14:textId="1BB283D4" w:rsidR="00987663" w:rsidRPr="00AF24C6" w:rsidRDefault="00987663" w:rsidP="0090063C">
            <w:pPr>
              <w:pStyle w:val="ListParagraph"/>
              <w:tabs>
                <w:tab w:val="left" w:pos="1570"/>
              </w:tabs>
              <w:ind w:left="0"/>
              <w:rPr>
                <w:rFonts w:ascii="Times New Roman" w:hAnsi="Times New Roman" w:cs="Times New Roman"/>
                <w:sz w:val="24"/>
                <w:szCs w:val="24"/>
              </w:rPr>
            </w:pPr>
            <w:r w:rsidRPr="00AF24C6">
              <w:rPr>
                <w:rFonts w:ascii="Times New Roman" w:hAnsi="Times New Roman" w:cs="Times New Roman"/>
                <w:sz w:val="24"/>
                <w:szCs w:val="24"/>
              </w:rPr>
              <w:t>8</w:t>
            </w:r>
          </w:p>
        </w:tc>
        <w:tc>
          <w:tcPr>
            <w:tcW w:w="7735" w:type="dxa"/>
          </w:tcPr>
          <w:p w14:paraId="5EBBBEF2" w14:textId="68312283" w:rsidR="00987663" w:rsidRPr="00AF24C6" w:rsidRDefault="00C11AA9" w:rsidP="0090063C">
            <w:pPr>
              <w:pStyle w:val="ListParagraph"/>
              <w:tabs>
                <w:tab w:val="left" w:pos="1570"/>
              </w:tabs>
              <w:ind w:left="0"/>
              <w:rPr>
                <w:rFonts w:ascii="Times New Roman" w:hAnsi="Times New Roman" w:cs="Times New Roman"/>
                <w:sz w:val="24"/>
                <w:szCs w:val="24"/>
              </w:rPr>
            </w:pPr>
            <w:r w:rsidRPr="00AF24C6">
              <w:rPr>
                <w:rFonts w:ascii="Times New Roman" w:hAnsi="Times New Roman" w:cs="Times New Roman"/>
                <w:color w:val="2D2D2D"/>
                <w:sz w:val="24"/>
                <w:szCs w:val="24"/>
                <w:shd w:val="clear" w:color="auto" w:fill="FFFFFF"/>
              </w:rPr>
              <w:t>limit 7 to (english language and yr="2010 - 2021")</w:t>
            </w:r>
          </w:p>
        </w:tc>
      </w:tr>
      <w:tr w:rsidR="00987663" w:rsidRPr="00AF24C6" w14:paraId="49392BD8" w14:textId="77777777" w:rsidTr="00987663">
        <w:tc>
          <w:tcPr>
            <w:tcW w:w="895" w:type="dxa"/>
          </w:tcPr>
          <w:p w14:paraId="054B114C" w14:textId="2A782A64" w:rsidR="00987663" w:rsidRPr="00AF24C6" w:rsidRDefault="00987663" w:rsidP="0090063C">
            <w:pPr>
              <w:pStyle w:val="ListParagraph"/>
              <w:tabs>
                <w:tab w:val="left" w:pos="1570"/>
              </w:tabs>
              <w:ind w:left="0"/>
              <w:rPr>
                <w:rFonts w:ascii="Times New Roman" w:hAnsi="Times New Roman" w:cs="Times New Roman"/>
                <w:sz w:val="24"/>
                <w:szCs w:val="24"/>
              </w:rPr>
            </w:pPr>
            <w:r w:rsidRPr="00AF24C6">
              <w:rPr>
                <w:rFonts w:ascii="Times New Roman" w:hAnsi="Times New Roman" w:cs="Times New Roman"/>
                <w:sz w:val="24"/>
                <w:szCs w:val="24"/>
              </w:rPr>
              <w:t>9</w:t>
            </w:r>
          </w:p>
        </w:tc>
        <w:tc>
          <w:tcPr>
            <w:tcW w:w="7735" w:type="dxa"/>
          </w:tcPr>
          <w:p w14:paraId="2BE34775" w14:textId="1B23B96F" w:rsidR="00987663" w:rsidRPr="00AF24C6" w:rsidRDefault="00C11AA9" w:rsidP="0090063C">
            <w:pPr>
              <w:pStyle w:val="ListParagraph"/>
              <w:tabs>
                <w:tab w:val="left" w:pos="1570"/>
              </w:tabs>
              <w:ind w:left="0"/>
              <w:rPr>
                <w:rFonts w:ascii="Times New Roman" w:hAnsi="Times New Roman" w:cs="Times New Roman"/>
                <w:sz w:val="24"/>
                <w:szCs w:val="24"/>
              </w:rPr>
            </w:pPr>
            <w:r w:rsidRPr="00AF24C6">
              <w:rPr>
                <w:rFonts w:ascii="Times New Roman" w:hAnsi="Times New Roman" w:cs="Times New Roman"/>
                <w:color w:val="2D2D2D"/>
                <w:sz w:val="24"/>
                <w:szCs w:val="24"/>
                <w:shd w:val="clear" w:color="auto" w:fill="F8F8F8"/>
              </w:rPr>
              <w:t>exp "Costs and Cost Analysis"/</w:t>
            </w:r>
          </w:p>
        </w:tc>
      </w:tr>
      <w:tr w:rsidR="00987663" w:rsidRPr="00AF24C6" w14:paraId="2D499A44" w14:textId="77777777" w:rsidTr="00987663">
        <w:tc>
          <w:tcPr>
            <w:tcW w:w="895" w:type="dxa"/>
          </w:tcPr>
          <w:p w14:paraId="3153DD3A" w14:textId="7B493B8C" w:rsidR="00987663" w:rsidRPr="00AF24C6" w:rsidRDefault="00987663" w:rsidP="0090063C">
            <w:pPr>
              <w:pStyle w:val="ListParagraph"/>
              <w:tabs>
                <w:tab w:val="left" w:pos="1570"/>
              </w:tabs>
              <w:ind w:left="0"/>
              <w:rPr>
                <w:rFonts w:ascii="Times New Roman" w:hAnsi="Times New Roman" w:cs="Times New Roman"/>
                <w:sz w:val="24"/>
                <w:szCs w:val="24"/>
              </w:rPr>
            </w:pPr>
            <w:r w:rsidRPr="00AF24C6">
              <w:rPr>
                <w:rFonts w:ascii="Times New Roman" w:hAnsi="Times New Roman" w:cs="Times New Roman"/>
                <w:sz w:val="24"/>
                <w:szCs w:val="24"/>
              </w:rPr>
              <w:t>10</w:t>
            </w:r>
          </w:p>
        </w:tc>
        <w:tc>
          <w:tcPr>
            <w:tcW w:w="7735" w:type="dxa"/>
          </w:tcPr>
          <w:p w14:paraId="795AD927" w14:textId="75AA1AFB" w:rsidR="00987663" w:rsidRPr="00AF24C6" w:rsidRDefault="00C11AA9" w:rsidP="0090063C">
            <w:pPr>
              <w:pStyle w:val="ListParagraph"/>
              <w:tabs>
                <w:tab w:val="left" w:pos="1570"/>
              </w:tabs>
              <w:ind w:left="0"/>
              <w:rPr>
                <w:rFonts w:ascii="Times New Roman" w:hAnsi="Times New Roman" w:cs="Times New Roman"/>
                <w:sz w:val="24"/>
                <w:szCs w:val="24"/>
              </w:rPr>
            </w:pPr>
            <w:r w:rsidRPr="00AF24C6">
              <w:rPr>
                <w:rFonts w:ascii="Times New Roman" w:hAnsi="Times New Roman" w:cs="Times New Roman"/>
                <w:color w:val="2D2D2D"/>
                <w:sz w:val="24"/>
                <w:szCs w:val="24"/>
                <w:shd w:val="clear" w:color="auto" w:fill="FFFFFF"/>
              </w:rPr>
              <w:t>exp Treatment Effectiveness Evaluation/</w:t>
            </w:r>
          </w:p>
        </w:tc>
      </w:tr>
      <w:tr w:rsidR="00987663" w:rsidRPr="00AF24C6" w14:paraId="5858F2E6" w14:textId="77777777" w:rsidTr="00987663">
        <w:tc>
          <w:tcPr>
            <w:tcW w:w="895" w:type="dxa"/>
          </w:tcPr>
          <w:p w14:paraId="7BAFE829" w14:textId="64E2AC1C" w:rsidR="00987663" w:rsidRPr="00AF24C6" w:rsidRDefault="00987663" w:rsidP="0090063C">
            <w:pPr>
              <w:pStyle w:val="ListParagraph"/>
              <w:tabs>
                <w:tab w:val="left" w:pos="1570"/>
              </w:tabs>
              <w:ind w:left="0"/>
              <w:rPr>
                <w:rFonts w:ascii="Times New Roman" w:hAnsi="Times New Roman" w:cs="Times New Roman"/>
                <w:sz w:val="24"/>
                <w:szCs w:val="24"/>
              </w:rPr>
            </w:pPr>
            <w:r w:rsidRPr="00AF24C6">
              <w:rPr>
                <w:rFonts w:ascii="Times New Roman" w:hAnsi="Times New Roman" w:cs="Times New Roman"/>
                <w:sz w:val="24"/>
                <w:szCs w:val="24"/>
              </w:rPr>
              <w:t>11</w:t>
            </w:r>
          </w:p>
        </w:tc>
        <w:tc>
          <w:tcPr>
            <w:tcW w:w="7735" w:type="dxa"/>
          </w:tcPr>
          <w:p w14:paraId="266A5559" w14:textId="4CA1C84D" w:rsidR="00987663" w:rsidRPr="00AF24C6" w:rsidRDefault="00C11AA9" w:rsidP="0090063C">
            <w:pPr>
              <w:pStyle w:val="ListParagraph"/>
              <w:tabs>
                <w:tab w:val="left" w:pos="1570"/>
              </w:tabs>
              <w:ind w:left="0"/>
              <w:rPr>
                <w:rFonts w:ascii="Times New Roman" w:hAnsi="Times New Roman" w:cs="Times New Roman"/>
                <w:sz w:val="24"/>
                <w:szCs w:val="24"/>
              </w:rPr>
            </w:pPr>
            <w:r w:rsidRPr="00AF24C6">
              <w:rPr>
                <w:rFonts w:ascii="Times New Roman" w:hAnsi="Times New Roman" w:cs="Times New Roman"/>
                <w:color w:val="2D2D2D"/>
                <w:sz w:val="24"/>
                <w:szCs w:val="24"/>
                <w:shd w:val="clear" w:color="auto" w:fill="F8F8F8"/>
              </w:rPr>
              <w:t>exp developing country/</w:t>
            </w:r>
          </w:p>
        </w:tc>
      </w:tr>
      <w:tr w:rsidR="00987663" w:rsidRPr="00AF24C6" w14:paraId="282A5F8B" w14:textId="77777777" w:rsidTr="00987663">
        <w:tc>
          <w:tcPr>
            <w:tcW w:w="895" w:type="dxa"/>
          </w:tcPr>
          <w:p w14:paraId="676B4AE7" w14:textId="5AF8CCE4" w:rsidR="00987663" w:rsidRPr="00AF24C6" w:rsidRDefault="00987663" w:rsidP="0090063C">
            <w:pPr>
              <w:pStyle w:val="ListParagraph"/>
              <w:tabs>
                <w:tab w:val="left" w:pos="1570"/>
              </w:tabs>
              <w:ind w:left="0"/>
              <w:rPr>
                <w:rFonts w:ascii="Times New Roman" w:hAnsi="Times New Roman" w:cs="Times New Roman"/>
                <w:sz w:val="24"/>
                <w:szCs w:val="24"/>
              </w:rPr>
            </w:pPr>
            <w:r w:rsidRPr="00AF24C6">
              <w:rPr>
                <w:rFonts w:ascii="Times New Roman" w:hAnsi="Times New Roman" w:cs="Times New Roman"/>
                <w:sz w:val="24"/>
                <w:szCs w:val="24"/>
              </w:rPr>
              <w:t>12</w:t>
            </w:r>
          </w:p>
        </w:tc>
        <w:tc>
          <w:tcPr>
            <w:tcW w:w="7735" w:type="dxa"/>
          </w:tcPr>
          <w:p w14:paraId="1A256898" w14:textId="073AE7EB" w:rsidR="00987663" w:rsidRPr="00AF24C6" w:rsidRDefault="00C11AA9" w:rsidP="0090063C">
            <w:pPr>
              <w:pStyle w:val="ListParagraph"/>
              <w:tabs>
                <w:tab w:val="left" w:pos="1570"/>
              </w:tabs>
              <w:ind w:left="0"/>
              <w:rPr>
                <w:rFonts w:ascii="Times New Roman" w:hAnsi="Times New Roman" w:cs="Times New Roman"/>
                <w:sz w:val="24"/>
                <w:szCs w:val="24"/>
              </w:rPr>
            </w:pPr>
            <w:r w:rsidRPr="00AF24C6">
              <w:rPr>
                <w:rFonts w:ascii="Times New Roman" w:hAnsi="Times New Roman" w:cs="Times New Roman"/>
                <w:color w:val="2D2D2D"/>
                <w:sz w:val="24"/>
                <w:szCs w:val="24"/>
                <w:shd w:val="clear" w:color="auto" w:fill="FFFFFF"/>
              </w:rPr>
              <w:t>exp "cost benefit analysis"/</w:t>
            </w:r>
          </w:p>
        </w:tc>
      </w:tr>
      <w:tr w:rsidR="00987663" w:rsidRPr="00AF24C6" w14:paraId="280646F8" w14:textId="77777777" w:rsidTr="00987663">
        <w:tc>
          <w:tcPr>
            <w:tcW w:w="895" w:type="dxa"/>
          </w:tcPr>
          <w:p w14:paraId="33380143" w14:textId="3447A25C" w:rsidR="00987663" w:rsidRPr="00AF24C6" w:rsidRDefault="00987663" w:rsidP="0090063C">
            <w:pPr>
              <w:pStyle w:val="ListParagraph"/>
              <w:tabs>
                <w:tab w:val="left" w:pos="1570"/>
              </w:tabs>
              <w:ind w:left="0"/>
              <w:rPr>
                <w:rFonts w:ascii="Times New Roman" w:hAnsi="Times New Roman" w:cs="Times New Roman"/>
                <w:sz w:val="24"/>
                <w:szCs w:val="24"/>
              </w:rPr>
            </w:pPr>
            <w:r w:rsidRPr="00AF24C6">
              <w:rPr>
                <w:rFonts w:ascii="Times New Roman" w:hAnsi="Times New Roman" w:cs="Times New Roman"/>
                <w:sz w:val="24"/>
                <w:szCs w:val="24"/>
              </w:rPr>
              <w:t>13</w:t>
            </w:r>
          </w:p>
        </w:tc>
        <w:tc>
          <w:tcPr>
            <w:tcW w:w="7735" w:type="dxa"/>
          </w:tcPr>
          <w:p w14:paraId="06954860" w14:textId="5634924C" w:rsidR="00987663" w:rsidRPr="00AF24C6" w:rsidRDefault="00894AC7" w:rsidP="0090063C">
            <w:pPr>
              <w:pStyle w:val="ListParagraph"/>
              <w:tabs>
                <w:tab w:val="left" w:pos="1570"/>
              </w:tabs>
              <w:ind w:left="0"/>
              <w:rPr>
                <w:rFonts w:ascii="Times New Roman" w:hAnsi="Times New Roman" w:cs="Times New Roman"/>
                <w:sz w:val="24"/>
                <w:szCs w:val="24"/>
              </w:rPr>
            </w:pPr>
            <w:r w:rsidRPr="00AF24C6">
              <w:rPr>
                <w:rFonts w:ascii="Times New Roman" w:hAnsi="Times New Roman" w:cs="Times New Roman"/>
                <w:color w:val="2D2D2D"/>
                <w:sz w:val="24"/>
                <w:szCs w:val="24"/>
                <w:shd w:val="clear" w:color="auto" w:fill="F8F8F8"/>
              </w:rPr>
              <w:t>9 or 10 or 12</w:t>
            </w:r>
          </w:p>
        </w:tc>
      </w:tr>
      <w:tr w:rsidR="00AF24C6" w:rsidRPr="00AF24C6" w14:paraId="0A660063" w14:textId="77777777" w:rsidTr="00987663">
        <w:tc>
          <w:tcPr>
            <w:tcW w:w="895" w:type="dxa"/>
          </w:tcPr>
          <w:p w14:paraId="1C7CB6C8" w14:textId="35D6B91D" w:rsidR="00987663" w:rsidRPr="00AF24C6" w:rsidRDefault="00987663" w:rsidP="0090063C">
            <w:pPr>
              <w:pStyle w:val="ListParagraph"/>
              <w:tabs>
                <w:tab w:val="left" w:pos="1570"/>
              </w:tabs>
              <w:ind w:left="0"/>
              <w:rPr>
                <w:rFonts w:ascii="Times New Roman" w:hAnsi="Times New Roman" w:cs="Times New Roman"/>
                <w:sz w:val="24"/>
                <w:szCs w:val="24"/>
              </w:rPr>
            </w:pPr>
            <w:r w:rsidRPr="00AF24C6">
              <w:rPr>
                <w:rFonts w:ascii="Times New Roman" w:hAnsi="Times New Roman" w:cs="Times New Roman"/>
                <w:sz w:val="24"/>
                <w:szCs w:val="24"/>
              </w:rPr>
              <w:t>14</w:t>
            </w:r>
          </w:p>
        </w:tc>
        <w:tc>
          <w:tcPr>
            <w:tcW w:w="7735" w:type="dxa"/>
          </w:tcPr>
          <w:p w14:paraId="777CD0DF" w14:textId="1CD18802" w:rsidR="00987663" w:rsidRPr="00AF24C6" w:rsidRDefault="00894AC7" w:rsidP="00894AC7">
            <w:pPr>
              <w:pStyle w:val="ListParagraph"/>
              <w:tabs>
                <w:tab w:val="left" w:pos="920"/>
              </w:tabs>
              <w:ind w:left="0"/>
              <w:rPr>
                <w:rFonts w:ascii="Times New Roman" w:hAnsi="Times New Roman" w:cs="Times New Roman"/>
                <w:sz w:val="24"/>
                <w:szCs w:val="24"/>
              </w:rPr>
            </w:pPr>
            <w:r w:rsidRPr="00AF24C6">
              <w:rPr>
                <w:rFonts w:ascii="Times New Roman" w:hAnsi="Times New Roman" w:cs="Times New Roman"/>
                <w:color w:val="2D2D2D"/>
                <w:sz w:val="24"/>
                <w:szCs w:val="24"/>
                <w:shd w:val="clear" w:color="auto" w:fill="FFFFFF"/>
              </w:rPr>
              <w:t>11 and 13</w:t>
            </w:r>
          </w:p>
        </w:tc>
      </w:tr>
      <w:tr w:rsidR="00AF24C6" w:rsidRPr="00AF24C6" w14:paraId="1C33F378" w14:textId="77777777" w:rsidTr="00987663">
        <w:tc>
          <w:tcPr>
            <w:tcW w:w="895" w:type="dxa"/>
          </w:tcPr>
          <w:p w14:paraId="3C54B9AA" w14:textId="518DD890" w:rsidR="00987663" w:rsidRPr="00AF24C6" w:rsidRDefault="00987663" w:rsidP="0090063C">
            <w:pPr>
              <w:pStyle w:val="ListParagraph"/>
              <w:tabs>
                <w:tab w:val="left" w:pos="1570"/>
              </w:tabs>
              <w:ind w:left="0"/>
              <w:rPr>
                <w:rFonts w:ascii="Times New Roman" w:hAnsi="Times New Roman" w:cs="Times New Roman"/>
                <w:sz w:val="24"/>
                <w:szCs w:val="24"/>
              </w:rPr>
            </w:pPr>
            <w:r w:rsidRPr="00AF24C6">
              <w:rPr>
                <w:rFonts w:ascii="Times New Roman" w:hAnsi="Times New Roman" w:cs="Times New Roman"/>
                <w:sz w:val="24"/>
                <w:szCs w:val="24"/>
              </w:rPr>
              <w:t>15</w:t>
            </w:r>
          </w:p>
        </w:tc>
        <w:tc>
          <w:tcPr>
            <w:tcW w:w="7735" w:type="dxa"/>
          </w:tcPr>
          <w:p w14:paraId="19639410" w14:textId="5342F459" w:rsidR="00987663" w:rsidRPr="00AF24C6" w:rsidRDefault="00AF24C6" w:rsidP="00AF24C6">
            <w:pPr>
              <w:tabs>
                <w:tab w:val="left" w:pos="1570"/>
              </w:tabs>
              <w:rPr>
                <w:rFonts w:ascii="Times New Roman" w:hAnsi="Times New Roman" w:cs="Times New Roman"/>
                <w:sz w:val="24"/>
                <w:szCs w:val="24"/>
              </w:rPr>
            </w:pPr>
            <w:r w:rsidRPr="00AF24C6">
              <w:rPr>
                <w:rFonts w:ascii="Times New Roman" w:hAnsi="Times New Roman" w:cs="Times New Roman"/>
                <w:color w:val="2D2D2D"/>
                <w:sz w:val="24"/>
                <w:szCs w:val="24"/>
                <w:shd w:val="clear" w:color="auto" w:fill="F8F8F8"/>
              </w:rPr>
              <w:t>limit 14 to (english language and yr="2010 - 2021")</w:t>
            </w:r>
          </w:p>
        </w:tc>
      </w:tr>
      <w:tr w:rsidR="00AF24C6" w:rsidRPr="00AF24C6" w14:paraId="786B86D1" w14:textId="77777777" w:rsidTr="00987663">
        <w:tc>
          <w:tcPr>
            <w:tcW w:w="895" w:type="dxa"/>
          </w:tcPr>
          <w:p w14:paraId="144D1A11" w14:textId="7CD32B6C" w:rsidR="00987663" w:rsidRPr="00AF24C6" w:rsidRDefault="00987663" w:rsidP="0090063C">
            <w:pPr>
              <w:pStyle w:val="ListParagraph"/>
              <w:tabs>
                <w:tab w:val="left" w:pos="1570"/>
              </w:tabs>
              <w:ind w:left="0"/>
              <w:rPr>
                <w:rFonts w:ascii="Times New Roman" w:hAnsi="Times New Roman" w:cs="Times New Roman"/>
                <w:sz w:val="24"/>
                <w:szCs w:val="24"/>
              </w:rPr>
            </w:pPr>
            <w:r w:rsidRPr="00AF24C6">
              <w:rPr>
                <w:rFonts w:ascii="Times New Roman" w:hAnsi="Times New Roman" w:cs="Times New Roman"/>
                <w:sz w:val="24"/>
                <w:szCs w:val="24"/>
              </w:rPr>
              <w:t>16</w:t>
            </w:r>
          </w:p>
        </w:tc>
        <w:tc>
          <w:tcPr>
            <w:tcW w:w="7735" w:type="dxa"/>
          </w:tcPr>
          <w:p w14:paraId="6CEDC355" w14:textId="17FF1C26" w:rsidR="00987663" w:rsidRPr="00AF24C6" w:rsidRDefault="00AF24C6" w:rsidP="00AF24C6">
            <w:pPr>
              <w:tabs>
                <w:tab w:val="left" w:pos="1570"/>
              </w:tabs>
              <w:rPr>
                <w:rFonts w:ascii="Times New Roman" w:hAnsi="Times New Roman" w:cs="Times New Roman"/>
                <w:sz w:val="24"/>
                <w:szCs w:val="24"/>
              </w:rPr>
            </w:pPr>
            <w:r w:rsidRPr="00AF24C6">
              <w:rPr>
                <w:rFonts w:ascii="Times New Roman" w:hAnsi="Times New Roman" w:cs="Times New Roman"/>
                <w:color w:val="2D2D2D"/>
                <w:sz w:val="24"/>
                <w:szCs w:val="24"/>
                <w:shd w:val="clear" w:color="auto" w:fill="FFFFFF"/>
              </w:rPr>
              <w:t>8 or 15</w:t>
            </w:r>
          </w:p>
        </w:tc>
      </w:tr>
      <w:tr w:rsidR="00287F50" w:rsidRPr="00287F50" w14:paraId="56D8F4B0" w14:textId="77777777" w:rsidTr="00287F50">
        <w:tc>
          <w:tcPr>
            <w:tcW w:w="895" w:type="dxa"/>
            <w:shd w:val="clear" w:color="auto" w:fill="auto"/>
          </w:tcPr>
          <w:p w14:paraId="5A12C7C5" w14:textId="456045E7" w:rsidR="00987663" w:rsidRPr="00287F50" w:rsidRDefault="00987663" w:rsidP="0090063C">
            <w:pPr>
              <w:pStyle w:val="ListParagraph"/>
              <w:tabs>
                <w:tab w:val="left" w:pos="1570"/>
              </w:tabs>
              <w:ind w:left="0"/>
              <w:rPr>
                <w:rFonts w:ascii="Times New Roman" w:hAnsi="Times New Roman" w:cs="Times New Roman"/>
                <w:sz w:val="24"/>
                <w:szCs w:val="24"/>
              </w:rPr>
            </w:pPr>
            <w:r w:rsidRPr="00287F50">
              <w:rPr>
                <w:rFonts w:ascii="Times New Roman" w:hAnsi="Times New Roman" w:cs="Times New Roman"/>
                <w:sz w:val="24"/>
                <w:szCs w:val="24"/>
              </w:rPr>
              <w:t>17</w:t>
            </w:r>
          </w:p>
        </w:tc>
        <w:tc>
          <w:tcPr>
            <w:tcW w:w="7735" w:type="dxa"/>
            <w:shd w:val="clear" w:color="auto" w:fill="auto"/>
          </w:tcPr>
          <w:p w14:paraId="1D86C8FB" w14:textId="50F4CCCF" w:rsidR="00987663" w:rsidRPr="00287F50" w:rsidRDefault="00AF24C6" w:rsidP="0090063C">
            <w:pPr>
              <w:pStyle w:val="ListParagraph"/>
              <w:tabs>
                <w:tab w:val="left" w:pos="1570"/>
              </w:tabs>
              <w:ind w:left="0"/>
              <w:rPr>
                <w:rFonts w:ascii="Times New Roman" w:hAnsi="Times New Roman" w:cs="Times New Roman"/>
                <w:sz w:val="24"/>
                <w:szCs w:val="24"/>
              </w:rPr>
            </w:pPr>
            <w:r w:rsidRPr="00287F50">
              <w:rPr>
                <w:rFonts w:ascii="Times New Roman" w:hAnsi="Times New Roman" w:cs="Times New Roman"/>
                <w:sz w:val="24"/>
                <w:szCs w:val="24"/>
                <w:shd w:val="clear" w:color="auto" w:fill="DBF0FC"/>
              </w:rPr>
              <w:t>remove duplicates from 16</w:t>
            </w:r>
          </w:p>
        </w:tc>
      </w:tr>
    </w:tbl>
    <w:p w14:paraId="6804ECB2" w14:textId="0E9EDE28" w:rsidR="0090063C" w:rsidRDefault="0090063C" w:rsidP="0090063C">
      <w:pPr>
        <w:pStyle w:val="ListParagraph"/>
        <w:tabs>
          <w:tab w:val="left" w:pos="1570"/>
        </w:tabs>
        <w:rPr>
          <w:rFonts w:ascii="Times New Roman" w:hAnsi="Times New Roman" w:cs="Times New Roman"/>
          <w:color w:val="FF0000"/>
        </w:rPr>
      </w:pPr>
    </w:p>
    <w:p w14:paraId="44A1A72F" w14:textId="08978E45" w:rsidR="0090063C" w:rsidRPr="003944F0" w:rsidRDefault="0090063C" w:rsidP="003944F0">
      <w:pPr>
        <w:tabs>
          <w:tab w:val="left" w:pos="1570"/>
        </w:tabs>
        <w:rPr>
          <w:rFonts w:ascii="Times New Roman" w:hAnsi="Times New Roman" w:cs="Times New Roman"/>
          <w:color w:val="FF0000"/>
        </w:rPr>
      </w:pPr>
    </w:p>
    <w:p w14:paraId="39399887" w14:textId="77777777" w:rsidR="0090063C" w:rsidRDefault="0090063C" w:rsidP="0090063C">
      <w:pPr>
        <w:pStyle w:val="ListParagraph"/>
        <w:tabs>
          <w:tab w:val="left" w:pos="1570"/>
        </w:tabs>
        <w:rPr>
          <w:rFonts w:ascii="Times New Roman" w:hAnsi="Times New Roman" w:cs="Times New Roman"/>
          <w:color w:val="FF0000"/>
        </w:rPr>
      </w:pPr>
    </w:p>
    <w:p w14:paraId="2CAA26CC" w14:textId="6BD2F689" w:rsidR="0090063C" w:rsidRPr="00A030D3" w:rsidRDefault="0090063C" w:rsidP="0090063C">
      <w:pPr>
        <w:pStyle w:val="ListParagraph"/>
        <w:numPr>
          <w:ilvl w:val="0"/>
          <w:numId w:val="3"/>
        </w:numPr>
        <w:spacing w:line="480" w:lineRule="auto"/>
        <w:rPr>
          <w:rFonts w:ascii="Times New Roman" w:hAnsi="Times New Roman" w:cs="Times New Roman"/>
          <w:b/>
          <w:bCs/>
          <w:color w:val="242021"/>
          <w:sz w:val="24"/>
          <w:szCs w:val="24"/>
        </w:rPr>
      </w:pPr>
      <w:r w:rsidRPr="00A030D3">
        <w:rPr>
          <w:rFonts w:ascii="Times New Roman" w:hAnsi="Times New Roman" w:cs="Times New Roman"/>
          <w:b/>
          <w:bCs/>
          <w:color w:val="242021"/>
          <w:sz w:val="24"/>
          <w:szCs w:val="24"/>
        </w:rPr>
        <w:t xml:space="preserve">Table </w:t>
      </w:r>
      <w:r w:rsidR="00395341">
        <w:rPr>
          <w:rFonts w:ascii="Times New Roman" w:hAnsi="Times New Roman" w:cs="Times New Roman"/>
          <w:b/>
          <w:bCs/>
          <w:color w:val="242021"/>
          <w:sz w:val="24"/>
          <w:szCs w:val="24"/>
        </w:rPr>
        <w:t>2</w:t>
      </w:r>
      <w:r w:rsidRPr="00A030D3">
        <w:rPr>
          <w:rFonts w:ascii="Times New Roman" w:hAnsi="Times New Roman" w:cs="Times New Roman"/>
          <w:b/>
          <w:bCs/>
          <w:color w:val="242021"/>
          <w:sz w:val="24"/>
          <w:szCs w:val="24"/>
        </w:rPr>
        <w:t>. Study</w:t>
      </w:r>
      <w:r w:rsidRPr="00A030D3">
        <w:rPr>
          <w:rFonts w:ascii="Times New Roman" w:hAnsi="Times New Roman" w:cs="Times New Roman"/>
          <w:b/>
          <w:bCs/>
          <w:color w:val="242021"/>
          <w:sz w:val="24"/>
          <w:szCs w:val="24"/>
        </w:rPr>
        <w:t xml:space="preserve"> </w:t>
      </w:r>
      <w:r w:rsidRPr="00A030D3">
        <w:rPr>
          <w:rFonts w:ascii="Times New Roman" w:hAnsi="Times New Roman" w:cs="Times New Roman"/>
          <w:b/>
          <w:bCs/>
          <w:color w:val="242021"/>
          <w:sz w:val="24"/>
          <w:szCs w:val="24"/>
        </w:rPr>
        <w:t>inclusion</w:t>
      </w:r>
      <w:r w:rsidRPr="00A030D3">
        <w:rPr>
          <w:rFonts w:ascii="Times New Roman" w:hAnsi="Times New Roman" w:cs="Times New Roman"/>
          <w:b/>
          <w:bCs/>
          <w:color w:val="242021"/>
          <w:sz w:val="24"/>
          <w:szCs w:val="24"/>
        </w:rPr>
        <w:t xml:space="preserve"> </w:t>
      </w:r>
      <w:r w:rsidRPr="00A030D3">
        <w:rPr>
          <w:rFonts w:ascii="Times New Roman" w:hAnsi="Times New Roman" w:cs="Times New Roman"/>
          <w:b/>
          <w:bCs/>
          <w:color w:val="242021"/>
          <w:sz w:val="24"/>
          <w:szCs w:val="24"/>
        </w:rPr>
        <w:t>c</w:t>
      </w:r>
      <w:r w:rsidRPr="00A030D3">
        <w:rPr>
          <w:rFonts w:ascii="Times New Roman" w:hAnsi="Times New Roman" w:cs="Times New Roman"/>
          <w:b/>
          <w:bCs/>
          <w:color w:val="242021"/>
          <w:sz w:val="24"/>
          <w:szCs w:val="24"/>
        </w:rPr>
        <w:t>riteria</w:t>
      </w:r>
    </w:p>
    <w:tbl>
      <w:tblPr>
        <w:tblStyle w:val="TableGrid"/>
        <w:tblW w:w="0" w:type="auto"/>
        <w:tblInd w:w="720" w:type="dxa"/>
        <w:tblLook w:val="04A0" w:firstRow="1" w:lastRow="0" w:firstColumn="1" w:lastColumn="0" w:noHBand="0" w:noVBand="1"/>
      </w:tblPr>
      <w:tblGrid>
        <w:gridCol w:w="3055"/>
        <w:gridCol w:w="5575"/>
      </w:tblGrid>
      <w:tr w:rsidR="00051B12" w:rsidRPr="00A030D3" w14:paraId="6AA1A036" w14:textId="77777777" w:rsidTr="00A030D3">
        <w:tc>
          <w:tcPr>
            <w:tcW w:w="3055" w:type="dxa"/>
            <w:shd w:val="clear" w:color="auto" w:fill="BFBFBF" w:themeFill="background1" w:themeFillShade="BF"/>
          </w:tcPr>
          <w:p w14:paraId="5D7B638F" w14:textId="037D0780" w:rsidR="00051B12" w:rsidRPr="00A030D3" w:rsidRDefault="00051B12" w:rsidP="0090063C">
            <w:pPr>
              <w:pStyle w:val="ListParagraph"/>
              <w:tabs>
                <w:tab w:val="left" w:pos="1570"/>
              </w:tabs>
              <w:ind w:left="0"/>
              <w:rPr>
                <w:rFonts w:ascii="Times New Roman" w:hAnsi="Times New Roman" w:cs="Times New Roman"/>
                <w:b/>
                <w:bCs/>
              </w:rPr>
            </w:pPr>
            <w:r w:rsidRPr="00A030D3">
              <w:rPr>
                <w:rFonts w:ascii="Times New Roman" w:hAnsi="Times New Roman" w:cs="Times New Roman"/>
                <w:b/>
                <w:bCs/>
              </w:rPr>
              <w:t>Category</w:t>
            </w:r>
          </w:p>
        </w:tc>
        <w:tc>
          <w:tcPr>
            <w:tcW w:w="5575" w:type="dxa"/>
            <w:shd w:val="clear" w:color="auto" w:fill="BFBFBF" w:themeFill="background1" w:themeFillShade="BF"/>
          </w:tcPr>
          <w:p w14:paraId="61A74F7F" w14:textId="03F19A32" w:rsidR="00051B12" w:rsidRPr="00A030D3" w:rsidRDefault="00051B12" w:rsidP="0090063C">
            <w:pPr>
              <w:pStyle w:val="ListParagraph"/>
              <w:tabs>
                <w:tab w:val="left" w:pos="1570"/>
              </w:tabs>
              <w:ind w:left="0"/>
              <w:rPr>
                <w:rFonts w:ascii="Times New Roman" w:hAnsi="Times New Roman" w:cs="Times New Roman"/>
                <w:b/>
                <w:bCs/>
              </w:rPr>
            </w:pPr>
            <w:r w:rsidRPr="00A030D3">
              <w:rPr>
                <w:rFonts w:ascii="Times New Roman" w:hAnsi="Times New Roman" w:cs="Times New Roman"/>
                <w:b/>
                <w:bCs/>
              </w:rPr>
              <w:t>Criteria</w:t>
            </w:r>
          </w:p>
        </w:tc>
      </w:tr>
      <w:tr w:rsidR="00051B12" w14:paraId="187D72E7" w14:textId="77777777" w:rsidTr="00A030D3">
        <w:tc>
          <w:tcPr>
            <w:tcW w:w="3055" w:type="dxa"/>
          </w:tcPr>
          <w:p w14:paraId="558C3918" w14:textId="2334C8BB" w:rsidR="00051B12" w:rsidRPr="00A030D3" w:rsidRDefault="00A030D3" w:rsidP="0090063C">
            <w:pPr>
              <w:pStyle w:val="ListParagraph"/>
              <w:tabs>
                <w:tab w:val="left" w:pos="1570"/>
              </w:tabs>
              <w:ind w:left="0"/>
              <w:rPr>
                <w:rFonts w:ascii="Times New Roman" w:hAnsi="Times New Roman" w:cs="Times New Roman"/>
              </w:rPr>
            </w:pPr>
            <w:r w:rsidRPr="00A030D3">
              <w:rPr>
                <w:rFonts w:ascii="Times New Roman" w:hAnsi="Times New Roman" w:cs="Times New Roman"/>
              </w:rPr>
              <w:t>Participants</w:t>
            </w:r>
          </w:p>
        </w:tc>
        <w:tc>
          <w:tcPr>
            <w:tcW w:w="5575" w:type="dxa"/>
          </w:tcPr>
          <w:p w14:paraId="7F7722C2" w14:textId="023864FB" w:rsidR="00051B12" w:rsidRDefault="00D20E11" w:rsidP="0090063C">
            <w:pPr>
              <w:pStyle w:val="ListParagraph"/>
              <w:tabs>
                <w:tab w:val="left" w:pos="1570"/>
              </w:tabs>
              <w:ind w:left="0"/>
              <w:rPr>
                <w:rFonts w:ascii="Times New Roman" w:hAnsi="Times New Roman" w:cs="Times New Roman"/>
                <w:color w:val="FF0000"/>
              </w:rPr>
            </w:pPr>
            <w:r w:rsidRPr="00D20E11">
              <w:rPr>
                <w:rFonts w:ascii="Times New Roman" w:hAnsi="Times New Roman" w:cs="Times New Roman"/>
              </w:rPr>
              <w:t>A</w:t>
            </w:r>
            <w:r>
              <w:rPr>
                <w:rFonts w:ascii="Times New Roman" w:hAnsi="Times New Roman" w:cs="Times New Roman"/>
              </w:rPr>
              <w:t>ny recipients or population affected by any health policy intervention (UPF or public intervention) of any socio-economic and demographic characteristics</w:t>
            </w:r>
            <w:r w:rsidR="005E7CB0">
              <w:rPr>
                <w:rFonts w:ascii="Times New Roman" w:hAnsi="Times New Roman" w:cs="Times New Roman"/>
              </w:rPr>
              <w:t xml:space="preserve"> in any LMIC</w:t>
            </w:r>
            <w:r>
              <w:rPr>
                <w:rFonts w:ascii="Times New Roman" w:hAnsi="Times New Roman" w:cs="Times New Roman"/>
              </w:rPr>
              <w:t>.</w:t>
            </w:r>
          </w:p>
        </w:tc>
      </w:tr>
      <w:tr w:rsidR="00051B12" w14:paraId="773D1F9B" w14:textId="77777777" w:rsidTr="00A030D3">
        <w:tc>
          <w:tcPr>
            <w:tcW w:w="3055" w:type="dxa"/>
          </w:tcPr>
          <w:p w14:paraId="1FADB64D" w14:textId="50D8DAB5" w:rsidR="00051B12" w:rsidRPr="00B9353D" w:rsidRDefault="00A030D3" w:rsidP="0090063C">
            <w:pPr>
              <w:pStyle w:val="ListParagraph"/>
              <w:tabs>
                <w:tab w:val="left" w:pos="1570"/>
              </w:tabs>
              <w:ind w:left="0"/>
              <w:rPr>
                <w:rFonts w:ascii="Times New Roman" w:hAnsi="Times New Roman" w:cs="Times New Roman"/>
              </w:rPr>
            </w:pPr>
            <w:r w:rsidRPr="00B9353D">
              <w:rPr>
                <w:rFonts w:ascii="Times New Roman" w:hAnsi="Times New Roman" w:cs="Times New Roman"/>
              </w:rPr>
              <w:t>Issue</w:t>
            </w:r>
          </w:p>
        </w:tc>
        <w:tc>
          <w:tcPr>
            <w:tcW w:w="5575" w:type="dxa"/>
          </w:tcPr>
          <w:p w14:paraId="66376C28" w14:textId="4C5A1787" w:rsidR="00051B12" w:rsidRPr="00B9353D" w:rsidRDefault="00B9353D" w:rsidP="0090063C">
            <w:pPr>
              <w:pStyle w:val="ListParagraph"/>
              <w:tabs>
                <w:tab w:val="left" w:pos="1570"/>
              </w:tabs>
              <w:ind w:left="0"/>
              <w:rPr>
                <w:rFonts w:ascii="Times New Roman" w:hAnsi="Times New Roman" w:cs="Times New Roman"/>
              </w:rPr>
            </w:pPr>
            <w:r w:rsidRPr="00B9353D">
              <w:rPr>
                <w:rFonts w:ascii="Times New Roman" w:hAnsi="Times New Roman" w:cs="Times New Roman"/>
              </w:rPr>
              <w:t xml:space="preserve">Health </w:t>
            </w:r>
            <w:r>
              <w:rPr>
                <w:rFonts w:ascii="Times New Roman" w:hAnsi="Times New Roman" w:cs="Times New Roman"/>
              </w:rPr>
              <w:t>and non-health impacts of any policy intervention stratified by any equity-relevant variables including but not limited to sex, income quintiles, region (district or county or municipality or state or province),</w:t>
            </w:r>
            <w:r w:rsidR="00E93138">
              <w:rPr>
                <w:rFonts w:ascii="Times New Roman" w:hAnsi="Times New Roman" w:cs="Times New Roman"/>
              </w:rPr>
              <w:t xml:space="preserve"> or</w:t>
            </w:r>
            <w:r>
              <w:rPr>
                <w:rFonts w:ascii="Times New Roman" w:hAnsi="Times New Roman" w:cs="Times New Roman"/>
              </w:rPr>
              <w:t xml:space="preserve"> severity of disease, etc.</w:t>
            </w:r>
          </w:p>
        </w:tc>
      </w:tr>
      <w:tr w:rsidR="00051B12" w14:paraId="0F4CD7F3" w14:textId="77777777" w:rsidTr="00A030D3">
        <w:tc>
          <w:tcPr>
            <w:tcW w:w="3055" w:type="dxa"/>
          </w:tcPr>
          <w:p w14:paraId="7EF27EC8" w14:textId="3149D911" w:rsidR="00051B12" w:rsidRPr="00B9353D" w:rsidRDefault="00A030D3" w:rsidP="0090063C">
            <w:pPr>
              <w:pStyle w:val="ListParagraph"/>
              <w:tabs>
                <w:tab w:val="left" w:pos="1570"/>
              </w:tabs>
              <w:ind w:left="0"/>
              <w:rPr>
                <w:rFonts w:ascii="Times New Roman" w:hAnsi="Times New Roman" w:cs="Times New Roman"/>
              </w:rPr>
            </w:pPr>
            <w:r w:rsidRPr="00B9353D">
              <w:rPr>
                <w:rFonts w:ascii="Times New Roman" w:hAnsi="Times New Roman" w:cs="Times New Roman"/>
              </w:rPr>
              <w:t>Comparisons</w:t>
            </w:r>
          </w:p>
        </w:tc>
        <w:tc>
          <w:tcPr>
            <w:tcW w:w="5575" w:type="dxa"/>
          </w:tcPr>
          <w:p w14:paraId="37F6BA10" w14:textId="246DB6E1" w:rsidR="00051B12" w:rsidRPr="00B9353D" w:rsidRDefault="0051186A" w:rsidP="0090063C">
            <w:pPr>
              <w:pStyle w:val="ListParagraph"/>
              <w:tabs>
                <w:tab w:val="left" w:pos="1570"/>
              </w:tabs>
              <w:ind w:left="0"/>
              <w:rPr>
                <w:rFonts w:ascii="Times New Roman" w:hAnsi="Times New Roman" w:cs="Times New Roman"/>
              </w:rPr>
            </w:pPr>
            <w:r>
              <w:rPr>
                <w:rFonts w:ascii="Times New Roman" w:hAnsi="Times New Roman" w:cs="Times New Roman"/>
              </w:rPr>
              <w:t xml:space="preserve">Exploring and comparing the status quo (existing situation) and any </w:t>
            </w:r>
            <w:r w:rsidR="00BC6C27">
              <w:rPr>
                <w:rFonts w:ascii="Times New Roman" w:hAnsi="Times New Roman" w:cs="Times New Roman"/>
              </w:rPr>
              <w:t xml:space="preserve">(new or current) </w:t>
            </w:r>
            <w:r>
              <w:rPr>
                <w:rFonts w:ascii="Times New Roman" w:hAnsi="Times New Roman" w:cs="Times New Roman"/>
              </w:rPr>
              <w:t>policy interventions under review</w:t>
            </w:r>
            <w:r w:rsidR="002F541A">
              <w:rPr>
                <w:rFonts w:ascii="Times New Roman" w:hAnsi="Times New Roman" w:cs="Times New Roman"/>
              </w:rPr>
              <w:t>, consideration or implemented</w:t>
            </w:r>
            <w:r>
              <w:rPr>
                <w:rFonts w:ascii="Times New Roman" w:hAnsi="Times New Roman" w:cs="Times New Roman"/>
              </w:rPr>
              <w:t>.</w:t>
            </w:r>
          </w:p>
        </w:tc>
      </w:tr>
      <w:tr w:rsidR="00051B12" w14:paraId="5C271CE5" w14:textId="77777777" w:rsidTr="00A030D3">
        <w:tc>
          <w:tcPr>
            <w:tcW w:w="3055" w:type="dxa"/>
          </w:tcPr>
          <w:p w14:paraId="12053A7B" w14:textId="32BE6FE6" w:rsidR="00051B12" w:rsidRPr="00B9353D" w:rsidRDefault="00A030D3" w:rsidP="0090063C">
            <w:pPr>
              <w:pStyle w:val="ListParagraph"/>
              <w:tabs>
                <w:tab w:val="left" w:pos="1570"/>
              </w:tabs>
              <w:ind w:left="0"/>
              <w:rPr>
                <w:rFonts w:ascii="Times New Roman" w:hAnsi="Times New Roman" w:cs="Times New Roman"/>
              </w:rPr>
            </w:pPr>
            <w:r w:rsidRPr="00B9353D">
              <w:rPr>
                <w:rFonts w:ascii="Times New Roman" w:hAnsi="Times New Roman" w:cs="Times New Roman"/>
              </w:rPr>
              <w:t>Study Design</w:t>
            </w:r>
          </w:p>
        </w:tc>
        <w:tc>
          <w:tcPr>
            <w:tcW w:w="5575" w:type="dxa"/>
          </w:tcPr>
          <w:p w14:paraId="1FF67D59" w14:textId="48B314AA" w:rsidR="00051B12" w:rsidRDefault="005D23AB" w:rsidP="005D23AB">
            <w:pPr>
              <w:pStyle w:val="ListParagraph"/>
              <w:numPr>
                <w:ilvl w:val="0"/>
                <w:numId w:val="7"/>
              </w:numPr>
              <w:tabs>
                <w:tab w:val="left" w:pos="1570"/>
              </w:tabs>
              <w:rPr>
                <w:rFonts w:ascii="Times New Roman" w:hAnsi="Times New Roman" w:cs="Times New Roman"/>
              </w:rPr>
            </w:pPr>
            <w:r>
              <w:rPr>
                <w:rFonts w:ascii="Times New Roman" w:hAnsi="Times New Roman" w:cs="Times New Roman"/>
              </w:rPr>
              <w:t xml:space="preserve">Qualitative, quantitative, </w:t>
            </w:r>
            <w:r w:rsidR="009950BC">
              <w:rPr>
                <w:rFonts w:ascii="Times New Roman" w:hAnsi="Times New Roman" w:cs="Times New Roman"/>
              </w:rPr>
              <w:t>or</w:t>
            </w:r>
            <w:r>
              <w:rPr>
                <w:rFonts w:ascii="Times New Roman" w:hAnsi="Times New Roman" w:cs="Times New Roman"/>
              </w:rPr>
              <w:t xml:space="preserve"> mixed methods.</w:t>
            </w:r>
          </w:p>
          <w:p w14:paraId="6DA132CF" w14:textId="58973D4D" w:rsidR="005D23AB" w:rsidRPr="00B9353D" w:rsidRDefault="005D23AB" w:rsidP="005D23AB">
            <w:pPr>
              <w:pStyle w:val="ListParagraph"/>
              <w:numPr>
                <w:ilvl w:val="0"/>
                <w:numId w:val="7"/>
              </w:numPr>
              <w:tabs>
                <w:tab w:val="left" w:pos="1570"/>
              </w:tabs>
              <w:rPr>
                <w:rFonts w:ascii="Times New Roman" w:hAnsi="Times New Roman" w:cs="Times New Roman"/>
              </w:rPr>
            </w:pPr>
            <w:r>
              <w:rPr>
                <w:rFonts w:ascii="Times New Roman" w:hAnsi="Times New Roman" w:cs="Times New Roman"/>
              </w:rPr>
              <w:t>Reviews were not eligible, but their references were screened for eligible studies.</w:t>
            </w:r>
          </w:p>
        </w:tc>
      </w:tr>
      <w:tr w:rsidR="00051B12" w14:paraId="773D3E87" w14:textId="77777777" w:rsidTr="00A030D3">
        <w:tc>
          <w:tcPr>
            <w:tcW w:w="3055" w:type="dxa"/>
          </w:tcPr>
          <w:p w14:paraId="638C5408" w14:textId="0F2485EB" w:rsidR="00051B12" w:rsidRPr="00B9353D" w:rsidRDefault="00A030D3" w:rsidP="0090063C">
            <w:pPr>
              <w:pStyle w:val="ListParagraph"/>
              <w:tabs>
                <w:tab w:val="left" w:pos="1570"/>
              </w:tabs>
              <w:ind w:left="0"/>
              <w:rPr>
                <w:rFonts w:ascii="Times New Roman" w:hAnsi="Times New Roman" w:cs="Times New Roman"/>
              </w:rPr>
            </w:pPr>
            <w:r w:rsidRPr="00B9353D">
              <w:rPr>
                <w:rFonts w:ascii="Times New Roman" w:hAnsi="Times New Roman" w:cs="Times New Roman"/>
              </w:rPr>
              <w:t>Outcomes</w:t>
            </w:r>
          </w:p>
        </w:tc>
        <w:tc>
          <w:tcPr>
            <w:tcW w:w="5575" w:type="dxa"/>
          </w:tcPr>
          <w:p w14:paraId="1980A4C1" w14:textId="21CEEC28" w:rsidR="00051B12" w:rsidRPr="00B9353D" w:rsidRDefault="004E6A4F" w:rsidP="0090063C">
            <w:pPr>
              <w:pStyle w:val="ListParagraph"/>
              <w:tabs>
                <w:tab w:val="left" w:pos="1570"/>
              </w:tabs>
              <w:ind w:left="0"/>
              <w:rPr>
                <w:rFonts w:ascii="Times New Roman" w:hAnsi="Times New Roman" w:cs="Times New Roman"/>
              </w:rPr>
            </w:pPr>
            <w:r>
              <w:rPr>
                <w:rFonts w:ascii="Times New Roman" w:hAnsi="Times New Roman" w:cs="Times New Roman"/>
              </w:rPr>
              <w:t>HBG, FRP, FC and Equity</w:t>
            </w:r>
            <w:r w:rsidR="007F3B26">
              <w:rPr>
                <w:rFonts w:ascii="Times New Roman" w:hAnsi="Times New Roman" w:cs="Times New Roman"/>
              </w:rPr>
              <w:t xml:space="preserve"> and any other that may be considered in a study.</w:t>
            </w:r>
          </w:p>
        </w:tc>
      </w:tr>
    </w:tbl>
    <w:p w14:paraId="6B883189" w14:textId="77777777" w:rsidR="0090063C" w:rsidRPr="003F40B0" w:rsidRDefault="0090063C" w:rsidP="0090063C">
      <w:pPr>
        <w:pStyle w:val="ListParagraph"/>
        <w:tabs>
          <w:tab w:val="left" w:pos="1570"/>
        </w:tabs>
        <w:rPr>
          <w:rFonts w:ascii="Times New Roman" w:hAnsi="Times New Roman" w:cs="Times New Roman"/>
          <w:color w:val="FF0000"/>
        </w:rPr>
      </w:pPr>
    </w:p>
    <w:p w14:paraId="2F340197" w14:textId="25EB6337" w:rsidR="000D3F2B" w:rsidRPr="000D3F2B" w:rsidRDefault="000D3F2B" w:rsidP="000D3F2B">
      <w:pPr>
        <w:tabs>
          <w:tab w:val="left" w:pos="1570"/>
        </w:tabs>
        <w:rPr>
          <w:rFonts w:ascii="Times New Roman" w:hAnsi="Times New Roman" w:cs="Times New Roman"/>
        </w:rPr>
        <w:sectPr w:rsidR="000D3F2B" w:rsidRPr="000D3F2B" w:rsidSect="00E57E96">
          <w:pgSz w:w="12240" w:h="15840"/>
          <w:pgMar w:top="1440" w:right="1440" w:bottom="1440" w:left="1440" w:header="720" w:footer="720" w:gutter="0"/>
          <w:pgNumType w:start="1"/>
          <w:cols w:space="720"/>
          <w:docGrid w:linePitch="360"/>
        </w:sectPr>
      </w:pPr>
    </w:p>
    <w:p w14:paraId="0869EE6F" w14:textId="09A73804" w:rsidR="001D314E" w:rsidRPr="003F40B0" w:rsidRDefault="0090063C" w:rsidP="003F40B0">
      <w:pPr>
        <w:pStyle w:val="ListParagraph"/>
        <w:numPr>
          <w:ilvl w:val="0"/>
          <w:numId w:val="3"/>
        </w:numPr>
        <w:spacing w:line="480" w:lineRule="auto"/>
        <w:rPr>
          <w:rFonts w:ascii="Times New Roman" w:hAnsi="Times New Roman" w:cs="Times New Roman"/>
          <w:b/>
          <w:bCs/>
          <w:color w:val="242021"/>
        </w:rPr>
      </w:pPr>
      <w:r>
        <w:rPr>
          <w:rFonts w:ascii="Times New Roman" w:hAnsi="Times New Roman" w:cs="Times New Roman"/>
          <w:b/>
          <w:bCs/>
          <w:color w:val="242021"/>
        </w:rPr>
        <w:lastRenderedPageBreak/>
        <w:t xml:space="preserve"> </w:t>
      </w:r>
      <w:r w:rsidR="000C61EC" w:rsidRPr="003F40B0">
        <w:rPr>
          <w:rFonts w:ascii="Times New Roman" w:hAnsi="Times New Roman" w:cs="Times New Roman"/>
          <w:b/>
          <w:bCs/>
          <w:color w:val="242021"/>
        </w:rPr>
        <w:t xml:space="preserve">Table </w:t>
      </w:r>
      <w:r w:rsidR="00395341">
        <w:rPr>
          <w:rFonts w:ascii="Times New Roman" w:hAnsi="Times New Roman" w:cs="Times New Roman"/>
          <w:b/>
          <w:bCs/>
          <w:color w:val="242021"/>
        </w:rPr>
        <w:t>3</w:t>
      </w:r>
      <w:r w:rsidR="000C61EC" w:rsidRPr="003F40B0">
        <w:rPr>
          <w:rFonts w:ascii="Times New Roman" w:hAnsi="Times New Roman" w:cs="Times New Roman"/>
          <w:b/>
          <w:bCs/>
          <w:color w:val="242021"/>
        </w:rPr>
        <w:t xml:space="preserve">. </w:t>
      </w:r>
      <w:r w:rsidR="00586D46" w:rsidRPr="003F40B0">
        <w:rPr>
          <w:rFonts w:ascii="Times New Roman" w:hAnsi="Times New Roman" w:cs="Times New Roman"/>
          <w:b/>
          <w:bCs/>
          <w:color w:val="242021"/>
        </w:rPr>
        <w:t xml:space="preserve">List of </w:t>
      </w:r>
      <w:r w:rsidR="005B60F8" w:rsidRPr="003F40B0">
        <w:rPr>
          <w:rFonts w:ascii="Times New Roman" w:hAnsi="Times New Roman" w:cs="Times New Roman"/>
          <w:b/>
          <w:bCs/>
          <w:color w:val="242021"/>
        </w:rPr>
        <w:t>s</w:t>
      </w:r>
      <w:r w:rsidR="00586D46" w:rsidRPr="003F40B0">
        <w:rPr>
          <w:rFonts w:ascii="Times New Roman" w:hAnsi="Times New Roman" w:cs="Times New Roman"/>
          <w:b/>
          <w:bCs/>
          <w:color w:val="242021"/>
        </w:rPr>
        <w:t>tudies and their general characteristics included in the review</w:t>
      </w:r>
      <w:r w:rsidR="00C43DB1" w:rsidRPr="003F40B0">
        <w:rPr>
          <w:rFonts w:ascii="Times New Roman" w:hAnsi="Times New Roman" w:cs="Times New Roman"/>
          <w:b/>
          <w:bCs/>
          <w:color w:val="242021"/>
        </w:rPr>
        <w:t>.</w:t>
      </w:r>
    </w:p>
    <w:tbl>
      <w:tblPr>
        <w:tblStyle w:val="TableGrid"/>
        <w:tblW w:w="14940" w:type="dxa"/>
        <w:tblInd w:w="-995" w:type="dxa"/>
        <w:tblLook w:val="04A0" w:firstRow="1" w:lastRow="0" w:firstColumn="1" w:lastColumn="0" w:noHBand="0" w:noVBand="1"/>
      </w:tblPr>
      <w:tblGrid>
        <w:gridCol w:w="538"/>
        <w:gridCol w:w="1326"/>
        <w:gridCol w:w="3227"/>
        <w:gridCol w:w="2928"/>
        <w:gridCol w:w="6921"/>
      </w:tblGrid>
      <w:tr w:rsidR="0064128D" w:rsidRPr="0064128D" w14:paraId="4CA3E097" w14:textId="77777777" w:rsidTr="00C718F8">
        <w:tc>
          <w:tcPr>
            <w:tcW w:w="540" w:type="dxa"/>
          </w:tcPr>
          <w:p w14:paraId="46A5570A" w14:textId="77777777" w:rsidR="00464DB7" w:rsidRPr="0064128D" w:rsidRDefault="00464DB7" w:rsidP="00202032">
            <w:pPr>
              <w:rPr>
                <w:rFonts w:ascii="Times New Roman" w:hAnsi="Times New Roman" w:cs="Times New Roman"/>
                <w:sz w:val="18"/>
                <w:szCs w:val="18"/>
              </w:rPr>
            </w:pPr>
          </w:p>
        </w:tc>
        <w:tc>
          <w:tcPr>
            <w:tcW w:w="1260" w:type="dxa"/>
          </w:tcPr>
          <w:p w14:paraId="526F1996" w14:textId="01C9225C" w:rsidR="00464DB7" w:rsidRPr="0064128D" w:rsidRDefault="00464DB7" w:rsidP="00202032">
            <w:pPr>
              <w:rPr>
                <w:rFonts w:ascii="Times New Roman" w:hAnsi="Times New Roman" w:cs="Times New Roman"/>
                <w:sz w:val="18"/>
                <w:szCs w:val="18"/>
              </w:rPr>
            </w:pPr>
            <w:r w:rsidRPr="0064128D">
              <w:rPr>
                <w:rFonts w:ascii="Times New Roman" w:hAnsi="Times New Roman" w:cs="Times New Roman"/>
                <w:sz w:val="18"/>
                <w:szCs w:val="18"/>
              </w:rPr>
              <w:t>Author(s), Year of publication and Origin/</w:t>
            </w:r>
            <w:r w:rsidR="00B4111F">
              <w:rPr>
                <w:rFonts w:ascii="Times New Roman" w:hAnsi="Times New Roman" w:cs="Times New Roman"/>
                <w:sz w:val="18"/>
                <w:szCs w:val="18"/>
              </w:rPr>
              <w:t>Country</w:t>
            </w:r>
          </w:p>
        </w:tc>
        <w:tc>
          <w:tcPr>
            <w:tcW w:w="3240" w:type="dxa"/>
          </w:tcPr>
          <w:p w14:paraId="19A3E43D" w14:textId="77777777" w:rsidR="00464DB7" w:rsidRPr="0064128D" w:rsidRDefault="00464DB7" w:rsidP="00202032">
            <w:pPr>
              <w:rPr>
                <w:rFonts w:ascii="Times New Roman" w:hAnsi="Times New Roman" w:cs="Times New Roman"/>
                <w:sz w:val="18"/>
                <w:szCs w:val="18"/>
              </w:rPr>
            </w:pPr>
            <w:r w:rsidRPr="0064128D">
              <w:rPr>
                <w:rFonts w:ascii="Times New Roman" w:hAnsi="Times New Roman" w:cs="Times New Roman"/>
                <w:sz w:val="18"/>
                <w:szCs w:val="18"/>
              </w:rPr>
              <w:t>Aims/purpose</w:t>
            </w:r>
          </w:p>
        </w:tc>
        <w:tc>
          <w:tcPr>
            <w:tcW w:w="2936" w:type="dxa"/>
          </w:tcPr>
          <w:p w14:paraId="6C1D481A" w14:textId="08A77D96" w:rsidR="00464DB7" w:rsidRPr="0064128D" w:rsidRDefault="00464DB7" w:rsidP="00202032">
            <w:pPr>
              <w:rPr>
                <w:rFonts w:ascii="Times New Roman" w:hAnsi="Times New Roman" w:cs="Times New Roman"/>
                <w:sz w:val="18"/>
                <w:szCs w:val="18"/>
              </w:rPr>
            </w:pPr>
            <w:r w:rsidRPr="0064128D">
              <w:rPr>
                <w:rFonts w:ascii="Times New Roman" w:hAnsi="Times New Roman" w:cs="Times New Roman"/>
                <w:sz w:val="18"/>
                <w:szCs w:val="18"/>
              </w:rPr>
              <w:t>Methodology/methods (including study population and sample size)</w:t>
            </w:r>
          </w:p>
        </w:tc>
        <w:tc>
          <w:tcPr>
            <w:tcW w:w="6964" w:type="dxa"/>
          </w:tcPr>
          <w:p w14:paraId="3A63F97E" w14:textId="77777777" w:rsidR="00464DB7" w:rsidRPr="0064128D" w:rsidRDefault="00464DB7" w:rsidP="00202032">
            <w:pPr>
              <w:rPr>
                <w:rFonts w:ascii="Times New Roman" w:hAnsi="Times New Roman" w:cs="Times New Roman"/>
                <w:sz w:val="18"/>
                <w:szCs w:val="18"/>
              </w:rPr>
            </w:pPr>
            <w:r w:rsidRPr="0064128D">
              <w:rPr>
                <w:rFonts w:ascii="Times New Roman" w:hAnsi="Times New Roman" w:cs="Times New Roman"/>
                <w:sz w:val="18"/>
                <w:szCs w:val="18"/>
              </w:rPr>
              <w:t>Key findings</w:t>
            </w:r>
          </w:p>
        </w:tc>
      </w:tr>
      <w:tr w:rsidR="0064128D" w:rsidRPr="0064128D" w14:paraId="388A4EB1" w14:textId="77777777" w:rsidTr="00C718F8">
        <w:trPr>
          <w:trHeight w:val="1934"/>
        </w:trPr>
        <w:tc>
          <w:tcPr>
            <w:tcW w:w="540" w:type="dxa"/>
          </w:tcPr>
          <w:p w14:paraId="00F9AA42" w14:textId="6FFC9A33"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1</w:t>
            </w:r>
          </w:p>
        </w:tc>
        <w:tc>
          <w:tcPr>
            <w:tcW w:w="1260" w:type="dxa"/>
          </w:tcPr>
          <w:p w14:paraId="685ECE24" w14:textId="5008E9AE"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fldChar w:fldCharType="begin" w:fldLock="1"/>
            </w:r>
            <w:r w:rsidRPr="0064128D">
              <w:rPr>
                <w:rFonts w:ascii="Times New Roman" w:hAnsi="Times New Roman" w:cs="Times New Roman"/>
                <w:sz w:val="18"/>
                <w:szCs w:val="18"/>
              </w:rPr>
              <w:instrText>ADDIN CSL_CITATION {"citationItems":[{"id":"ITEM-1","itemData":{"DOI":"10.1186/s12936-020-3103-5","ISSN":"14752875","PMID":"31973694","abstract":"Background: Malaria is a public health burden and a major cause for morbidity and mortality in Ethiopia. Malaria also places a substantial financial burden on families and Ethiopia's national economy. Economic evaluations, with evidence on equity and financial risk protection (FRP), are therefore essential to support decision-making for policymakers to identify best buys amongst possible malaria interventions. The aim of this study is to estimate the expected health and FRP benefits of universal public financing of key malaria interventions in Ethiopia. Methods: Using extended cost-effectiveness analysis (ECEA), the potential health and FRP benefits were estimated, and their distributions across socio-economic groups, of publicly financing a 10% coverage increase in artemisinin-based combination therapy (ACT), long-lasting insecticide-treated bed nets (LLIN), indoor residual spraying (IRS), and malaria vaccine (hypothetical). Results: ACT, LLIN, IRS, and vaccine would avert 358, 188, 107 and 38 deaths, respectively, each year at a net government cost of $5.7, 16.5, 32.6, and 5.1 million, respectively. The annual cost of implementing IRS would be two times higher than that of the LLIN interventions, and would be the main driver of the total costs. The averted deaths would be mainly concentrated in the poorest two income quintiles. The four interventions would eliminate about $4,627,800 of private health expenditures, and the poorest income quintiles would see the greatest FRP benefits. ACT and LLINs would have the largest impact on malaria-related deaths averted and FRP benefits. Conclusions: ACT, LLIN, IRS, and vaccine interventions would bring large health and financial benefits to the poorest households in Ethiopia.","author":[{"dropping-particle":"","family":"Assebe","given":"Lelisa Fekadu","non-dropping-particle":"","parse-names":false,"suffix":""},{"dropping-particle":"","family":"Kwete","given":"Xiaoxiao Jiang","non-dropping-particle":"","parse-names":false,"suffix":""},{"dropping-particle":"","family":"Wang","given":"Dan","non-dropping-particle":"","parse-names":false,"suffix":""},{"dropping-particle":"","family":"Liu","given":"Lingrui","non-dropping-particle":"","parse-names":false,"suffix":""},{"dropping-particle":"","family":"Norheim","given":"Ole Frithjof","non-dropping-particle":"","parse-names":false,"suffix":""},{"dropping-particle":"","family":"Jbaily","given":"Abdulrahman","non-dropping-particle":"","parse-names":false,"suffix":""},{"dropping-particle":"","family":"Verguet","given":"Stéphane","non-dropping-particle":"","parse-names":false,"suffix":""},{"dropping-particle":"","family":"Johansson","given":"Kjell Arne","non-dropping-particle":"","parse-names":false,"suffix":""},{"dropping-particle":"","family":"Tolla","given":"Mieraf Taddesse","non-dropping-particle":"","parse-names":false,"suffix":""}],"container-title":"Malaria Journal","id":"ITEM-1","issue":"1","issued":{"date-parts":[["2020"]]},"page":"1-10","publisher":"BioMed Central","title":"Health gains and financial risk protection afforded by public financing of selected malaria interventions in Ethiopia: An extended cost-effectiveness analysis","type":"article-journal","volume":"19"},"uris":["http://www.mendeley.com/documents/?uuid=2743b14c-6286-458b-96b4-c8e8e2bb5d36"]}],"mendeley":{"formattedCitation":"(Assebe et al., 2020)","manualFormatting":"Assebe et al. (2020)","plainTextFormattedCitation":"(Assebe et al., 2020)","previouslyFormattedCitation":"(Assebe et al., 2020)"},"properties":{"noteIndex":0},"schema":"https://github.com/citation-style-language/schema/raw/master/csl-citation.json"}</w:instrText>
            </w:r>
            <w:r w:rsidRPr="0064128D">
              <w:rPr>
                <w:rFonts w:ascii="Times New Roman" w:hAnsi="Times New Roman" w:cs="Times New Roman"/>
                <w:sz w:val="18"/>
                <w:szCs w:val="18"/>
              </w:rPr>
              <w:fldChar w:fldCharType="separate"/>
            </w:r>
            <w:r w:rsidRPr="0064128D">
              <w:rPr>
                <w:rFonts w:ascii="Times New Roman" w:hAnsi="Times New Roman" w:cs="Times New Roman"/>
                <w:noProof/>
                <w:sz w:val="18"/>
                <w:szCs w:val="18"/>
              </w:rPr>
              <w:t>Assebe et al. (2020)</w:t>
            </w:r>
            <w:r w:rsidRPr="0064128D">
              <w:rPr>
                <w:rFonts w:ascii="Times New Roman" w:hAnsi="Times New Roman" w:cs="Times New Roman"/>
                <w:sz w:val="18"/>
                <w:szCs w:val="18"/>
              </w:rPr>
              <w:fldChar w:fldCharType="end"/>
            </w:r>
            <w:r w:rsidRPr="0064128D">
              <w:rPr>
                <w:rFonts w:ascii="Times New Roman" w:hAnsi="Times New Roman" w:cs="Times New Roman"/>
                <w:sz w:val="18"/>
                <w:szCs w:val="18"/>
              </w:rPr>
              <w:t>,</w:t>
            </w:r>
          </w:p>
          <w:p w14:paraId="3820C507" w14:textId="61146161"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Ethiopia</w:t>
            </w:r>
          </w:p>
        </w:tc>
        <w:tc>
          <w:tcPr>
            <w:tcW w:w="3240" w:type="dxa"/>
          </w:tcPr>
          <w:p w14:paraId="69E900E1" w14:textId="77777777" w:rsidR="00F65B41"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 xml:space="preserve">Estimated the health </w:t>
            </w:r>
            <w:r w:rsidR="0092490E" w:rsidRPr="0064128D">
              <w:rPr>
                <w:rFonts w:ascii="Times New Roman" w:hAnsi="Times New Roman" w:cs="Times New Roman"/>
                <w:sz w:val="18"/>
                <w:szCs w:val="18"/>
              </w:rPr>
              <w:t xml:space="preserve">gains </w:t>
            </w:r>
            <w:r w:rsidRPr="0064128D">
              <w:rPr>
                <w:rFonts w:ascii="Times New Roman" w:hAnsi="Times New Roman" w:cs="Times New Roman"/>
                <w:sz w:val="18"/>
                <w:szCs w:val="18"/>
              </w:rPr>
              <w:t xml:space="preserve">and </w:t>
            </w:r>
            <w:r w:rsidR="00205F40" w:rsidRPr="0064128D">
              <w:rPr>
                <w:rFonts w:ascii="Times New Roman" w:hAnsi="Times New Roman" w:cs="Times New Roman"/>
                <w:sz w:val="18"/>
                <w:szCs w:val="18"/>
              </w:rPr>
              <w:t xml:space="preserve">FRP </w:t>
            </w:r>
            <w:r w:rsidRPr="0064128D">
              <w:rPr>
                <w:rFonts w:ascii="Times New Roman" w:hAnsi="Times New Roman" w:cs="Times New Roman"/>
                <w:sz w:val="18"/>
                <w:szCs w:val="18"/>
              </w:rPr>
              <w:t>of malaria interventions</w:t>
            </w:r>
            <w:r w:rsidR="0092490E" w:rsidRPr="0064128D">
              <w:rPr>
                <w:rFonts w:ascii="Times New Roman" w:hAnsi="Times New Roman" w:cs="Times New Roman"/>
                <w:sz w:val="18"/>
                <w:szCs w:val="18"/>
              </w:rPr>
              <w:t xml:space="preserve">. </w:t>
            </w:r>
          </w:p>
          <w:p w14:paraId="1211861B" w14:textId="77777777" w:rsidR="00F65B41" w:rsidRPr="0064128D" w:rsidRDefault="00F65B41" w:rsidP="0027259C">
            <w:pPr>
              <w:rPr>
                <w:rFonts w:ascii="Times New Roman" w:hAnsi="Times New Roman" w:cs="Times New Roman"/>
                <w:sz w:val="18"/>
                <w:szCs w:val="18"/>
              </w:rPr>
            </w:pPr>
          </w:p>
          <w:p w14:paraId="04A20D6E" w14:textId="5857F7CF" w:rsidR="00F65B41" w:rsidRPr="0064128D" w:rsidRDefault="007976DC" w:rsidP="0027259C">
            <w:pPr>
              <w:rPr>
                <w:rFonts w:ascii="Times New Roman" w:hAnsi="Times New Roman" w:cs="Times New Roman"/>
                <w:sz w:val="18"/>
                <w:szCs w:val="18"/>
              </w:rPr>
            </w:pPr>
            <w:r w:rsidRPr="0064128D">
              <w:rPr>
                <w:rFonts w:ascii="Times New Roman" w:hAnsi="Times New Roman" w:cs="Times New Roman"/>
                <w:b/>
                <w:bCs/>
                <w:sz w:val="18"/>
                <w:szCs w:val="18"/>
              </w:rPr>
              <w:t>Status quo</w:t>
            </w:r>
            <w:r w:rsidR="00F65B41" w:rsidRPr="0064128D">
              <w:rPr>
                <w:rFonts w:ascii="Times New Roman" w:hAnsi="Times New Roman" w:cs="Times New Roman"/>
                <w:b/>
                <w:bCs/>
                <w:sz w:val="18"/>
                <w:szCs w:val="18"/>
              </w:rPr>
              <w:t xml:space="preserve">: </w:t>
            </w:r>
            <w:r w:rsidR="00F65B41" w:rsidRPr="0064128D">
              <w:rPr>
                <w:rFonts w:ascii="Times New Roman" w:hAnsi="Times New Roman" w:cs="Times New Roman"/>
                <w:sz w:val="18"/>
                <w:szCs w:val="18"/>
              </w:rPr>
              <w:t>The baseline coverage before the UPF was 40% for LLIN, 29% for IRS, 35% for ACT.</w:t>
            </w:r>
          </w:p>
          <w:p w14:paraId="68924BFE" w14:textId="77777777" w:rsidR="00F65B41" w:rsidRPr="0064128D" w:rsidRDefault="00F65B41" w:rsidP="0027259C">
            <w:pPr>
              <w:rPr>
                <w:rFonts w:ascii="Times New Roman" w:hAnsi="Times New Roman" w:cs="Times New Roman"/>
                <w:sz w:val="18"/>
                <w:szCs w:val="18"/>
              </w:rPr>
            </w:pPr>
          </w:p>
          <w:p w14:paraId="29D49865" w14:textId="0B4DAFA9" w:rsidR="00F65B41" w:rsidRPr="0064128D" w:rsidRDefault="00F65B41" w:rsidP="0027259C">
            <w:pPr>
              <w:rPr>
                <w:rFonts w:ascii="Times New Roman" w:hAnsi="Times New Roman" w:cs="Times New Roman"/>
                <w:sz w:val="18"/>
                <w:szCs w:val="18"/>
              </w:rPr>
            </w:pPr>
            <w:r w:rsidRPr="0064128D">
              <w:rPr>
                <w:rFonts w:ascii="Times New Roman" w:hAnsi="Times New Roman" w:cs="Times New Roman"/>
                <w:b/>
                <w:bCs/>
                <w:sz w:val="18"/>
                <w:szCs w:val="18"/>
                <w:u w:val="single"/>
              </w:rPr>
              <w:t>Intervention</w:t>
            </w:r>
            <w:r w:rsidRPr="0064128D">
              <w:rPr>
                <w:rFonts w:ascii="Times New Roman" w:hAnsi="Times New Roman" w:cs="Times New Roman"/>
                <w:sz w:val="18"/>
                <w:szCs w:val="18"/>
              </w:rPr>
              <w:t>:</w:t>
            </w:r>
          </w:p>
          <w:p w14:paraId="5C3376B5" w14:textId="5BE7331B" w:rsidR="00464DB7" w:rsidRPr="0064128D" w:rsidRDefault="00F65B41" w:rsidP="0027259C">
            <w:pPr>
              <w:rPr>
                <w:rFonts w:ascii="Times New Roman" w:hAnsi="Times New Roman" w:cs="Times New Roman"/>
                <w:sz w:val="18"/>
                <w:szCs w:val="18"/>
              </w:rPr>
            </w:pPr>
            <w:r w:rsidRPr="0064128D">
              <w:rPr>
                <w:rFonts w:ascii="Times New Roman" w:hAnsi="Times New Roman" w:cs="Times New Roman"/>
                <w:sz w:val="18"/>
                <w:szCs w:val="18"/>
              </w:rPr>
              <w:t>T</w:t>
            </w:r>
            <w:r w:rsidR="0092490E" w:rsidRPr="0064128D">
              <w:rPr>
                <w:rFonts w:ascii="Times New Roman" w:hAnsi="Times New Roman" w:cs="Times New Roman"/>
                <w:sz w:val="18"/>
                <w:szCs w:val="18"/>
              </w:rPr>
              <w:t xml:space="preserve">hey </w:t>
            </w:r>
            <w:r w:rsidR="00464DB7" w:rsidRPr="0064128D">
              <w:rPr>
                <w:rFonts w:ascii="Times New Roman" w:hAnsi="Times New Roman" w:cs="Times New Roman"/>
                <w:sz w:val="18"/>
                <w:szCs w:val="18"/>
              </w:rPr>
              <w:t>increase</w:t>
            </w:r>
            <w:r w:rsidR="0092490E" w:rsidRPr="0064128D">
              <w:rPr>
                <w:rFonts w:ascii="Times New Roman" w:hAnsi="Times New Roman" w:cs="Times New Roman"/>
                <w:sz w:val="18"/>
                <w:szCs w:val="18"/>
              </w:rPr>
              <w:t>d</w:t>
            </w:r>
            <w:r w:rsidR="00464DB7" w:rsidRPr="0064128D">
              <w:rPr>
                <w:rFonts w:ascii="Times New Roman" w:hAnsi="Times New Roman" w:cs="Times New Roman"/>
                <w:sz w:val="18"/>
                <w:szCs w:val="18"/>
              </w:rPr>
              <w:t xml:space="preserve"> </w:t>
            </w:r>
            <w:r w:rsidR="0092490E" w:rsidRPr="0064128D">
              <w:rPr>
                <w:rFonts w:ascii="Times New Roman" w:hAnsi="Times New Roman" w:cs="Times New Roman"/>
                <w:sz w:val="18"/>
                <w:szCs w:val="18"/>
              </w:rPr>
              <w:t xml:space="preserve">coverage </w:t>
            </w:r>
            <w:r w:rsidR="00464DB7" w:rsidRPr="0064128D">
              <w:rPr>
                <w:rFonts w:ascii="Times New Roman" w:hAnsi="Times New Roman" w:cs="Times New Roman"/>
                <w:sz w:val="18"/>
                <w:szCs w:val="18"/>
              </w:rPr>
              <w:t>in artemisinin-based combination therapy (ACT), long-lasting insecticide-treated bed nets (LLIN), indoor residual spraying (IRS) and malaria vaccine (hypothetical)</w:t>
            </w:r>
            <w:r w:rsidR="0092490E" w:rsidRPr="0064128D">
              <w:rPr>
                <w:rFonts w:ascii="Times New Roman" w:hAnsi="Times New Roman" w:cs="Times New Roman"/>
                <w:sz w:val="18"/>
                <w:szCs w:val="18"/>
              </w:rPr>
              <w:t xml:space="preserve"> by 10%</w:t>
            </w:r>
            <w:r w:rsidR="00464DB7" w:rsidRPr="0064128D">
              <w:rPr>
                <w:rFonts w:ascii="Times New Roman" w:hAnsi="Times New Roman" w:cs="Times New Roman"/>
                <w:sz w:val="18"/>
                <w:szCs w:val="18"/>
              </w:rPr>
              <w:t xml:space="preserve"> in Ethiopia.</w:t>
            </w:r>
            <w:r w:rsidR="0092490E" w:rsidRPr="0064128D">
              <w:rPr>
                <w:rFonts w:ascii="Times New Roman" w:hAnsi="Times New Roman" w:cs="Times New Roman"/>
                <w:sz w:val="18"/>
                <w:szCs w:val="18"/>
              </w:rPr>
              <w:t xml:space="preserve"> It was a UPF program.</w:t>
            </w:r>
            <w:r w:rsidR="00A36052" w:rsidRPr="0064128D">
              <w:rPr>
                <w:rFonts w:ascii="Times New Roman" w:hAnsi="Times New Roman" w:cs="Times New Roman"/>
                <w:sz w:val="18"/>
                <w:szCs w:val="18"/>
              </w:rPr>
              <w:t xml:space="preserve"> </w:t>
            </w:r>
          </w:p>
        </w:tc>
        <w:tc>
          <w:tcPr>
            <w:tcW w:w="2936" w:type="dxa"/>
          </w:tcPr>
          <w:p w14:paraId="2429F607" w14:textId="77777777"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Used Extended cost-effectiveness analysis</w:t>
            </w:r>
            <w:r w:rsidR="00453F1F" w:rsidRPr="0064128D">
              <w:rPr>
                <w:rFonts w:ascii="Times New Roman" w:hAnsi="Times New Roman" w:cs="Times New Roman"/>
                <w:sz w:val="18"/>
                <w:szCs w:val="18"/>
              </w:rPr>
              <w:t xml:space="preserve"> to estimate the health gains and FRP and their distributions across socio-economic groups.</w:t>
            </w:r>
          </w:p>
          <w:p w14:paraId="3D5DDD70" w14:textId="398EDAB9" w:rsidR="00BD0B44" w:rsidRPr="0064128D" w:rsidRDefault="00BD0B44" w:rsidP="0027259C">
            <w:pPr>
              <w:rPr>
                <w:rFonts w:ascii="Times New Roman" w:hAnsi="Times New Roman" w:cs="Times New Roman"/>
                <w:sz w:val="18"/>
                <w:szCs w:val="18"/>
              </w:rPr>
            </w:pPr>
            <w:r w:rsidRPr="0064128D">
              <w:rPr>
                <w:rFonts w:ascii="Times New Roman" w:hAnsi="Times New Roman" w:cs="Times New Roman"/>
                <w:sz w:val="18"/>
                <w:szCs w:val="18"/>
              </w:rPr>
              <w:t>The cost of each intervention was estimated from the health system perspective.</w:t>
            </w:r>
            <w:r w:rsidR="00EB18F0" w:rsidRPr="0064128D">
              <w:rPr>
                <w:rFonts w:ascii="Times New Roman" w:hAnsi="Times New Roman" w:cs="Times New Roman"/>
                <w:sz w:val="18"/>
                <w:szCs w:val="18"/>
              </w:rPr>
              <w:t xml:space="preserve"> They employed data from the literature, their own </w:t>
            </w:r>
            <w:r w:rsidR="001C0726" w:rsidRPr="0064128D">
              <w:rPr>
                <w:rFonts w:ascii="Times New Roman" w:hAnsi="Times New Roman" w:cs="Times New Roman"/>
                <w:sz w:val="18"/>
                <w:szCs w:val="18"/>
              </w:rPr>
              <w:t>calculations,</w:t>
            </w:r>
            <w:r w:rsidR="00EB18F0" w:rsidRPr="0064128D">
              <w:rPr>
                <w:rFonts w:ascii="Times New Roman" w:hAnsi="Times New Roman" w:cs="Times New Roman"/>
                <w:sz w:val="18"/>
                <w:szCs w:val="18"/>
              </w:rPr>
              <w:t xml:space="preserve"> and assumptions.</w:t>
            </w:r>
          </w:p>
        </w:tc>
        <w:tc>
          <w:tcPr>
            <w:tcW w:w="6964" w:type="dxa"/>
          </w:tcPr>
          <w:p w14:paraId="5F628073" w14:textId="3A4CD988" w:rsidR="00464DB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HBG</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The ACT, LLIN, IRS and the vaccine would respectively avert 358, 188, 107 and 38 deaths each year.</w:t>
            </w:r>
          </w:p>
          <w:p w14:paraId="77D24BF6" w14:textId="61D46A87" w:rsidR="00464DB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FC</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The four interventions would avert about $4,627,800 of </w:t>
            </w:r>
            <w:r w:rsidR="003F5765" w:rsidRPr="0064128D">
              <w:rPr>
                <w:rFonts w:ascii="Times New Roman" w:hAnsi="Times New Roman" w:cs="Times New Roman"/>
                <w:sz w:val="18"/>
                <w:szCs w:val="18"/>
              </w:rPr>
              <w:t xml:space="preserve">out-of-pocket </w:t>
            </w:r>
            <w:r w:rsidR="00464DB7" w:rsidRPr="0064128D">
              <w:rPr>
                <w:rFonts w:ascii="Times New Roman" w:hAnsi="Times New Roman" w:cs="Times New Roman"/>
                <w:sz w:val="18"/>
                <w:szCs w:val="18"/>
              </w:rPr>
              <w:t>expenditures</w:t>
            </w:r>
            <w:r w:rsidR="003F5765" w:rsidRPr="0064128D">
              <w:rPr>
                <w:rFonts w:ascii="Times New Roman" w:hAnsi="Times New Roman" w:cs="Times New Roman"/>
                <w:sz w:val="18"/>
                <w:szCs w:val="18"/>
              </w:rPr>
              <w:t xml:space="preserve"> (OOP)</w:t>
            </w:r>
            <w:r w:rsidR="00464DB7" w:rsidRPr="0064128D">
              <w:rPr>
                <w:rFonts w:ascii="Times New Roman" w:hAnsi="Times New Roman" w:cs="Times New Roman"/>
                <w:sz w:val="18"/>
                <w:szCs w:val="18"/>
              </w:rPr>
              <w:t>.</w:t>
            </w:r>
            <w:r w:rsidR="00C258A3" w:rsidRPr="0064128D">
              <w:rPr>
                <w:rFonts w:ascii="Times New Roman" w:hAnsi="Times New Roman" w:cs="Times New Roman"/>
                <w:sz w:val="18"/>
                <w:szCs w:val="18"/>
              </w:rPr>
              <w:t xml:space="preserve"> The net government cost would be $5.</w:t>
            </w:r>
            <w:r w:rsidR="002131DD" w:rsidRPr="0064128D">
              <w:rPr>
                <w:rFonts w:ascii="Times New Roman" w:hAnsi="Times New Roman" w:cs="Times New Roman"/>
                <w:sz w:val="18"/>
                <w:szCs w:val="18"/>
              </w:rPr>
              <w:t>7</w:t>
            </w:r>
            <w:r w:rsidR="00C258A3" w:rsidRPr="0064128D">
              <w:rPr>
                <w:rFonts w:ascii="Times New Roman" w:hAnsi="Times New Roman" w:cs="Times New Roman"/>
                <w:sz w:val="18"/>
                <w:szCs w:val="18"/>
              </w:rPr>
              <w:t>, 16.5, 32.6, and 5.1 million per year for the ACT, LLIN, IRS and the vaccine interventions, respectively.</w:t>
            </w:r>
          </w:p>
          <w:p w14:paraId="3FB5B3B6" w14:textId="7498DE71" w:rsidR="00464DB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FRP</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ACT, LLIN, IRS and the Malaria vaccine averted 440, 220, 125 and 18 cases of </w:t>
            </w:r>
            <w:r w:rsidR="00A36052" w:rsidRPr="0064128D">
              <w:rPr>
                <w:rFonts w:ascii="Times New Roman" w:hAnsi="Times New Roman" w:cs="Times New Roman"/>
                <w:sz w:val="18"/>
                <w:szCs w:val="18"/>
              </w:rPr>
              <w:t>CHE annually</w:t>
            </w:r>
            <w:r w:rsidR="00464DB7" w:rsidRPr="0064128D">
              <w:rPr>
                <w:rFonts w:ascii="Times New Roman" w:hAnsi="Times New Roman" w:cs="Times New Roman"/>
                <w:sz w:val="18"/>
                <w:szCs w:val="18"/>
              </w:rPr>
              <w:t>.</w:t>
            </w:r>
          </w:p>
          <w:p w14:paraId="601A5444" w14:textId="77777777" w:rsidR="00464DB7" w:rsidRDefault="00D82C07" w:rsidP="0027259C">
            <w:pPr>
              <w:rPr>
                <w:rFonts w:ascii="Times New Roman" w:hAnsi="Times New Roman" w:cs="Times New Roman"/>
                <w:sz w:val="18"/>
                <w:szCs w:val="18"/>
              </w:rPr>
            </w:pPr>
            <w:r w:rsidRPr="0064128D">
              <w:rPr>
                <w:rFonts w:ascii="Times New Roman" w:hAnsi="Times New Roman" w:cs="Times New Roman"/>
                <w:b/>
                <w:bCs/>
                <w:i/>
                <w:iCs/>
                <w:sz w:val="18"/>
                <w:szCs w:val="18"/>
              </w:rPr>
              <w:t>Equity</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The averted deaths and </w:t>
            </w:r>
            <w:r w:rsidR="000A07A1" w:rsidRPr="0064128D">
              <w:rPr>
                <w:rFonts w:ascii="Times New Roman" w:hAnsi="Times New Roman" w:cs="Times New Roman"/>
                <w:sz w:val="18"/>
                <w:szCs w:val="18"/>
              </w:rPr>
              <w:t>FRP</w:t>
            </w:r>
            <w:r w:rsidR="00464DB7" w:rsidRPr="0064128D">
              <w:rPr>
                <w:rFonts w:ascii="Times New Roman" w:hAnsi="Times New Roman" w:cs="Times New Roman"/>
                <w:sz w:val="18"/>
                <w:szCs w:val="18"/>
              </w:rPr>
              <w:t xml:space="preserve"> benefits would accrue mainly to the poorest income quintiles</w:t>
            </w:r>
            <w:r w:rsidR="00326FC4" w:rsidRPr="0064128D">
              <w:rPr>
                <w:rFonts w:ascii="Times New Roman" w:hAnsi="Times New Roman" w:cs="Times New Roman"/>
                <w:sz w:val="18"/>
                <w:szCs w:val="18"/>
              </w:rPr>
              <w:t xml:space="preserve"> as they face higher malaria prevalence and associated risk factors</w:t>
            </w:r>
            <w:r w:rsidR="00464DB7" w:rsidRPr="0064128D">
              <w:rPr>
                <w:rFonts w:ascii="Times New Roman" w:hAnsi="Times New Roman" w:cs="Times New Roman"/>
                <w:sz w:val="18"/>
                <w:szCs w:val="18"/>
              </w:rPr>
              <w:t>.</w:t>
            </w:r>
            <w:r w:rsidR="0001067D" w:rsidRPr="0064128D">
              <w:rPr>
                <w:rFonts w:ascii="Times New Roman" w:hAnsi="Times New Roman" w:cs="Times New Roman"/>
                <w:sz w:val="18"/>
                <w:szCs w:val="18"/>
              </w:rPr>
              <w:t xml:space="preserve"> About 50% of deaths averted by ACT, LLIN, and IRS and 52% by the vaccine accrued to the poorest and poorer quintile</w:t>
            </w:r>
            <w:r w:rsidR="00B926B9" w:rsidRPr="0064128D">
              <w:rPr>
                <w:rFonts w:ascii="Times New Roman" w:hAnsi="Times New Roman" w:cs="Times New Roman"/>
                <w:sz w:val="18"/>
                <w:szCs w:val="18"/>
              </w:rPr>
              <w:t>.</w:t>
            </w:r>
            <w:r w:rsidR="0001067D" w:rsidRPr="0064128D">
              <w:rPr>
                <w:rFonts w:ascii="Times New Roman" w:hAnsi="Times New Roman" w:cs="Times New Roman"/>
                <w:sz w:val="18"/>
                <w:szCs w:val="18"/>
              </w:rPr>
              <w:t xml:space="preserve"> </w:t>
            </w:r>
          </w:p>
          <w:p w14:paraId="5504E9CD" w14:textId="3347C466" w:rsidR="00D6131B" w:rsidRPr="0064128D" w:rsidRDefault="00D6131B" w:rsidP="0027259C">
            <w:pPr>
              <w:rPr>
                <w:rFonts w:ascii="Times New Roman" w:hAnsi="Times New Roman" w:cs="Times New Roman"/>
                <w:sz w:val="18"/>
                <w:szCs w:val="18"/>
              </w:rPr>
            </w:pPr>
          </w:p>
        </w:tc>
      </w:tr>
      <w:tr w:rsidR="0064128D" w:rsidRPr="0064128D" w14:paraId="662404A7" w14:textId="77777777" w:rsidTr="00C718F8">
        <w:trPr>
          <w:trHeight w:val="1934"/>
        </w:trPr>
        <w:tc>
          <w:tcPr>
            <w:tcW w:w="540" w:type="dxa"/>
          </w:tcPr>
          <w:p w14:paraId="36266CC4" w14:textId="48B483C6"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2</w:t>
            </w:r>
          </w:p>
        </w:tc>
        <w:tc>
          <w:tcPr>
            <w:tcW w:w="1260" w:type="dxa"/>
          </w:tcPr>
          <w:p w14:paraId="49A4549E" w14:textId="050544A0"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fldChar w:fldCharType="begin" w:fldLock="1"/>
            </w:r>
            <w:r w:rsidRPr="0064128D">
              <w:rPr>
                <w:rFonts w:ascii="Times New Roman" w:hAnsi="Times New Roman" w:cs="Times New Roman"/>
                <w:sz w:val="18"/>
                <w:szCs w:val="18"/>
              </w:rPr>
              <w:instrText>ADDIN CSL_CITATION {"citationItems":[{"id":"ITEM-1","itemData":{"DOI":"10.1093/heapol/czz181","ISSN":"14602237","PMID":"32031615","abstract":"Treatment costs remain a barrier for having timely cataract surgery in Vietnam, particularly for females and the poor, despite significant progress in achieving universal health coverage (UHC). This study evaluated the potential impact, on health and financial protection, of eliminating medical and non-medical out-of-pocket costs associated with cataract surgery. An extended cost-effectiveness analysis (ECEA) was conducted with a societal perspective. The ECEA modelled how many more disability-adjusted life years (DALYs) and cases of catastrophic health expenditure (CHE) and medical impoverishment could be averted across income quintiles and between males and females. Two programmes were evaluated: (1) eliminating medical out-of-pocket costs for small incision cataract surgery and (2) Programme A plus a voucher programme covering non-medical out-of-pocket costs. Compared with current, the incremental cost per year of Programme A was estimated to be $833 396 and $1 641 835 for Programme B, each representing &lt;0.01% of total health care spending in 2016. Males and females in the richest income quintiles would avert more DALYs than those in the poorest quintiles. For both programmes, most cases of CHE would be averted by individuals in the poorest income quintile. Programme B would avert the most CHE cases overall and females would have a greater share of benefits. All cases of impoverishing medical expenditure would be averted by individuals in the poorest quintile (A: 115 cases and B: 493 cases) for both programmes. The cost to avert each case of CHE with Programme A ranged from $67 to $292 and $100 to $232 for Programme B. We found a pro-rich health distribution and a pro-poor CHE distribution associated with eliminating out-of-pocket costs of cataract surgery in Vietnam. A programme that addressed both medical and non-medical out-of-pocket costs could have the greatest impact on improving financial protection in this population, particularly among the poorest income quintiles and for females. This study supports the concordance between the objectives of UHC and gender equity.","author":[{"dropping-particle":"","family":"Essue","given":"Beverley M.","non-dropping-particle":"","parse-names":false,"suffix":""},{"dropping-particle":"","family":"Jan","given":"Stephen","non-dropping-particle":"","parse-names":false,"suffix":""},{"dropping-particle":"","family":"Phuc","given":"Huynh Tan","non-dropping-particle":"","parse-names":false,"suffix":""},{"dropping-particle":"","family":"Dodson","given":"Sarity","non-dropping-particle":"","parse-names":false,"suffix":""},{"dropping-particle":"","family":"Armstrong","given":"Kirsten","non-dropping-particle":"","parse-names":false,"suffix":""},{"dropping-particle":"","family":"Laba","given":"Tracey Lea","non-dropping-particle":"","parse-names":false,"suffix":""}],"container-title":"Health Policy and Planning","id":"ITEM-1","issue":"4","issued":{"date-parts":[["2020"]]},"page":"399-407","title":"Who benefits most from extending financial protection for cataract surgery in Vietnam? An extended cost-effectiveness analysis of small incision surgery","type":"article-journal","volume":"35"},"uris":["http://www.mendeley.com/documents/?uuid=60f525c3-7ceb-4a67-8c0b-85a3c7db2c8c"]}],"mendeley":{"formattedCitation":"(Essue et al., 2020)","manualFormatting":"Essue et al. (2020)","plainTextFormattedCitation":"(Essue et al., 2020)","previouslyFormattedCitation":"(Essue et al., 2020)"},"properties":{"noteIndex":0},"schema":"https://github.com/citation-style-language/schema/raw/master/csl-citation.json"}</w:instrText>
            </w:r>
            <w:r w:rsidRPr="0064128D">
              <w:rPr>
                <w:rFonts w:ascii="Times New Roman" w:hAnsi="Times New Roman" w:cs="Times New Roman"/>
                <w:sz w:val="18"/>
                <w:szCs w:val="18"/>
              </w:rPr>
              <w:fldChar w:fldCharType="separate"/>
            </w:r>
            <w:r w:rsidRPr="0064128D">
              <w:rPr>
                <w:rFonts w:ascii="Times New Roman" w:hAnsi="Times New Roman" w:cs="Times New Roman"/>
                <w:noProof/>
                <w:sz w:val="18"/>
                <w:szCs w:val="18"/>
              </w:rPr>
              <w:t>Essue et al. (2020)</w:t>
            </w:r>
            <w:r w:rsidRPr="0064128D">
              <w:rPr>
                <w:rFonts w:ascii="Times New Roman" w:hAnsi="Times New Roman" w:cs="Times New Roman"/>
                <w:sz w:val="18"/>
                <w:szCs w:val="18"/>
              </w:rPr>
              <w:fldChar w:fldCharType="end"/>
            </w:r>
            <w:r w:rsidRPr="0064128D">
              <w:rPr>
                <w:rFonts w:ascii="Times New Roman" w:hAnsi="Times New Roman" w:cs="Times New Roman"/>
                <w:sz w:val="18"/>
                <w:szCs w:val="18"/>
              </w:rPr>
              <w:t>,</w:t>
            </w:r>
          </w:p>
          <w:p w14:paraId="465DE437" w14:textId="01F5B627"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Vietnam</w:t>
            </w:r>
          </w:p>
        </w:tc>
        <w:tc>
          <w:tcPr>
            <w:tcW w:w="3240" w:type="dxa"/>
          </w:tcPr>
          <w:p w14:paraId="09D6F368" w14:textId="4CA96009"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 xml:space="preserve">Evaluated the </w:t>
            </w:r>
            <w:r w:rsidR="00C2353F" w:rsidRPr="0064128D">
              <w:rPr>
                <w:rFonts w:ascii="Times New Roman" w:hAnsi="Times New Roman" w:cs="Times New Roman"/>
                <w:sz w:val="18"/>
                <w:szCs w:val="18"/>
              </w:rPr>
              <w:t xml:space="preserve">health and non-health </w:t>
            </w:r>
            <w:r w:rsidRPr="0064128D">
              <w:rPr>
                <w:rFonts w:ascii="Times New Roman" w:hAnsi="Times New Roman" w:cs="Times New Roman"/>
                <w:sz w:val="18"/>
                <w:szCs w:val="18"/>
              </w:rPr>
              <w:t>impact of cataract surgery in Vietnam</w:t>
            </w:r>
            <w:r w:rsidR="00D47328" w:rsidRPr="0064128D">
              <w:rPr>
                <w:rFonts w:ascii="Times New Roman" w:hAnsi="Times New Roman" w:cs="Times New Roman"/>
                <w:sz w:val="18"/>
                <w:szCs w:val="18"/>
              </w:rPr>
              <w:t>, across sex and income quintiles</w:t>
            </w:r>
            <w:r w:rsidRPr="0064128D">
              <w:rPr>
                <w:rFonts w:ascii="Times New Roman" w:hAnsi="Times New Roman" w:cs="Times New Roman"/>
                <w:sz w:val="18"/>
                <w:szCs w:val="18"/>
              </w:rPr>
              <w:t>.</w:t>
            </w:r>
          </w:p>
          <w:p w14:paraId="18D61F66" w14:textId="697F55A2" w:rsidR="00B17BFC" w:rsidRPr="0064128D" w:rsidRDefault="00B17BFC" w:rsidP="0027259C">
            <w:pPr>
              <w:rPr>
                <w:rFonts w:ascii="Times New Roman" w:hAnsi="Times New Roman" w:cs="Times New Roman"/>
                <w:sz w:val="18"/>
                <w:szCs w:val="18"/>
              </w:rPr>
            </w:pPr>
          </w:p>
          <w:p w14:paraId="55050FED" w14:textId="003E7293" w:rsidR="00B17BFC" w:rsidRPr="0064128D" w:rsidRDefault="007976DC" w:rsidP="0027259C">
            <w:pPr>
              <w:rPr>
                <w:rFonts w:ascii="Times New Roman" w:hAnsi="Times New Roman" w:cs="Times New Roman"/>
                <w:sz w:val="18"/>
                <w:szCs w:val="18"/>
              </w:rPr>
            </w:pPr>
            <w:r w:rsidRPr="0064128D">
              <w:rPr>
                <w:rFonts w:ascii="Times New Roman" w:hAnsi="Times New Roman" w:cs="Times New Roman"/>
                <w:b/>
                <w:bCs/>
                <w:sz w:val="18"/>
                <w:szCs w:val="18"/>
              </w:rPr>
              <w:t>Status quo</w:t>
            </w:r>
            <w:r w:rsidR="00B17BFC" w:rsidRPr="0064128D">
              <w:rPr>
                <w:rFonts w:ascii="Times New Roman" w:hAnsi="Times New Roman" w:cs="Times New Roman"/>
                <w:sz w:val="18"/>
                <w:szCs w:val="18"/>
              </w:rPr>
              <w:t>: Patients paid all medical and non-medical OOP costs</w:t>
            </w:r>
            <w:r w:rsidR="00061818" w:rsidRPr="0064128D">
              <w:rPr>
                <w:rFonts w:ascii="Times New Roman" w:hAnsi="Times New Roman" w:cs="Times New Roman"/>
                <w:sz w:val="18"/>
                <w:szCs w:val="18"/>
              </w:rPr>
              <w:t xml:space="preserve"> associated with cataract surgery</w:t>
            </w:r>
            <w:r w:rsidR="00B17BFC" w:rsidRPr="0064128D">
              <w:rPr>
                <w:rFonts w:ascii="Times New Roman" w:hAnsi="Times New Roman" w:cs="Times New Roman"/>
                <w:sz w:val="18"/>
                <w:szCs w:val="18"/>
              </w:rPr>
              <w:t>.</w:t>
            </w:r>
          </w:p>
          <w:p w14:paraId="29C46B49" w14:textId="635282C1" w:rsidR="00F81F05" w:rsidRPr="0064128D" w:rsidRDefault="00F81F05" w:rsidP="0027259C">
            <w:pPr>
              <w:rPr>
                <w:rFonts w:ascii="Times New Roman" w:hAnsi="Times New Roman" w:cs="Times New Roman"/>
                <w:sz w:val="18"/>
                <w:szCs w:val="18"/>
              </w:rPr>
            </w:pPr>
          </w:p>
          <w:p w14:paraId="6F6F0B44" w14:textId="48AADA5D" w:rsidR="000D57BE" w:rsidRPr="0064128D" w:rsidRDefault="000D57BE" w:rsidP="0027259C">
            <w:pPr>
              <w:rPr>
                <w:rFonts w:ascii="Times New Roman" w:hAnsi="Times New Roman" w:cs="Times New Roman"/>
                <w:sz w:val="18"/>
                <w:szCs w:val="18"/>
              </w:rPr>
            </w:pPr>
            <w:r w:rsidRPr="0064128D">
              <w:rPr>
                <w:rFonts w:ascii="Times New Roman" w:hAnsi="Times New Roman" w:cs="Times New Roman"/>
                <w:b/>
                <w:bCs/>
                <w:sz w:val="18"/>
                <w:szCs w:val="18"/>
                <w:u w:val="single"/>
              </w:rPr>
              <w:t>Intervention</w:t>
            </w:r>
            <w:r w:rsidR="00B10C94" w:rsidRPr="0064128D">
              <w:rPr>
                <w:rFonts w:ascii="Times New Roman" w:hAnsi="Times New Roman" w:cs="Times New Roman"/>
                <w:b/>
                <w:bCs/>
                <w:sz w:val="18"/>
                <w:szCs w:val="18"/>
                <w:u w:val="single"/>
              </w:rPr>
              <w:t>s</w:t>
            </w:r>
            <w:r w:rsidRPr="0064128D">
              <w:rPr>
                <w:rFonts w:ascii="Times New Roman" w:hAnsi="Times New Roman" w:cs="Times New Roman"/>
                <w:sz w:val="18"/>
                <w:szCs w:val="18"/>
              </w:rPr>
              <w:t>:</w:t>
            </w:r>
          </w:p>
          <w:p w14:paraId="25E852E5" w14:textId="21106718" w:rsidR="008F7BAE"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Program A</w:t>
            </w:r>
            <w:r w:rsidR="000D57BE" w:rsidRPr="0064128D">
              <w:rPr>
                <w:rFonts w:ascii="Times New Roman" w:hAnsi="Times New Roman" w:cs="Times New Roman"/>
                <w:sz w:val="18"/>
                <w:szCs w:val="18"/>
              </w:rPr>
              <w:t>:</w:t>
            </w:r>
            <w:r w:rsidRPr="0064128D">
              <w:rPr>
                <w:rFonts w:ascii="Times New Roman" w:hAnsi="Times New Roman" w:cs="Times New Roman"/>
                <w:sz w:val="18"/>
                <w:szCs w:val="18"/>
              </w:rPr>
              <w:t xml:space="preserve"> comprises eliminating medical </w:t>
            </w:r>
            <w:r w:rsidR="00D86B86" w:rsidRPr="0064128D">
              <w:rPr>
                <w:rFonts w:ascii="Times New Roman" w:hAnsi="Times New Roman" w:cs="Times New Roman"/>
                <w:sz w:val="18"/>
                <w:szCs w:val="18"/>
              </w:rPr>
              <w:t>OOP</w:t>
            </w:r>
            <w:r w:rsidRPr="0064128D">
              <w:rPr>
                <w:rFonts w:ascii="Times New Roman" w:hAnsi="Times New Roman" w:cs="Times New Roman"/>
                <w:sz w:val="18"/>
                <w:szCs w:val="18"/>
              </w:rPr>
              <w:t xml:space="preserve"> costs for small incision cataract surgery. </w:t>
            </w:r>
          </w:p>
          <w:p w14:paraId="489A1E58" w14:textId="77777777" w:rsidR="00EB3856" w:rsidRPr="0064128D" w:rsidRDefault="00EB3856" w:rsidP="0027259C">
            <w:pPr>
              <w:rPr>
                <w:rFonts w:ascii="Times New Roman" w:hAnsi="Times New Roman" w:cs="Times New Roman"/>
                <w:sz w:val="18"/>
                <w:szCs w:val="18"/>
              </w:rPr>
            </w:pPr>
          </w:p>
          <w:p w14:paraId="6256350A" w14:textId="187F999A"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Program B</w:t>
            </w:r>
            <w:r w:rsidR="000D57BE" w:rsidRPr="0064128D">
              <w:rPr>
                <w:rFonts w:ascii="Times New Roman" w:hAnsi="Times New Roman" w:cs="Times New Roman"/>
                <w:sz w:val="18"/>
                <w:szCs w:val="18"/>
              </w:rPr>
              <w:t>:</w:t>
            </w:r>
            <w:r w:rsidRPr="0064128D">
              <w:rPr>
                <w:rFonts w:ascii="Times New Roman" w:hAnsi="Times New Roman" w:cs="Times New Roman"/>
                <w:sz w:val="18"/>
                <w:szCs w:val="18"/>
              </w:rPr>
              <w:t xml:space="preserve"> encompasses program A plus a voucher covering non-medical </w:t>
            </w:r>
            <w:r w:rsidR="00D86B86" w:rsidRPr="0064128D">
              <w:rPr>
                <w:rFonts w:ascii="Times New Roman" w:hAnsi="Times New Roman" w:cs="Times New Roman"/>
                <w:sz w:val="18"/>
                <w:szCs w:val="18"/>
              </w:rPr>
              <w:t>OOP</w:t>
            </w:r>
            <w:r w:rsidRPr="0064128D">
              <w:rPr>
                <w:rFonts w:ascii="Times New Roman" w:hAnsi="Times New Roman" w:cs="Times New Roman"/>
                <w:sz w:val="18"/>
                <w:szCs w:val="18"/>
              </w:rPr>
              <w:t xml:space="preserve"> costs.</w:t>
            </w:r>
          </w:p>
          <w:p w14:paraId="1B08E527" w14:textId="55135950" w:rsidR="00464DB7" w:rsidRPr="0064128D" w:rsidRDefault="00464DB7" w:rsidP="0027259C">
            <w:pPr>
              <w:rPr>
                <w:rFonts w:ascii="Times New Roman" w:hAnsi="Times New Roman" w:cs="Times New Roman"/>
                <w:sz w:val="18"/>
                <w:szCs w:val="18"/>
              </w:rPr>
            </w:pPr>
          </w:p>
        </w:tc>
        <w:tc>
          <w:tcPr>
            <w:tcW w:w="2936" w:type="dxa"/>
          </w:tcPr>
          <w:p w14:paraId="699B37A0" w14:textId="77777777"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 xml:space="preserve">Conducted </w:t>
            </w:r>
            <w:r w:rsidR="00D962B1" w:rsidRPr="0064128D">
              <w:rPr>
                <w:rFonts w:ascii="Times New Roman" w:hAnsi="Times New Roman" w:cs="Times New Roman"/>
                <w:sz w:val="18"/>
                <w:szCs w:val="18"/>
              </w:rPr>
              <w:t>ECEA to estimate HBG, FC, FRP and equity</w:t>
            </w:r>
            <w:r w:rsidRPr="0064128D">
              <w:rPr>
                <w:rFonts w:ascii="Times New Roman" w:hAnsi="Times New Roman" w:cs="Times New Roman"/>
                <w:sz w:val="18"/>
                <w:szCs w:val="18"/>
              </w:rPr>
              <w:t>.</w:t>
            </w:r>
          </w:p>
          <w:p w14:paraId="286D0EB1" w14:textId="5F98229D" w:rsidR="00D962B1" w:rsidRPr="0064128D" w:rsidRDefault="00D962B1" w:rsidP="0027259C">
            <w:pPr>
              <w:rPr>
                <w:rFonts w:ascii="Times New Roman" w:hAnsi="Times New Roman" w:cs="Times New Roman"/>
                <w:sz w:val="18"/>
                <w:szCs w:val="18"/>
              </w:rPr>
            </w:pPr>
            <w:r w:rsidRPr="0064128D">
              <w:rPr>
                <w:rFonts w:ascii="Times New Roman" w:hAnsi="Times New Roman" w:cs="Times New Roman"/>
                <w:sz w:val="18"/>
                <w:szCs w:val="18"/>
              </w:rPr>
              <w:t xml:space="preserve">Cost </w:t>
            </w:r>
            <w:r w:rsidR="00175EFB" w:rsidRPr="0064128D">
              <w:rPr>
                <w:rFonts w:ascii="Times New Roman" w:hAnsi="Times New Roman" w:cs="Times New Roman"/>
                <w:sz w:val="18"/>
                <w:szCs w:val="18"/>
              </w:rPr>
              <w:t>was</w:t>
            </w:r>
            <w:r w:rsidRPr="0064128D">
              <w:rPr>
                <w:rFonts w:ascii="Times New Roman" w:hAnsi="Times New Roman" w:cs="Times New Roman"/>
                <w:sz w:val="18"/>
                <w:szCs w:val="18"/>
              </w:rPr>
              <w:t xml:space="preserve"> estimated from the societal perspective.</w:t>
            </w:r>
          </w:p>
          <w:p w14:paraId="6A74DBEA" w14:textId="4A811721" w:rsidR="00720B41" w:rsidRPr="0064128D" w:rsidRDefault="00720B41" w:rsidP="0027259C">
            <w:pPr>
              <w:rPr>
                <w:rFonts w:ascii="Times New Roman" w:hAnsi="Times New Roman" w:cs="Times New Roman"/>
                <w:sz w:val="18"/>
                <w:szCs w:val="18"/>
              </w:rPr>
            </w:pPr>
            <w:r w:rsidRPr="0064128D">
              <w:rPr>
                <w:rFonts w:ascii="Times New Roman" w:hAnsi="Times New Roman" w:cs="Times New Roman"/>
                <w:sz w:val="18"/>
                <w:szCs w:val="18"/>
              </w:rPr>
              <w:t>Created an incident cohort comprising of all females and males in Vietnam aged 50 years and older with visual impairment due to cataracts.</w:t>
            </w:r>
          </w:p>
          <w:p w14:paraId="3F4BD479" w14:textId="2B9D7368" w:rsidR="003F5E34" w:rsidRPr="0064128D" w:rsidRDefault="003F5E34" w:rsidP="0027259C">
            <w:pPr>
              <w:rPr>
                <w:rFonts w:ascii="Times New Roman" w:hAnsi="Times New Roman" w:cs="Times New Roman"/>
                <w:sz w:val="18"/>
                <w:szCs w:val="18"/>
              </w:rPr>
            </w:pPr>
            <w:r w:rsidRPr="0064128D">
              <w:rPr>
                <w:rFonts w:ascii="Times New Roman" w:hAnsi="Times New Roman" w:cs="Times New Roman"/>
                <w:sz w:val="18"/>
                <w:szCs w:val="18"/>
              </w:rPr>
              <w:t>Used data</w:t>
            </w:r>
            <w:r w:rsidR="003C339C" w:rsidRPr="0064128D">
              <w:rPr>
                <w:rFonts w:ascii="Times New Roman" w:hAnsi="Times New Roman" w:cs="Times New Roman"/>
                <w:sz w:val="18"/>
                <w:szCs w:val="18"/>
              </w:rPr>
              <w:t xml:space="preserve"> from </w:t>
            </w:r>
            <w:r w:rsidR="009741C5" w:rsidRPr="0064128D">
              <w:rPr>
                <w:rFonts w:ascii="Times New Roman" w:hAnsi="Times New Roman" w:cs="Times New Roman"/>
                <w:sz w:val="18"/>
                <w:szCs w:val="18"/>
              </w:rPr>
              <w:t xml:space="preserve">empirical literature, General Statistics Office of Vietnam, Ministry of Health and Medical Service Administration and WDI. </w:t>
            </w:r>
          </w:p>
        </w:tc>
        <w:tc>
          <w:tcPr>
            <w:tcW w:w="6964" w:type="dxa"/>
          </w:tcPr>
          <w:p w14:paraId="3F849BA8" w14:textId="74A21E11" w:rsidR="00464DB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HBG</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w:t>
            </w:r>
            <w:r w:rsidR="00627497" w:rsidRPr="0064128D">
              <w:rPr>
                <w:rFonts w:ascii="Times New Roman" w:hAnsi="Times New Roman" w:cs="Times New Roman"/>
                <w:sz w:val="18"/>
                <w:szCs w:val="18"/>
              </w:rPr>
              <w:t xml:space="preserve">45 DALYs were averted for males and 207 DALYs were averted for females for programs A and B. Thus, both programs avoided same DALYs. </w:t>
            </w:r>
          </w:p>
          <w:p w14:paraId="0A6859F4" w14:textId="77777777" w:rsidR="0097620E" w:rsidRPr="0064128D" w:rsidRDefault="0097620E" w:rsidP="0027259C">
            <w:pPr>
              <w:rPr>
                <w:rFonts w:ascii="Times New Roman" w:hAnsi="Times New Roman" w:cs="Times New Roman"/>
                <w:sz w:val="18"/>
                <w:szCs w:val="18"/>
              </w:rPr>
            </w:pPr>
          </w:p>
          <w:p w14:paraId="2A47BEF3" w14:textId="38F414FA" w:rsidR="00464DB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FC</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The elimination of out-of-pocket costs were estimated to result in more individuals having surgery. Thus, from 1668 to 2326 males and from 8728 to 12,185 females. </w:t>
            </w:r>
            <w:r w:rsidR="007C4839" w:rsidRPr="0064128D">
              <w:rPr>
                <w:rFonts w:ascii="Times New Roman" w:hAnsi="Times New Roman" w:cs="Times New Roman"/>
                <w:sz w:val="18"/>
                <w:szCs w:val="18"/>
              </w:rPr>
              <w:t>Incremental cost of policy to the government was assessed.</w:t>
            </w:r>
          </w:p>
          <w:p w14:paraId="6BFEFF8C" w14:textId="77777777" w:rsidR="0097620E" w:rsidRPr="0064128D" w:rsidRDefault="0097620E" w:rsidP="0027259C">
            <w:pPr>
              <w:rPr>
                <w:rFonts w:ascii="Times New Roman" w:hAnsi="Times New Roman" w:cs="Times New Roman"/>
                <w:sz w:val="18"/>
                <w:szCs w:val="18"/>
              </w:rPr>
            </w:pPr>
          </w:p>
          <w:p w14:paraId="49CF8BC2" w14:textId="213C059F" w:rsidR="0097620E"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FRP</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There would be a net of </w:t>
            </w:r>
            <w:r w:rsidR="0097620E" w:rsidRPr="0064128D">
              <w:rPr>
                <w:rFonts w:ascii="Times New Roman" w:hAnsi="Times New Roman" w:cs="Times New Roman"/>
                <w:sz w:val="18"/>
                <w:szCs w:val="18"/>
              </w:rPr>
              <w:t>1,732 cases of CHE averted</w:t>
            </w:r>
            <w:r w:rsidR="0095576D" w:rsidRPr="0064128D">
              <w:rPr>
                <w:rFonts w:ascii="Times New Roman" w:hAnsi="Times New Roman" w:cs="Times New Roman"/>
                <w:sz w:val="18"/>
                <w:szCs w:val="18"/>
              </w:rPr>
              <w:t xml:space="preserve"> from program A and 5,473 cases of CHE averted from program B.</w:t>
            </w:r>
            <w:r w:rsidR="001D2506" w:rsidRPr="0064128D">
              <w:rPr>
                <w:rFonts w:ascii="Times New Roman" w:hAnsi="Times New Roman" w:cs="Times New Roman"/>
                <w:sz w:val="18"/>
                <w:szCs w:val="18"/>
              </w:rPr>
              <w:t xml:space="preserve"> There would be 115 poverty cases averted from program A and 493 poverty cases avoided from program B. </w:t>
            </w:r>
          </w:p>
          <w:p w14:paraId="177876DF" w14:textId="77777777" w:rsidR="0097620E" w:rsidRPr="0064128D" w:rsidRDefault="0097620E" w:rsidP="0027259C">
            <w:pPr>
              <w:rPr>
                <w:rFonts w:ascii="Times New Roman" w:hAnsi="Times New Roman" w:cs="Times New Roman"/>
                <w:sz w:val="18"/>
                <w:szCs w:val="18"/>
              </w:rPr>
            </w:pPr>
          </w:p>
          <w:p w14:paraId="510E5E7B" w14:textId="77777777" w:rsidR="0031304B" w:rsidRPr="0064128D" w:rsidRDefault="00D82C07" w:rsidP="0027259C">
            <w:pPr>
              <w:rPr>
                <w:rFonts w:ascii="Times New Roman" w:hAnsi="Times New Roman" w:cs="Times New Roman"/>
                <w:sz w:val="18"/>
                <w:szCs w:val="18"/>
              </w:rPr>
            </w:pPr>
            <w:r w:rsidRPr="0064128D">
              <w:rPr>
                <w:rFonts w:ascii="Times New Roman" w:hAnsi="Times New Roman" w:cs="Times New Roman"/>
                <w:b/>
                <w:bCs/>
                <w:i/>
                <w:iCs/>
                <w:sz w:val="18"/>
                <w:szCs w:val="18"/>
              </w:rPr>
              <w:t>Equity</w:t>
            </w:r>
            <w:r w:rsidRPr="0064128D">
              <w:rPr>
                <w:rFonts w:ascii="Times New Roman" w:hAnsi="Times New Roman" w:cs="Times New Roman"/>
                <w:sz w:val="18"/>
                <w:szCs w:val="18"/>
              </w:rPr>
              <w:t>:</w:t>
            </w:r>
            <w:r w:rsidR="008B0698" w:rsidRPr="0064128D">
              <w:rPr>
                <w:rFonts w:ascii="Times New Roman" w:hAnsi="Times New Roman" w:cs="Times New Roman"/>
                <w:sz w:val="18"/>
                <w:szCs w:val="18"/>
              </w:rPr>
              <w:t xml:space="preserve"> </w:t>
            </w:r>
          </w:p>
          <w:p w14:paraId="7DC4865D" w14:textId="750A0A9A" w:rsidR="0031304B" w:rsidRPr="0064128D" w:rsidRDefault="0031304B" w:rsidP="0027259C">
            <w:pPr>
              <w:rPr>
                <w:rFonts w:ascii="Times New Roman" w:hAnsi="Times New Roman" w:cs="Times New Roman"/>
                <w:sz w:val="18"/>
                <w:szCs w:val="18"/>
              </w:rPr>
            </w:pPr>
            <w:r w:rsidRPr="0064128D">
              <w:rPr>
                <w:rFonts w:ascii="Times New Roman" w:hAnsi="Times New Roman" w:cs="Times New Roman"/>
                <w:i/>
                <w:iCs/>
                <w:sz w:val="18"/>
                <w:szCs w:val="18"/>
              </w:rPr>
              <w:t>By Sex</w:t>
            </w:r>
            <w:r w:rsidRPr="0064128D">
              <w:rPr>
                <w:rFonts w:ascii="Times New Roman" w:hAnsi="Times New Roman" w:cs="Times New Roman"/>
                <w:sz w:val="18"/>
                <w:szCs w:val="18"/>
              </w:rPr>
              <w:t>:</w:t>
            </w:r>
          </w:p>
          <w:p w14:paraId="29DEFB82" w14:textId="7552EF46" w:rsidR="008B0698" w:rsidRPr="0064128D" w:rsidRDefault="008B0698" w:rsidP="0027259C">
            <w:pPr>
              <w:rPr>
                <w:rFonts w:ascii="Times New Roman" w:hAnsi="Times New Roman" w:cs="Times New Roman"/>
                <w:sz w:val="18"/>
                <w:szCs w:val="18"/>
              </w:rPr>
            </w:pPr>
            <w:r w:rsidRPr="0064128D">
              <w:rPr>
                <w:rFonts w:ascii="Times New Roman" w:hAnsi="Times New Roman" w:cs="Times New Roman"/>
                <w:sz w:val="18"/>
                <w:szCs w:val="18"/>
              </w:rPr>
              <w:t xml:space="preserve">There were more </w:t>
            </w:r>
            <w:r w:rsidR="002856E0" w:rsidRPr="0064128D">
              <w:rPr>
                <w:rFonts w:ascii="Times New Roman" w:hAnsi="Times New Roman" w:cs="Times New Roman"/>
                <w:sz w:val="18"/>
                <w:szCs w:val="18"/>
              </w:rPr>
              <w:t xml:space="preserve">DALYs </w:t>
            </w:r>
            <w:r w:rsidRPr="0064128D">
              <w:rPr>
                <w:rFonts w:ascii="Times New Roman" w:hAnsi="Times New Roman" w:cs="Times New Roman"/>
                <w:sz w:val="18"/>
                <w:szCs w:val="18"/>
              </w:rPr>
              <w:t>averted among females compared to males for both program A and B.</w:t>
            </w:r>
            <w:r w:rsidR="002856E0" w:rsidRPr="0064128D">
              <w:rPr>
                <w:rFonts w:ascii="Times New Roman" w:hAnsi="Times New Roman" w:cs="Times New Roman"/>
                <w:sz w:val="18"/>
                <w:szCs w:val="18"/>
              </w:rPr>
              <w:t xml:space="preserve"> There were more CHE cases averted among females (1,438) compared to males (294) for program A.</w:t>
            </w:r>
            <w:r w:rsidR="00D105FD" w:rsidRPr="0064128D">
              <w:rPr>
                <w:rFonts w:ascii="Times New Roman" w:hAnsi="Times New Roman" w:cs="Times New Roman"/>
                <w:sz w:val="18"/>
                <w:szCs w:val="18"/>
              </w:rPr>
              <w:t xml:space="preserve"> There were more cases of CHE averted among females (4,606) relative to males for program B.</w:t>
            </w:r>
            <w:r w:rsidR="002856E0" w:rsidRPr="0064128D">
              <w:rPr>
                <w:rFonts w:ascii="Times New Roman" w:hAnsi="Times New Roman" w:cs="Times New Roman"/>
                <w:sz w:val="18"/>
                <w:szCs w:val="18"/>
              </w:rPr>
              <w:t xml:space="preserve"> </w:t>
            </w:r>
          </w:p>
          <w:p w14:paraId="09B25522" w14:textId="1F028009" w:rsidR="00BD7D5F" w:rsidRPr="0064128D" w:rsidRDefault="00BD7D5F" w:rsidP="0027259C">
            <w:pPr>
              <w:rPr>
                <w:rFonts w:ascii="Times New Roman" w:hAnsi="Times New Roman" w:cs="Times New Roman"/>
                <w:sz w:val="18"/>
                <w:szCs w:val="18"/>
              </w:rPr>
            </w:pPr>
            <w:r w:rsidRPr="0064128D">
              <w:rPr>
                <w:rFonts w:ascii="Times New Roman" w:hAnsi="Times New Roman" w:cs="Times New Roman"/>
                <w:sz w:val="18"/>
                <w:szCs w:val="18"/>
              </w:rPr>
              <w:t xml:space="preserve">No poverty cases were averted among men by program </w:t>
            </w:r>
            <w:r w:rsidR="00A3703C" w:rsidRPr="0064128D">
              <w:rPr>
                <w:rFonts w:ascii="Times New Roman" w:hAnsi="Times New Roman" w:cs="Times New Roman"/>
                <w:sz w:val="18"/>
                <w:szCs w:val="18"/>
              </w:rPr>
              <w:t>A,</w:t>
            </w:r>
            <w:r w:rsidRPr="0064128D">
              <w:rPr>
                <w:rFonts w:ascii="Times New Roman" w:hAnsi="Times New Roman" w:cs="Times New Roman"/>
                <w:sz w:val="18"/>
                <w:szCs w:val="18"/>
              </w:rPr>
              <w:t xml:space="preserve"> but 155 cases were averted among females.</w:t>
            </w:r>
            <w:r w:rsidR="00A3703C" w:rsidRPr="0064128D">
              <w:rPr>
                <w:rFonts w:ascii="Times New Roman" w:hAnsi="Times New Roman" w:cs="Times New Roman"/>
                <w:sz w:val="18"/>
                <w:szCs w:val="18"/>
              </w:rPr>
              <w:t xml:space="preserve"> More poverty cases were also averted by program B among</w:t>
            </w:r>
            <w:r w:rsidR="00C47625" w:rsidRPr="0064128D">
              <w:rPr>
                <w:rFonts w:ascii="Times New Roman" w:hAnsi="Times New Roman" w:cs="Times New Roman"/>
                <w:sz w:val="18"/>
                <w:szCs w:val="18"/>
              </w:rPr>
              <w:t xml:space="preserve"> females (405) compared to males (88).</w:t>
            </w:r>
          </w:p>
          <w:p w14:paraId="3DF6A5B2" w14:textId="1694386B" w:rsidR="00B6050B" w:rsidRDefault="00B6050B" w:rsidP="0027259C">
            <w:pPr>
              <w:rPr>
                <w:rFonts w:ascii="Times New Roman" w:hAnsi="Times New Roman" w:cs="Times New Roman"/>
                <w:sz w:val="18"/>
                <w:szCs w:val="18"/>
              </w:rPr>
            </w:pPr>
          </w:p>
          <w:p w14:paraId="4F452342" w14:textId="77777777" w:rsidR="00682BDA" w:rsidRPr="0064128D" w:rsidRDefault="00682BDA" w:rsidP="0027259C">
            <w:pPr>
              <w:rPr>
                <w:rFonts w:ascii="Times New Roman" w:hAnsi="Times New Roman" w:cs="Times New Roman"/>
                <w:sz w:val="18"/>
                <w:szCs w:val="18"/>
              </w:rPr>
            </w:pPr>
          </w:p>
          <w:p w14:paraId="316ACF6E" w14:textId="0FB3BD81" w:rsidR="00B6050B" w:rsidRPr="0064128D" w:rsidRDefault="00B6050B" w:rsidP="0027259C">
            <w:pPr>
              <w:rPr>
                <w:rFonts w:ascii="Times New Roman" w:hAnsi="Times New Roman" w:cs="Times New Roman"/>
                <w:sz w:val="18"/>
                <w:szCs w:val="18"/>
              </w:rPr>
            </w:pPr>
            <w:r w:rsidRPr="0064128D">
              <w:rPr>
                <w:rFonts w:ascii="Times New Roman" w:hAnsi="Times New Roman" w:cs="Times New Roman"/>
                <w:i/>
                <w:iCs/>
                <w:sz w:val="18"/>
                <w:szCs w:val="18"/>
              </w:rPr>
              <w:lastRenderedPageBreak/>
              <w:t>By income quintile</w:t>
            </w:r>
            <w:r w:rsidRPr="0064128D">
              <w:rPr>
                <w:rFonts w:ascii="Times New Roman" w:hAnsi="Times New Roman" w:cs="Times New Roman"/>
                <w:sz w:val="18"/>
                <w:szCs w:val="18"/>
              </w:rPr>
              <w:t>:</w:t>
            </w:r>
          </w:p>
          <w:p w14:paraId="4E8CB536" w14:textId="42523C16" w:rsidR="008B0698" w:rsidRPr="0064128D" w:rsidRDefault="00C83979" w:rsidP="0027259C">
            <w:pPr>
              <w:rPr>
                <w:rFonts w:ascii="Times New Roman" w:hAnsi="Times New Roman" w:cs="Times New Roman"/>
                <w:sz w:val="18"/>
                <w:szCs w:val="18"/>
              </w:rPr>
            </w:pPr>
            <w:r w:rsidRPr="0064128D">
              <w:rPr>
                <w:rFonts w:ascii="Times New Roman" w:hAnsi="Times New Roman" w:cs="Times New Roman"/>
                <w:sz w:val="18"/>
                <w:szCs w:val="18"/>
              </w:rPr>
              <w:t>For both Programs A and B, most DALYs would be averted in the richest income quintiles. Thus, 109 and 32 DALYs would be averted for the richest quintile and poorest quintile, respectively for both programs A and B.</w:t>
            </w:r>
          </w:p>
          <w:p w14:paraId="0866BC9C" w14:textId="6EF62CFC" w:rsidR="00BB4B8F"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Most cases of CHE would be averted in individuals in the lowest income quintiles</w:t>
            </w:r>
            <w:r w:rsidR="00BB4B8F" w:rsidRPr="0064128D">
              <w:rPr>
                <w:rFonts w:ascii="Times New Roman" w:hAnsi="Times New Roman" w:cs="Times New Roman"/>
                <w:sz w:val="18"/>
                <w:szCs w:val="18"/>
              </w:rPr>
              <w:t xml:space="preserve"> (1,897) compared to no case in the richest income group</w:t>
            </w:r>
            <w:r w:rsidRPr="0064128D">
              <w:rPr>
                <w:rFonts w:ascii="Times New Roman" w:hAnsi="Times New Roman" w:cs="Times New Roman"/>
                <w:sz w:val="18"/>
                <w:szCs w:val="18"/>
              </w:rPr>
              <w:t>, for</w:t>
            </w:r>
            <w:r w:rsidR="00D53966" w:rsidRPr="0064128D">
              <w:rPr>
                <w:rFonts w:ascii="Times New Roman" w:hAnsi="Times New Roman" w:cs="Times New Roman"/>
                <w:sz w:val="18"/>
                <w:szCs w:val="18"/>
              </w:rPr>
              <w:t xml:space="preserve"> both</w:t>
            </w:r>
            <w:r w:rsidRPr="0064128D">
              <w:rPr>
                <w:rFonts w:ascii="Times New Roman" w:hAnsi="Times New Roman" w:cs="Times New Roman"/>
                <w:sz w:val="18"/>
                <w:szCs w:val="18"/>
              </w:rPr>
              <w:t xml:space="preserve"> </w:t>
            </w:r>
            <w:r w:rsidR="00E24338" w:rsidRPr="0064128D">
              <w:rPr>
                <w:rFonts w:ascii="Times New Roman" w:hAnsi="Times New Roman" w:cs="Times New Roman"/>
                <w:sz w:val="18"/>
                <w:szCs w:val="18"/>
              </w:rPr>
              <w:t>program</w:t>
            </w:r>
            <w:r w:rsidR="00D53966" w:rsidRPr="0064128D">
              <w:rPr>
                <w:rFonts w:ascii="Times New Roman" w:hAnsi="Times New Roman" w:cs="Times New Roman"/>
                <w:sz w:val="18"/>
                <w:szCs w:val="18"/>
              </w:rPr>
              <w:t>s</w:t>
            </w:r>
            <w:r w:rsidRPr="0064128D">
              <w:rPr>
                <w:rFonts w:ascii="Times New Roman" w:hAnsi="Times New Roman" w:cs="Times New Roman"/>
                <w:sz w:val="18"/>
                <w:szCs w:val="18"/>
              </w:rPr>
              <w:t xml:space="preserve"> A</w:t>
            </w:r>
            <w:r w:rsidR="00D53966" w:rsidRPr="0064128D">
              <w:rPr>
                <w:rFonts w:ascii="Times New Roman" w:hAnsi="Times New Roman" w:cs="Times New Roman"/>
                <w:sz w:val="18"/>
                <w:szCs w:val="18"/>
              </w:rPr>
              <w:t xml:space="preserve"> and B</w:t>
            </w:r>
            <w:r w:rsidRPr="0064128D">
              <w:rPr>
                <w:rFonts w:ascii="Times New Roman" w:hAnsi="Times New Roman" w:cs="Times New Roman"/>
                <w:sz w:val="18"/>
                <w:szCs w:val="18"/>
              </w:rPr>
              <w:t>.</w:t>
            </w:r>
            <w:r w:rsidR="00125A9C" w:rsidRPr="0064128D">
              <w:rPr>
                <w:rFonts w:ascii="Times New Roman" w:hAnsi="Times New Roman" w:cs="Times New Roman"/>
                <w:sz w:val="18"/>
                <w:szCs w:val="18"/>
              </w:rPr>
              <w:t xml:space="preserve"> No poverty cases were averted among the richest income group for both programs A and B. Meanwhile, 115 and 493 cases of poverty were averted in the poorest income group for program A and B respectively. </w:t>
            </w:r>
            <w:r w:rsidRPr="0064128D">
              <w:rPr>
                <w:rFonts w:ascii="Times New Roman" w:hAnsi="Times New Roman" w:cs="Times New Roman"/>
                <w:sz w:val="18"/>
                <w:szCs w:val="18"/>
              </w:rPr>
              <w:t xml:space="preserve"> </w:t>
            </w:r>
          </w:p>
          <w:p w14:paraId="09FCC810" w14:textId="77777777" w:rsidR="00BB4B8F" w:rsidRPr="0064128D" w:rsidRDefault="00BB4B8F" w:rsidP="0027259C">
            <w:pPr>
              <w:rPr>
                <w:rFonts w:ascii="Times New Roman" w:hAnsi="Times New Roman" w:cs="Times New Roman"/>
                <w:sz w:val="18"/>
                <w:szCs w:val="18"/>
              </w:rPr>
            </w:pPr>
          </w:p>
          <w:p w14:paraId="5B22EE7C" w14:textId="49D5AA3F" w:rsidR="008E7D80" w:rsidRPr="0064128D" w:rsidRDefault="008E7D80" w:rsidP="00BB4B8F">
            <w:pPr>
              <w:rPr>
                <w:rFonts w:ascii="Times New Roman" w:hAnsi="Times New Roman" w:cs="Times New Roman"/>
                <w:sz w:val="18"/>
                <w:szCs w:val="18"/>
              </w:rPr>
            </w:pPr>
          </w:p>
        </w:tc>
      </w:tr>
      <w:tr w:rsidR="0064128D" w:rsidRPr="0064128D" w14:paraId="020CC4D3" w14:textId="77777777" w:rsidTr="00C718F8">
        <w:trPr>
          <w:trHeight w:val="1934"/>
        </w:trPr>
        <w:tc>
          <w:tcPr>
            <w:tcW w:w="540" w:type="dxa"/>
          </w:tcPr>
          <w:p w14:paraId="34A090AD" w14:textId="50301679"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3</w:t>
            </w:r>
          </w:p>
        </w:tc>
        <w:tc>
          <w:tcPr>
            <w:tcW w:w="1260" w:type="dxa"/>
          </w:tcPr>
          <w:p w14:paraId="1C88F136" w14:textId="77777777"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fldChar w:fldCharType="begin" w:fldLock="1"/>
            </w:r>
            <w:r w:rsidRPr="0064128D">
              <w:rPr>
                <w:rFonts w:ascii="Times New Roman" w:hAnsi="Times New Roman" w:cs="Times New Roman"/>
                <w:sz w:val="18"/>
                <w:szCs w:val="18"/>
              </w:rPr>
              <w:instrText>ADDIN CSL_CITATION {"citationItems":[{"id":"ITEM-1","itemData":{"DOI":"10.12688/gatesopenres.13127.1","ISSN":"25724754","abstract":"Background: In India, about one million deaths occur every year due to smoking. Tobacco taxation is the most effective intervention in reducing smoking. In this paper, we examine the impact of a one-time large cigarette price increase, through an increase in excise tax, on health and financing outcomes in four Indian states. Methods: We used extended cost-effectiveness analysis to estimate, across income quintiles, the life-years gained, treatment cost averted, number of men avoiding catastrophic health expenditures and extreme poverty, additional tax revenue collected, and savings to the Ayushman Bharat Pradhan Mantri Jan Arogya Yojana (AB-PMJAY) with a cigarette price increase to Indian Rupees (INR) 10 plus 10% ad valorem in four Indian states. Results: With the price increase, about 1.5 million men would quit smoking across the four states, with the bottom income group having 7.4 times as many quitters as the top income group (485,725 vs 65,762). As a result of quitting, about 665,000 deaths would be averted. This would yield about 11.9 million life-years, with the bottom income group gaining 7.3 times more than the top income group. Of the INR 1,729 crore in treatment cost averted, the bottom income group would avert 7.4 times more than the top income group. About 454,000 men would avoid catastrophic health expenditures and 75,000 men would avoid falling into extreme poverty. The treatment cost and impoverishment averted would save about INR 672 crore in AB-PMJAY. The tax increase would in turn, generate an additional tax revenue of about INR 4,385 crore. In contrast to the distribution of health benefits, the extra revenue generated from the top income group would be about 3.1 times that from the bottom income group. Conclusions: Cigarette tax increase can provide significant health and economic gains and is a pro-poor policy for India.","author":[{"dropping-particle":"","family":"Jha","given":"Prabhat","non-dropping-particle":"","parse-names":false,"suffix":""},{"dropping-particle":"","family":"Wu","given":"Daphne C.","non-dropping-particle":"","parse-names":false,"suffix":""},{"dropping-particle":"","family":"Sheel","given":"Vikas","non-dropping-particle":"","parse-names":false,"suffix":""},{"dropping-particle":"","family":"Gupta","given":"Pooja","non-dropping-particle":"","parse-names":false,"suffix":""},{"dropping-particle":"","family":"Essue","given":"Beverley M.","non-dropping-particle":"","parse-names":false,"suffix":""},{"dropping-particle":"","family":"Luong","given":"Linh","non-dropping-particle":"","parse-names":false,"suffix":""}],"container-title":"Gates Open Research","id":"ITEM-1","issued":{"date-parts":[["2020"]]},"page":"1-18","title":"Impact of cigarette tax increase on health and financing outcomes in four Indian states","type":"article-journal","volume":"4"},"uris":["http://www.mendeley.com/documents/?uuid=12a92d80-32c8-403b-9453-a5e8d273f5d2"]}],"mendeley":{"formattedCitation":"(Jha et al., 2020)","manualFormatting":"Wu et al. (2020)","plainTextFormattedCitation":"(Jha et al., 2020)","previouslyFormattedCitation":"(Jha et al., 2020)"},"properties":{"noteIndex":0},"schema":"https://github.com/citation-style-language/schema/raw/master/csl-citation.json"}</w:instrText>
            </w:r>
            <w:r w:rsidRPr="0064128D">
              <w:rPr>
                <w:rFonts w:ascii="Times New Roman" w:hAnsi="Times New Roman" w:cs="Times New Roman"/>
                <w:sz w:val="18"/>
                <w:szCs w:val="18"/>
              </w:rPr>
              <w:fldChar w:fldCharType="separate"/>
            </w:r>
            <w:r w:rsidRPr="0064128D">
              <w:rPr>
                <w:rFonts w:ascii="Times New Roman" w:hAnsi="Times New Roman" w:cs="Times New Roman"/>
                <w:noProof/>
                <w:sz w:val="18"/>
                <w:szCs w:val="18"/>
              </w:rPr>
              <w:t>Wu et al. (2020)</w:t>
            </w:r>
            <w:r w:rsidRPr="0064128D">
              <w:rPr>
                <w:rFonts w:ascii="Times New Roman" w:hAnsi="Times New Roman" w:cs="Times New Roman"/>
                <w:sz w:val="18"/>
                <w:szCs w:val="18"/>
              </w:rPr>
              <w:fldChar w:fldCharType="end"/>
            </w:r>
            <w:r w:rsidR="00C83589" w:rsidRPr="0064128D">
              <w:rPr>
                <w:rFonts w:ascii="Times New Roman" w:hAnsi="Times New Roman" w:cs="Times New Roman"/>
                <w:sz w:val="18"/>
                <w:szCs w:val="18"/>
              </w:rPr>
              <w:t>,</w:t>
            </w:r>
          </w:p>
          <w:p w14:paraId="760995C1" w14:textId="5452AA32" w:rsidR="00C83589" w:rsidRPr="0064128D" w:rsidRDefault="00C83589" w:rsidP="0027259C">
            <w:pPr>
              <w:rPr>
                <w:rFonts w:ascii="Times New Roman" w:hAnsi="Times New Roman" w:cs="Times New Roman"/>
                <w:sz w:val="18"/>
                <w:szCs w:val="18"/>
              </w:rPr>
            </w:pPr>
            <w:r w:rsidRPr="0064128D">
              <w:rPr>
                <w:rFonts w:ascii="Times New Roman" w:hAnsi="Times New Roman" w:cs="Times New Roman"/>
                <w:sz w:val="18"/>
                <w:szCs w:val="18"/>
              </w:rPr>
              <w:t>India</w:t>
            </w:r>
          </w:p>
        </w:tc>
        <w:tc>
          <w:tcPr>
            <w:tcW w:w="3240" w:type="dxa"/>
          </w:tcPr>
          <w:p w14:paraId="46F70DC0" w14:textId="77777777"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 xml:space="preserve">Examined the </w:t>
            </w:r>
            <w:r w:rsidR="00511D42" w:rsidRPr="0064128D">
              <w:rPr>
                <w:rFonts w:ascii="Times New Roman" w:hAnsi="Times New Roman" w:cs="Times New Roman"/>
                <w:sz w:val="18"/>
                <w:szCs w:val="18"/>
              </w:rPr>
              <w:t xml:space="preserve">health and non-health </w:t>
            </w:r>
            <w:r w:rsidRPr="0064128D">
              <w:rPr>
                <w:rFonts w:ascii="Times New Roman" w:hAnsi="Times New Roman" w:cs="Times New Roman"/>
                <w:sz w:val="18"/>
                <w:szCs w:val="18"/>
              </w:rPr>
              <w:t>impact of an increased excise tax on tobacco</w:t>
            </w:r>
            <w:r w:rsidR="00D77BA5" w:rsidRPr="0064128D">
              <w:rPr>
                <w:rFonts w:ascii="Times New Roman" w:hAnsi="Times New Roman" w:cs="Times New Roman"/>
                <w:sz w:val="18"/>
                <w:szCs w:val="18"/>
              </w:rPr>
              <w:t xml:space="preserve"> in four Indian states</w:t>
            </w:r>
            <w:r w:rsidRPr="0064128D">
              <w:rPr>
                <w:rFonts w:ascii="Times New Roman" w:hAnsi="Times New Roman" w:cs="Times New Roman"/>
                <w:sz w:val="18"/>
                <w:szCs w:val="18"/>
              </w:rPr>
              <w:t>.</w:t>
            </w:r>
          </w:p>
          <w:p w14:paraId="7887F257" w14:textId="77777777" w:rsidR="002070B1" w:rsidRPr="0064128D" w:rsidRDefault="002070B1" w:rsidP="0027259C">
            <w:pPr>
              <w:rPr>
                <w:rFonts w:ascii="Times New Roman" w:hAnsi="Times New Roman" w:cs="Times New Roman"/>
                <w:sz w:val="18"/>
                <w:szCs w:val="18"/>
              </w:rPr>
            </w:pPr>
          </w:p>
          <w:p w14:paraId="2BCF3B08" w14:textId="77777777" w:rsidR="002070B1" w:rsidRPr="0064128D" w:rsidRDefault="002070B1" w:rsidP="0027259C">
            <w:pPr>
              <w:rPr>
                <w:rFonts w:ascii="Times New Roman" w:hAnsi="Times New Roman" w:cs="Times New Roman"/>
                <w:b/>
                <w:bCs/>
                <w:sz w:val="18"/>
                <w:szCs w:val="18"/>
                <w:u w:val="single"/>
              </w:rPr>
            </w:pPr>
            <w:r w:rsidRPr="0064128D">
              <w:rPr>
                <w:rFonts w:ascii="Times New Roman" w:hAnsi="Times New Roman" w:cs="Times New Roman"/>
                <w:b/>
                <w:bCs/>
                <w:sz w:val="18"/>
                <w:szCs w:val="18"/>
                <w:u w:val="single"/>
              </w:rPr>
              <w:t>Intervention:</w:t>
            </w:r>
          </w:p>
          <w:p w14:paraId="68C2F3C3" w14:textId="313430EA" w:rsidR="002070B1" w:rsidRPr="0064128D" w:rsidRDefault="00352408" w:rsidP="0027259C">
            <w:pPr>
              <w:rPr>
                <w:rFonts w:ascii="Times New Roman" w:hAnsi="Times New Roman" w:cs="Times New Roman"/>
                <w:sz w:val="18"/>
                <w:szCs w:val="18"/>
              </w:rPr>
            </w:pPr>
            <w:r w:rsidRPr="0064128D">
              <w:rPr>
                <w:rFonts w:ascii="Times New Roman" w:hAnsi="Times New Roman" w:cs="Times New Roman"/>
                <w:sz w:val="18"/>
                <w:szCs w:val="18"/>
              </w:rPr>
              <w:t xml:space="preserve">A cigarette price increase to Indian Rupees (INR) 10 plus 10% </w:t>
            </w:r>
            <w:r w:rsidRPr="0064128D">
              <w:rPr>
                <w:rFonts w:ascii="Times New Roman" w:hAnsi="Times New Roman" w:cs="Times New Roman"/>
                <w:i/>
                <w:iCs/>
                <w:sz w:val="18"/>
                <w:szCs w:val="18"/>
              </w:rPr>
              <w:t>ad valorem tax</w:t>
            </w:r>
            <w:r w:rsidRPr="0064128D">
              <w:rPr>
                <w:rFonts w:ascii="Times New Roman" w:hAnsi="Times New Roman" w:cs="Times New Roman"/>
                <w:sz w:val="18"/>
                <w:szCs w:val="18"/>
              </w:rPr>
              <w:t xml:space="preserve">.  </w:t>
            </w:r>
          </w:p>
        </w:tc>
        <w:tc>
          <w:tcPr>
            <w:tcW w:w="2936" w:type="dxa"/>
          </w:tcPr>
          <w:p w14:paraId="482FD210" w14:textId="77777777"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 xml:space="preserve">Employed </w:t>
            </w:r>
            <w:r w:rsidR="009A09D3" w:rsidRPr="0064128D">
              <w:rPr>
                <w:rFonts w:ascii="Times New Roman" w:hAnsi="Times New Roman" w:cs="Times New Roman"/>
                <w:sz w:val="18"/>
                <w:szCs w:val="18"/>
              </w:rPr>
              <w:t>the ECEA to estimate HBG, FC, FRP</w:t>
            </w:r>
            <w:r w:rsidR="0046418D" w:rsidRPr="0064128D">
              <w:rPr>
                <w:rFonts w:ascii="Times New Roman" w:hAnsi="Times New Roman" w:cs="Times New Roman"/>
                <w:sz w:val="18"/>
                <w:szCs w:val="18"/>
              </w:rPr>
              <w:t>,</w:t>
            </w:r>
            <w:r w:rsidR="009A09D3" w:rsidRPr="0064128D">
              <w:rPr>
                <w:rFonts w:ascii="Times New Roman" w:hAnsi="Times New Roman" w:cs="Times New Roman"/>
                <w:sz w:val="18"/>
                <w:szCs w:val="18"/>
              </w:rPr>
              <w:t xml:space="preserve"> and equity</w:t>
            </w:r>
            <w:r w:rsidRPr="0064128D">
              <w:rPr>
                <w:rFonts w:ascii="Times New Roman" w:hAnsi="Times New Roman" w:cs="Times New Roman"/>
                <w:sz w:val="18"/>
                <w:szCs w:val="18"/>
              </w:rPr>
              <w:t>.</w:t>
            </w:r>
          </w:p>
          <w:p w14:paraId="1A0E7A5A" w14:textId="2981BF78" w:rsidR="004C634B" w:rsidRPr="0064128D" w:rsidRDefault="004C634B" w:rsidP="0027259C">
            <w:pPr>
              <w:rPr>
                <w:rFonts w:ascii="Times New Roman" w:hAnsi="Times New Roman" w:cs="Times New Roman"/>
                <w:sz w:val="18"/>
                <w:szCs w:val="18"/>
              </w:rPr>
            </w:pPr>
            <w:r w:rsidRPr="0064128D">
              <w:rPr>
                <w:rFonts w:ascii="Times New Roman" w:hAnsi="Times New Roman" w:cs="Times New Roman"/>
                <w:sz w:val="18"/>
                <w:szCs w:val="18"/>
              </w:rPr>
              <w:t>They used data from WDI and Market price A. C. Nielson.</w:t>
            </w:r>
          </w:p>
        </w:tc>
        <w:tc>
          <w:tcPr>
            <w:tcW w:w="6964" w:type="dxa"/>
          </w:tcPr>
          <w:p w14:paraId="58B65C4F" w14:textId="4CC71131" w:rsidR="00464DB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HBG</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The tax would cause about 1.5 million men to quit smoking and hence, about 66</w:t>
            </w:r>
            <w:r w:rsidR="002659EF" w:rsidRPr="0064128D">
              <w:rPr>
                <w:rFonts w:ascii="Times New Roman" w:hAnsi="Times New Roman" w:cs="Times New Roman"/>
                <w:sz w:val="18"/>
                <w:szCs w:val="18"/>
              </w:rPr>
              <w:t>4</w:t>
            </w:r>
            <w:r w:rsidR="00464DB7" w:rsidRPr="0064128D">
              <w:rPr>
                <w:rFonts w:ascii="Times New Roman" w:hAnsi="Times New Roman" w:cs="Times New Roman"/>
                <w:sz w:val="18"/>
                <w:szCs w:val="18"/>
              </w:rPr>
              <w:t>,</w:t>
            </w:r>
            <w:r w:rsidR="002659EF" w:rsidRPr="0064128D">
              <w:rPr>
                <w:rFonts w:ascii="Times New Roman" w:hAnsi="Times New Roman" w:cs="Times New Roman"/>
                <w:sz w:val="18"/>
                <w:szCs w:val="18"/>
              </w:rPr>
              <w:t>7</w:t>
            </w:r>
            <w:r w:rsidR="00464DB7" w:rsidRPr="0064128D">
              <w:rPr>
                <w:rFonts w:ascii="Times New Roman" w:hAnsi="Times New Roman" w:cs="Times New Roman"/>
                <w:sz w:val="18"/>
                <w:szCs w:val="18"/>
              </w:rPr>
              <w:t>00 deaths</w:t>
            </w:r>
            <w:r w:rsidR="00243312" w:rsidRPr="0064128D">
              <w:rPr>
                <w:rFonts w:ascii="Times New Roman" w:hAnsi="Times New Roman" w:cs="Times New Roman"/>
                <w:sz w:val="18"/>
                <w:szCs w:val="18"/>
              </w:rPr>
              <w:t xml:space="preserve"> due to COPD, stroke, heart disease and cancer</w:t>
            </w:r>
            <w:r w:rsidR="00464DB7" w:rsidRPr="0064128D">
              <w:rPr>
                <w:rFonts w:ascii="Times New Roman" w:hAnsi="Times New Roman" w:cs="Times New Roman"/>
                <w:sz w:val="18"/>
                <w:szCs w:val="18"/>
              </w:rPr>
              <w:t xml:space="preserve"> would be averted</w:t>
            </w:r>
            <w:r w:rsidR="0079483D" w:rsidRPr="0064128D">
              <w:rPr>
                <w:rFonts w:ascii="Times New Roman" w:hAnsi="Times New Roman" w:cs="Times New Roman"/>
                <w:sz w:val="18"/>
                <w:szCs w:val="18"/>
              </w:rPr>
              <w:t xml:space="preserve"> in the four states</w:t>
            </w:r>
            <w:r w:rsidR="00464DB7" w:rsidRPr="0064128D">
              <w:rPr>
                <w:rFonts w:ascii="Times New Roman" w:hAnsi="Times New Roman" w:cs="Times New Roman"/>
                <w:sz w:val="18"/>
                <w:szCs w:val="18"/>
              </w:rPr>
              <w:t>.</w:t>
            </w:r>
          </w:p>
          <w:p w14:paraId="46B90F04" w14:textId="7DAF8908" w:rsidR="00464DB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FC</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Additional tax revenue was generated</w:t>
            </w:r>
            <w:r w:rsidR="00CC1912" w:rsidRPr="0064128D">
              <w:rPr>
                <w:rFonts w:ascii="Times New Roman" w:hAnsi="Times New Roman" w:cs="Times New Roman"/>
                <w:sz w:val="18"/>
                <w:szCs w:val="18"/>
              </w:rPr>
              <w:t xml:space="preserve"> totaling INR $4,385 crore</w:t>
            </w:r>
            <w:r w:rsidR="00464DB7" w:rsidRPr="0064128D">
              <w:rPr>
                <w:rFonts w:ascii="Times New Roman" w:hAnsi="Times New Roman" w:cs="Times New Roman"/>
                <w:sz w:val="18"/>
                <w:szCs w:val="18"/>
              </w:rPr>
              <w:t xml:space="preserve">. </w:t>
            </w:r>
          </w:p>
          <w:p w14:paraId="606CA23E" w14:textId="4F6F59D2" w:rsidR="00464DB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FRP</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About 45</w:t>
            </w:r>
            <w:r w:rsidR="00F703ED" w:rsidRPr="0064128D">
              <w:rPr>
                <w:rFonts w:ascii="Times New Roman" w:hAnsi="Times New Roman" w:cs="Times New Roman"/>
                <w:sz w:val="18"/>
                <w:szCs w:val="18"/>
              </w:rPr>
              <w:t>3</w:t>
            </w:r>
            <w:r w:rsidR="00464DB7" w:rsidRPr="0064128D">
              <w:rPr>
                <w:rFonts w:ascii="Times New Roman" w:hAnsi="Times New Roman" w:cs="Times New Roman"/>
                <w:sz w:val="18"/>
                <w:szCs w:val="18"/>
              </w:rPr>
              <w:t>,</w:t>
            </w:r>
            <w:r w:rsidR="00F703ED" w:rsidRPr="0064128D">
              <w:rPr>
                <w:rFonts w:ascii="Times New Roman" w:hAnsi="Times New Roman" w:cs="Times New Roman"/>
                <w:sz w:val="18"/>
                <w:szCs w:val="18"/>
              </w:rPr>
              <w:t>6</w:t>
            </w:r>
            <w:r w:rsidR="00464DB7" w:rsidRPr="0064128D">
              <w:rPr>
                <w:rFonts w:ascii="Times New Roman" w:hAnsi="Times New Roman" w:cs="Times New Roman"/>
                <w:sz w:val="18"/>
                <w:szCs w:val="18"/>
              </w:rPr>
              <w:t xml:space="preserve">00 men would avoid </w:t>
            </w:r>
            <w:r w:rsidR="007E52DA">
              <w:rPr>
                <w:rFonts w:ascii="Times New Roman" w:hAnsi="Times New Roman" w:cs="Times New Roman"/>
                <w:sz w:val="18"/>
                <w:szCs w:val="18"/>
              </w:rPr>
              <w:t>CHE</w:t>
            </w:r>
            <w:r w:rsidR="00464DB7" w:rsidRPr="0064128D">
              <w:rPr>
                <w:rFonts w:ascii="Times New Roman" w:hAnsi="Times New Roman" w:cs="Times New Roman"/>
                <w:sz w:val="18"/>
                <w:szCs w:val="18"/>
              </w:rPr>
              <w:t xml:space="preserve"> and 75,</w:t>
            </w:r>
            <w:r w:rsidR="00F703ED" w:rsidRPr="0064128D">
              <w:rPr>
                <w:rFonts w:ascii="Times New Roman" w:hAnsi="Times New Roman" w:cs="Times New Roman"/>
                <w:sz w:val="18"/>
                <w:szCs w:val="18"/>
              </w:rPr>
              <w:t>1</w:t>
            </w:r>
            <w:r w:rsidR="00464DB7" w:rsidRPr="0064128D">
              <w:rPr>
                <w:rFonts w:ascii="Times New Roman" w:hAnsi="Times New Roman" w:cs="Times New Roman"/>
                <w:sz w:val="18"/>
                <w:szCs w:val="18"/>
              </w:rPr>
              <w:t>00 men would avoid falling into extreme poverty</w:t>
            </w:r>
            <w:r w:rsidR="0079483D" w:rsidRPr="0064128D">
              <w:rPr>
                <w:rFonts w:ascii="Times New Roman" w:hAnsi="Times New Roman" w:cs="Times New Roman"/>
                <w:sz w:val="18"/>
                <w:szCs w:val="18"/>
              </w:rPr>
              <w:t xml:space="preserve"> in the four states</w:t>
            </w:r>
            <w:r w:rsidR="00464DB7" w:rsidRPr="0064128D">
              <w:rPr>
                <w:rFonts w:ascii="Times New Roman" w:hAnsi="Times New Roman" w:cs="Times New Roman"/>
                <w:sz w:val="18"/>
                <w:szCs w:val="18"/>
              </w:rPr>
              <w:t xml:space="preserve">. </w:t>
            </w:r>
          </w:p>
          <w:p w14:paraId="3878817F" w14:textId="3FD0D068" w:rsidR="00464DB7" w:rsidRPr="0064128D" w:rsidRDefault="00D82C07" w:rsidP="0027259C">
            <w:pPr>
              <w:rPr>
                <w:rFonts w:ascii="Times New Roman" w:hAnsi="Times New Roman" w:cs="Times New Roman"/>
                <w:sz w:val="18"/>
                <w:szCs w:val="18"/>
              </w:rPr>
            </w:pPr>
            <w:r w:rsidRPr="0064128D">
              <w:rPr>
                <w:rFonts w:ascii="Times New Roman" w:hAnsi="Times New Roman" w:cs="Times New Roman"/>
                <w:b/>
                <w:bCs/>
                <w:i/>
                <w:iCs/>
                <w:sz w:val="18"/>
                <w:szCs w:val="18"/>
              </w:rPr>
              <w:t>Equity</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The bottom income group gain more than the top income group. The poor would benefit the most from the large tax increases.</w:t>
            </w:r>
            <w:r w:rsidR="007073CC" w:rsidRPr="0064128D">
              <w:rPr>
                <w:rFonts w:ascii="Times New Roman" w:hAnsi="Times New Roman" w:cs="Times New Roman"/>
                <w:sz w:val="18"/>
                <w:szCs w:val="18"/>
              </w:rPr>
              <w:t xml:space="preserve"> </w:t>
            </w:r>
            <w:r w:rsidR="00243312" w:rsidRPr="0064128D">
              <w:rPr>
                <w:rFonts w:ascii="Times New Roman" w:hAnsi="Times New Roman" w:cs="Times New Roman"/>
                <w:sz w:val="18"/>
                <w:szCs w:val="18"/>
              </w:rPr>
              <w:t>About 210,300 deaths will be averted among the bottom 20% (or the poor) and only 28,600 deaths will be averted among the top 20% (or the rich)</w:t>
            </w:r>
            <w:r w:rsidR="00555968" w:rsidRPr="0064128D">
              <w:rPr>
                <w:rFonts w:ascii="Times New Roman" w:hAnsi="Times New Roman" w:cs="Times New Roman"/>
                <w:sz w:val="18"/>
                <w:szCs w:val="18"/>
              </w:rPr>
              <w:t xml:space="preserve"> in the four states</w:t>
            </w:r>
            <w:r w:rsidR="00243312" w:rsidRPr="0064128D">
              <w:rPr>
                <w:rFonts w:ascii="Times New Roman" w:hAnsi="Times New Roman" w:cs="Times New Roman"/>
                <w:sz w:val="18"/>
                <w:szCs w:val="18"/>
              </w:rPr>
              <w:t>.</w:t>
            </w:r>
          </w:p>
        </w:tc>
      </w:tr>
      <w:tr w:rsidR="0064128D" w:rsidRPr="0064128D" w14:paraId="4EED8C96" w14:textId="77777777" w:rsidTr="00C718F8">
        <w:trPr>
          <w:trHeight w:val="3374"/>
        </w:trPr>
        <w:tc>
          <w:tcPr>
            <w:tcW w:w="540" w:type="dxa"/>
          </w:tcPr>
          <w:p w14:paraId="074FA09C" w14:textId="5FDB0E1A"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4</w:t>
            </w:r>
          </w:p>
        </w:tc>
        <w:tc>
          <w:tcPr>
            <w:tcW w:w="1260" w:type="dxa"/>
          </w:tcPr>
          <w:p w14:paraId="77FE8D41" w14:textId="6FBA96DC"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fldChar w:fldCharType="begin" w:fldLock="1"/>
            </w:r>
            <w:r w:rsidR="00063E3B">
              <w:rPr>
                <w:rFonts w:ascii="Times New Roman" w:hAnsi="Times New Roman" w:cs="Times New Roman"/>
                <w:sz w:val="18"/>
                <w:szCs w:val="18"/>
              </w:rPr>
              <w:instrText>ADDIN CSL_CITATION {"citationItems":[{"id":"ITEM-1","itemData":{"DOI":"10.2471/BLT.18.219980","ISSN":"15640604","PMID":"30728616","abstract":"Objective To assess the potential impact of a new tax on sweetened beverages on premature deaths associated with noncommunicable diseases in the Philippines. Methods In January 2018, the Philippines began imposing a tax of 6 Philippine pesos per litre (around 13%) on sweetened beverages to curb the obesity burden. Using national data sources, we conducted an extended cost–effectiveness analysis to estimate the effect of the tax on the numbers of premature deaths averted attributed to type 2 diabetes mellitus, ischaemic heart disease and stroke, across income quintiles over the period 2018–2037. We also estimated the financial benefits of the tax from reductions in out-of-pocket payments, direct medical costs averted and government health-care cost savings. Findings The tax could avert an estimated 5913 deaths related to diabetes, 10 339 deaths from ischaemic heart disease and 7950 deaths from stroke over 20 years. The largest number of deaths averted could be among the fourth and fifth (highest) income quintiles. The tax could generate total health-care savings of 31.6 billion Philippine pesos (627 million United States dollars, US$) over 20 years, and raise 41.0 billion Philippine pesos (US$ 813 million) in revenue per annum. The poorest quintile could bear the smallest tax burden increase (14% of the additional tax; 5.6 billion Philippine pesos) and have the lowest savings in out-of-pocket payments due to relatively large health-care subsidies. Finally, we estimated that 13 890 cases of catastrophic expenditure could be averted. Conclusion The new sweetened beverage tax may help to reduce obesity-related premature deaths and improve financial well-being in the Philippines.","author":[{"dropping-particle":"","family":"Saxena","given":"Akshar","non-dropping-particle":"","parse-names":false,"suffix":""},{"dropping-particle":"","family":"Koon","given":"Adam D.","non-dropping-particle":"","parse-names":false,"suffix":""},{"dropping-particle":"","family":"Lagrada-Rombaua","given":"Leizel","non-dropping-particle":"","parse-names":false,"suffix":""},{"dropping-particle":"","family":"Angeles-Agdeppa","given":"Imelda","non-dropping-particle":"","parse-names":false,"suffix":""},{"dropping-particle":"","family":"Johns","given":"Benjamin","non-dropping-particle":"","parse-names":false,"suffix":""},{"dropping-particle":"","family":"Capanzana","given":"Mario","non-dropping-particle":"","parse-names":false,"suffix":""}],"container-title":"Bulletin of the World Health Organization","id":"ITEM-1","issue":"2","issued":{"date-parts":[["2019"]]},"page":"97-107","title":"Modelling the impact of a tax on sweetened beverages in the Philippines: An extended cost–effectiveness analysis","type":"article-journal","volume":"97"},"uris":["http://www.mendeley.com/documents/?uuid=fae87f9a-2e00-4d1f-87db-e50907c03be1"]}],"mendeley":{"formattedCitation":"(Saxena, Koon, et al., 2019)","manualFormatting":"Saxena et al. (2019a)","plainTextFormattedCitation":"(Saxena, Koon, et al., 2019)","previouslyFormattedCitation":"(Saxena, Koon, et al., 2019)"},"properties":{"noteIndex":0},"schema":"https://github.com/citation-style-language/schema/raw/master/csl-citation.json"}</w:instrText>
            </w:r>
            <w:r w:rsidRPr="0064128D">
              <w:rPr>
                <w:rFonts w:ascii="Times New Roman" w:hAnsi="Times New Roman" w:cs="Times New Roman"/>
                <w:sz w:val="18"/>
                <w:szCs w:val="18"/>
              </w:rPr>
              <w:fldChar w:fldCharType="separate"/>
            </w:r>
            <w:r w:rsidRPr="0064128D">
              <w:rPr>
                <w:rFonts w:ascii="Times New Roman" w:hAnsi="Times New Roman" w:cs="Times New Roman"/>
                <w:noProof/>
                <w:sz w:val="18"/>
                <w:szCs w:val="18"/>
              </w:rPr>
              <w:t>Saxena et al. (2019</w:t>
            </w:r>
            <w:r w:rsidR="00063E3B">
              <w:rPr>
                <w:rFonts w:ascii="Times New Roman" w:hAnsi="Times New Roman" w:cs="Times New Roman"/>
                <w:noProof/>
                <w:sz w:val="18"/>
                <w:szCs w:val="18"/>
              </w:rPr>
              <w:t>a</w:t>
            </w:r>
            <w:r w:rsidRPr="0064128D">
              <w:rPr>
                <w:rFonts w:ascii="Times New Roman" w:hAnsi="Times New Roman" w:cs="Times New Roman"/>
                <w:noProof/>
                <w:sz w:val="18"/>
                <w:szCs w:val="18"/>
              </w:rPr>
              <w:t>)</w:t>
            </w:r>
            <w:r w:rsidRPr="0064128D">
              <w:rPr>
                <w:rFonts w:ascii="Times New Roman" w:hAnsi="Times New Roman" w:cs="Times New Roman"/>
                <w:sz w:val="18"/>
                <w:szCs w:val="18"/>
              </w:rPr>
              <w:fldChar w:fldCharType="end"/>
            </w:r>
            <w:r w:rsidRPr="0064128D">
              <w:rPr>
                <w:rFonts w:ascii="Times New Roman" w:hAnsi="Times New Roman" w:cs="Times New Roman"/>
                <w:sz w:val="18"/>
                <w:szCs w:val="18"/>
              </w:rPr>
              <w:t>,</w:t>
            </w:r>
          </w:p>
          <w:p w14:paraId="22A523F4" w14:textId="7B7DDDF0"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Philippines</w:t>
            </w:r>
          </w:p>
        </w:tc>
        <w:tc>
          <w:tcPr>
            <w:tcW w:w="3240" w:type="dxa"/>
          </w:tcPr>
          <w:p w14:paraId="3FF121EA" w14:textId="1DC0F5F7"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Examined the impact of a tax on sweetened beverages on premature deaths associated with noncommunicable diseases such as type 2 diabetes mellitus, ischemic heart disease and stroke, across income quintiles over the period 2018-2037 (20 years) in the Philippines.</w:t>
            </w:r>
          </w:p>
          <w:p w14:paraId="0EA8C27A" w14:textId="7B396934" w:rsidR="00242CA6" w:rsidRPr="0064128D" w:rsidRDefault="00242CA6" w:rsidP="0027259C">
            <w:pPr>
              <w:rPr>
                <w:rFonts w:ascii="Times New Roman" w:hAnsi="Times New Roman" w:cs="Times New Roman"/>
                <w:sz w:val="18"/>
                <w:szCs w:val="18"/>
              </w:rPr>
            </w:pPr>
          </w:p>
          <w:p w14:paraId="6485FA82" w14:textId="32A25233" w:rsidR="00242CA6" w:rsidRPr="0064128D" w:rsidRDefault="007976DC" w:rsidP="0027259C">
            <w:pPr>
              <w:rPr>
                <w:rFonts w:ascii="Times New Roman" w:hAnsi="Times New Roman" w:cs="Times New Roman"/>
                <w:sz w:val="18"/>
                <w:szCs w:val="18"/>
              </w:rPr>
            </w:pPr>
            <w:r w:rsidRPr="0064128D">
              <w:rPr>
                <w:rFonts w:ascii="Times New Roman" w:hAnsi="Times New Roman" w:cs="Times New Roman"/>
                <w:b/>
                <w:bCs/>
                <w:sz w:val="18"/>
                <w:szCs w:val="18"/>
              </w:rPr>
              <w:t>Status quo</w:t>
            </w:r>
            <w:r w:rsidR="00242CA6" w:rsidRPr="0064128D">
              <w:rPr>
                <w:rFonts w:ascii="Times New Roman" w:hAnsi="Times New Roman" w:cs="Times New Roman"/>
                <w:sz w:val="18"/>
                <w:szCs w:val="18"/>
              </w:rPr>
              <w:t xml:space="preserve">: </w:t>
            </w:r>
            <w:r w:rsidR="00503359" w:rsidRPr="0064128D">
              <w:rPr>
                <w:rFonts w:ascii="Times New Roman" w:hAnsi="Times New Roman" w:cs="Times New Roman"/>
                <w:sz w:val="18"/>
                <w:szCs w:val="18"/>
              </w:rPr>
              <w:t xml:space="preserve">The mean price of sugar-sweetened beverages such as a regular cola/soft drinks was </w:t>
            </w:r>
            <w:r w:rsidR="00242CA6" w:rsidRPr="0064128D">
              <w:rPr>
                <w:rFonts w:ascii="Times New Roman" w:hAnsi="Times New Roman" w:cs="Times New Roman"/>
                <w:sz w:val="18"/>
                <w:szCs w:val="18"/>
              </w:rPr>
              <w:t>45 Philippine pesos per liter</w:t>
            </w:r>
            <w:r w:rsidR="0023312B" w:rsidRPr="0064128D">
              <w:rPr>
                <w:rFonts w:ascii="Times New Roman" w:hAnsi="Times New Roman" w:cs="Times New Roman"/>
                <w:sz w:val="18"/>
                <w:szCs w:val="18"/>
              </w:rPr>
              <w:t>.</w:t>
            </w:r>
          </w:p>
          <w:p w14:paraId="1E2C4C37" w14:textId="2474AE0D" w:rsidR="008770DD" w:rsidRPr="0064128D" w:rsidRDefault="008770DD" w:rsidP="0027259C">
            <w:pPr>
              <w:rPr>
                <w:rFonts w:ascii="Times New Roman" w:hAnsi="Times New Roman" w:cs="Times New Roman"/>
                <w:sz w:val="18"/>
                <w:szCs w:val="18"/>
              </w:rPr>
            </w:pPr>
          </w:p>
          <w:p w14:paraId="2B45FAEC" w14:textId="0AC30035" w:rsidR="008770DD" w:rsidRPr="0064128D" w:rsidRDefault="008770DD" w:rsidP="0027259C">
            <w:pPr>
              <w:rPr>
                <w:rFonts w:ascii="Times New Roman" w:hAnsi="Times New Roman" w:cs="Times New Roman"/>
                <w:b/>
                <w:bCs/>
                <w:sz w:val="18"/>
                <w:szCs w:val="18"/>
                <w:u w:val="single"/>
              </w:rPr>
            </w:pPr>
            <w:r w:rsidRPr="0064128D">
              <w:rPr>
                <w:rFonts w:ascii="Times New Roman" w:hAnsi="Times New Roman" w:cs="Times New Roman"/>
                <w:b/>
                <w:bCs/>
                <w:sz w:val="18"/>
                <w:szCs w:val="18"/>
                <w:u w:val="single"/>
              </w:rPr>
              <w:t>Intervention:</w:t>
            </w:r>
          </w:p>
          <w:p w14:paraId="01E8093E" w14:textId="1C574A0A" w:rsidR="00464DB7" w:rsidRPr="0064128D" w:rsidRDefault="008770DD" w:rsidP="0027259C">
            <w:pPr>
              <w:rPr>
                <w:rFonts w:ascii="Times New Roman" w:hAnsi="Times New Roman" w:cs="Times New Roman"/>
                <w:sz w:val="18"/>
                <w:szCs w:val="18"/>
              </w:rPr>
            </w:pPr>
            <w:r w:rsidRPr="0064128D">
              <w:rPr>
                <w:rFonts w:ascii="Times New Roman" w:hAnsi="Times New Roman" w:cs="Times New Roman"/>
                <w:sz w:val="18"/>
                <w:szCs w:val="18"/>
              </w:rPr>
              <w:t xml:space="preserve">A tax </w:t>
            </w:r>
            <w:r w:rsidR="00C04F74" w:rsidRPr="0064128D">
              <w:rPr>
                <w:rFonts w:ascii="Times New Roman" w:hAnsi="Times New Roman" w:cs="Times New Roman"/>
                <w:sz w:val="18"/>
                <w:szCs w:val="18"/>
              </w:rPr>
              <w:t xml:space="preserve">increase </w:t>
            </w:r>
            <w:r w:rsidRPr="0064128D">
              <w:rPr>
                <w:rFonts w:ascii="Times New Roman" w:hAnsi="Times New Roman" w:cs="Times New Roman"/>
                <w:sz w:val="18"/>
                <w:szCs w:val="18"/>
              </w:rPr>
              <w:t>of 6 Philippine pesos per liter (about 13%) on sweetened beverages to curb the obesity burden.</w:t>
            </w:r>
          </w:p>
          <w:p w14:paraId="0CC163B2" w14:textId="7C6A55EB" w:rsidR="00464DB7" w:rsidRPr="0064128D" w:rsidRDefault="00464DB7" w:rsidP="0027259C">
            <w:pPr>
              <w:rPr>
                <w:rFonts w:ascii="Times New Roman" w:hAnsi="Times New Roman" w:cs="Times New Roman"/>
                <w:sz w:val="18"/>
                <w:szCs w:val="18"/>
              </w:rPr>
            </w:pPr>
          </w:p>
        </w:tc>
        <w:tc>
          <w:tcPr>
            <w:tcW w:w="2936" w:type="dxa"/>
          </w:tcPr>
          <w:p w14:paraId="1D94059C" w14:textId="12549351"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 xml:space="preserve">Employed the </w:t>
            </w:r>
            <w:r w:rsidR="007E4F52" w:rsidRPr="0064128D">
              <w:rPr>
                <w:rFonts w:ascii="Times New Roman" w:hAnsi="Times New Roman" w:cs="Times New Roman"/>
                <w:sz w:val="18"/>
                <w:szCs w:val="18"/>
              </w:rPr>
              <w:t>ECEA to estimate HBG, FC, FRP and Equity</w:t>
            </w:r>
            <w:r w:rsidRPr="0064128D">
              <w:rPr>
                <w:rFonts w:ascii="Times New Roman" w:hAnsi="Times New Roman" w:cs="Times New Roman"/>
                <w:sz w:val="18"/>
                <w:szCs w:val="18"/>
              </w:rPr>
              <w:t>.</w:t>
            </w:r>
          </w:p>
          <w:p w14:paraId="7900A110" w14:textId="39C7AFF0" w:rsidR="00464DB7" w:rsidRPr="0064128D" w:rsidRDefault="00464DB7" w:rsidP="003401D6">
            <w:pPr>
              <w:rPr>
                <w:rFonts w:ascii="Times New Roman" w:hAnsi="Times New Roman" w:cs="Times New Roman"/>
                <w:sz w:val="18"/>
                <w:szCs w:val="18"/>
              </w:rPr>
            </w:pPr>
            <w:r w:rsidRPr="0064128D">
              <w:rPr>
                <w:rFonts w:ascii="Times New Roman" w:hAnsi="Times New Roman" w:cs="Times New Roman"/>
                <w:sz w:val="18"/>
                <w:szCs w:val="18"/>
              </w:rPr>
              <w:t xml:space="preserve">Obtained </w:t>
            </w:r>
            <w:r w:rsidR="003401D6" w:rsidRPr="0064128D">
              <w:rPr>
                <w:rFonts w:ascii="Times New Roman" w:hAnsi="Times New Roman" w:cs="Times New Roman"/>
                <w:sz w:val="18"/>
                <w:szCs w:val="18"/>
              </w:rPr>
              <w:t>data</w:t>
            </w:r>
            <w:r w:rsidRPr="0064128D">
              <w:rPr>
                <w:rFonts w:ascii="Times New Roman" w:hAnsi="Times New Roman" w:cs="Times New Roman"/>
                <w:sz w:val="18"/>
                <w:szCs w:val="18"/>
              </w:rPr>
              <w:t xml:space="preserve"> from the Philippine Statistics Authority</w:t>
            </w:r>
            <w:r w:rsidR="003401D6" w:rsidRPr="0064128D">
              <w:rPr>
                <w:rFonts w:ascii="Times New Roman" w:hAnsi="Times New Roman" w:cs="Times New Roman"/>
                <w:sz w:val="18"/>
                <w:szCs w:val="18"/>
              </w:rPr>
              <w:t xml:space="preserve">, the 2013 </w:t>
            </w:r>
            <w:r w:rsidRPr="0064128D">
              <w:rPr>
                <w:rFonts w:ascii="Times New Roman" w:hAnsi="Times New Roman" w:cs="Times New Roman"/>
                <w:sz w:val="18"/>
                <w:szCs w:val="18"/>
              </w:rPr>
              <w:t>Philippines Demographic and Health Survey</w:t>
            </w:r>
            <w:r w:rsidR="003401D6" w:rsidRPr="0064128D">
              <w:rPr>
                <w:rFonts w:ascii="Times New Roman" w:hAnsi="Times New Roman" w:cs="Times New Roman"/>
                <w:sz w:val="18"/>
                <w:szCs w:val="18"/>
              </w:rPr>
              <w:t xml:space="preserve"> </w:t>
            </w:r>
            <w:r w:rsidR="00830874" w:rsidRPr="0064128D">
              <w:rPr>
                <w:rFonts w:ascii="Times New Roman" w:hAnsi="Times New Roman" w:cs="Times New Roman"/>
                <w:sz w:val="18"/>
                <w:szCs w:val="18"/>
              </w:rPr>
              <w:t>(PDHS</w:t>
            </w:r>
            <w:r w:rsidR="005F1BBC" w:rsidRPr="0064128D">
              <w:rPr>
                <w:rFonts w:ascii="Times New Roman" w:hAnsi="Times New Roman" w:cs="Times New Roman"/>
                <w:sz w:val="18"/>
                <w:szCs w:val="18"/>
              </w:rPr>
              <w:t>)</w:t>
            </w:r>
            <w:r w:rsidR="0043596C" w:rsidRPr="0064128D">
              <w:rPr>
                <w:rFonts w:ascii="Times New Roman" w:hAnsi="Times New Roman" w:cs="Times New Roman"/>
                <w:sz w:val="18"/>
                <w:szCs w:val="18"/>
              </w:rPr>
              <w:t>, PhilHealth database</w:t>
            </w:r>
            <w:r w:rsidR="00830874" w:rsidRPr="0064128D">
              <w:rPr>
                <w:rFonts w:ascii="Times New Roman" w:hAnsi="Times New Roman" w:cs="Times New Roman"/>
                <w:sz w:val="18"/>
                <w:szCs w:val="18"/>
              </w:rPr>
              <w:t xml:space="preserve"> </w:t>
            </w:r>
            <w:r w:rsidR="003401D6" w:rsidRPr="0064128D">
              <w:rPr>
                <w:rFonts w:ascii="Times New Roman" w:hAnsi="Times New Roman" w:cs="Times New Roman"/>
                <w:sz w:val="18"/>
                <w:szCs w:val="18"/>
              </w:rPr>
              <w:t>and</w:t>
            </w:r>
            <w:r w:rsidRPr="0064128D">
              <w:rPr>
                <w:rFonts w:ascii="Times New Roman" w:hAnsi="Times New Roman" w:cs="Times New Roman"/>
                <w:sz w:val="18"/>
                <w:szCs w:val="18"/>
              </w:rPr>
              <w:t xml:space="preserve"> the Philippines National Survey 2013.</w:t>
            </w:r>
          </w:p>
        </w:tc>
        <w:tc>
          <w:tcPr>
            <w:tcW w:w="6964" w:type="dxa"/>
          </w:tcPr>
          <w:p w14:paraId="513A7440" w14:textId="5932332E" w:rsidR="00464DB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HBG</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Found that an estimated 10, 339 deaths from ischemic heart disease, 5913 deaths related to diabetes mellitus, and 7950 stroke-related deaths could be averted by the tax</w:t>
            </w:r>
            <w:r w:rsidR="000842C2" w:rsidRPr="0064128D">
              <w:rPr>
                <w:rFonts w:ascii="Times New Roman" w:hAnsi="Times New Roman" w:cs="Times New Roman"/>
                <w:sz w:val="18"/>
                <w:szCs w:val="18"/>
              </w:rPr>
              <w:t xml:space="preserve"> from 2018 to 2037</w:t>
            </w:r>
            <w:r w:rsidR="00464DB7" w:rsidRPr="0064128D">
              <w:rPr>
                <w:rFonts w:ascii="Times New Roman" w:hAnsi="Times New Roman" w:cs="Times New Roman"/>
                <w:sz w:val="18"/>
                <w:szCs w:val="18"/>
              </w:rPr>
              <w:t xml:space="preserve">. </w:t>
            </w:r>
          </w:p>
          <w:p w14:paraId="38458117" w14:textId="6CB8B82F" w:rsidR="00464DB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FC</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Over the 20 years</w:t>
            </w:r>
            <w:r w:rsidR="00600B63" w:rsidRPr="0064128D">
              <w:rPr>
                <w:rFonts w:ascii="Times New Roman" w:hAnsi="Times New Roman" w:cs="Times New Roman"/>
                <w:sz w:val="18"/>
                <w:szCs w:val="18"/>
              </w:rPr>
              <w:t xml:space="preserve"> period</w:t>
            </w:r>
            <w:r w:rsidR="00464DB7" w:rsidRPr="0064128D">
              <w:rPr>
                <w:rFonts w:ascii="Times New Roman" w:hAnsi="Times New Roman" w:cs="Times New Roman"/>
                <w:sz w:val="18"/>
                <w:szCs w:val="18"/>
              </w:rPr>
              <w:t xml:space="preserve">, the tax could generate 627 million US Dollars health-care </w:t>
            </w:r>
            <w:r w:rsidR="007517FE" w:rsidRPr="0064128D">
              <w:rPr>
                <w:rFonts w:ascii="Times New Roman" w:hAnsi="Times New Roman" w:cs="Times New Roman"/>
                <w:sz w:val="18"/>
                <w:szCs w:val="18"/>
              </w:rPr>
              <w:t>costs</w:t>
            </w:r>
            <w:r w:rsidR="00464DB7" w:rsidRPr="0064128D">
              <w:rPr>
                <w:rFonts w:ascii="Times New Roman" w:hAnsi="Times New Roman" w:cs="Times New Roman"/>
                <w:sz w:val="18"/>
                <w:szCs w:val="18"/>
              </w:rPr>
              <w:t xml:space="preserve">, and </w:t>
            </w:r>
            <w:r w:rsidR="007517FE" w:rsidRPr="0064128D">
              <w:rPr>
                <w:rFonts w:ascii="Times New Roman" w:hAnsi="Times New Roman" w:cs="Times New Roman"/>
                <w:sz w:val="18"/>
                <w:szCs w:val="18"/>
              </w:rPr>
              <w:t>total OOP cost savings of US$ 369 million.</w:t>
            </w:r>
          </w:p>
          <w:p w14:paraId="2E21B3D9" w14:textId="667775E8" w:rsidR="00464DB7" w:rsidRPr="0064128D" w:rsidRDefault="00A454E7" w:rsidP="0027259C">
            <w:pPr>
              <w:rPr>
                <w:rFonts w:ascii="Times New Roman" w:hAnsi="Times New Roman" w:cs="Times New Roman"/>
                <w:sz w:val="18"/>
                <w:szCs w:val="18"/>
              </w:rPr>
            </w:pPr>
            <w:r w:rsidRPr="0064128D">
              <w:rPr>
                <w:rFonts w:ascii="Times New Roman" w:hAnsi="Times New Roman" w:cs="Times New Roman"/>
                <w:sz w:val="18"/>
                <w:szCs w:val="18"/>
              </w:rPr>
              <w:t xml:space="preserve">The tax raised </w:t>
            </w:r>
            <w:r w:rsidR="00464DB7" w:rsidRPr="0064128D">
              <w:rPr>
                <w:rFonts w:ascii="Times New Roman" w:hAnsi="Times New Roman" w:cs="Times New Roman"/>
                <w:sz w:val="18"/>
                <w:szCs w:val="18"/>
              </w:rPr>
              <w:t>US$ 813 million in revenue per annum.</w:t>
            </w:r>
          </w:p>
          <w:p w14:paraId="5562E2D9" w14:textId="0861747A" w:rsidR="00464DB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FRP</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w:t>
            </w:r>
            <w:r w:rsidR="00C24D5E" w:rsidRPr="0064128D">
              <w:rPr>
                <w:rFonts w:ascii="Times New Roman" w:hAnsi="Times New Roman" w:cs="Times New Roman"/>
                <w:sz w:val="18"/>
                <w:szCs w:val="18"/>
              </w:rPr>
              <w:t xml:space="preserve">About </w:t>
            </w:r>
            <w:r w:rsidR="00464DB7" w:rsidRPr="0064128D">
              <w:rPr>
                <w:rFonts w:ascii="Times New Roman" w:hAnsi="Times New Roman" w:cs="Times New Roman"/>
                <w:sz w:val="18"/>
                <w:szCs w:val="18"/>
              </w:rPr>
              <w:t xml:space="preserve">13,890 </w:t>
            </w:r>
            <w:r w:rsidR="00C24D5E" w:rsidRPr="0064128D">
              <w:rPr>
                <w:rFonts w:ascii="Times New Roman" w:hAnsi="Times New Roman" w:cs="Times New Roman"/>
                <w:sz w:val="18"/>
                <w:szCs w:val="18"/>
              </w:rPr>
              <w:t xml:space="preserve">CHE </w:t>
            </w:r>
            <w:r w:rsidR="00464DB7" w:rsidRPr="0064128D">
              <w:rPr>
                <w:rFonts w:ascii="Times New Roman" w:hAnsi="Times New Roman" w:cs="Times New Roman"/>
                <w:sz w:val="18"/>
                <w:szCs w:val="18"/>
              </w:rPr>
              <w:t>cases could be averted.</w:t>
            </w:r>
          </w:p>
          <w:p w14:paraId="70A24DDB" w14:textId="10B7FA49" w:rsidR="00464DB7" w:rsidRPr="0064128D" w:rsidRDefault="00D82C07" w:rsidP="0027259C">
            <w:pPr>
              <w:rPr>
                <w:rFonts w:ascii="Times New Roman" w:hAnsi="Times New Roman" w:cs="Times New Roman"/>
                <w:sz w:val="18"/>
                <w:szCs w:val="18"/>
              </w:rPr>
            </w:pPr>
            <w:r w:rsidRPr="0064128D">
              <w:rPr>
                <w:rFonts w:ascii="Times New Roman" w:hAnsi="Times New Roman" w:cs="Times New Roman"/>
                <w:b/>
                <w:bCs/>
                <w:i/>
                <w:iCs/>
                <w:sz w:val="18"/>
                <w:szCs w:val="18"/>
              </w:rPr>
              <w:t>Equity</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The largest number of averted deaths was among the highest or fourth- and fifth-income quintiles.</w:t>
            </w:r>
          </w:p>
          <w:p w14:paraId="1DFDC91C" w14:textId="1B3D2C1A" w:rsidR="00614735"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The poorest quintile could have the lowest savings in out-of-pocket (OOP) payments and bear the smallest tax burden</w:t>
            </w:r>
            <w:r w:rsidR="00E72471" w:rsidRPr="0064128D">
              <w:rPr>
                <w:rFonts w:ascii="Times New Roman" w:hAnsi="Times New Roman" w:cs="Times New Roman"/>
                <w:sz w:val="18"/>
                <w:szCs w:val="18"/>
              </w:rPr>
              <w:t xml:space="preserve"> (14%)</w:t>
            </w:r>
            <w:r w:rsidR="00614735" w:rsidRPr="0064128D">
              <w:rPr>
                <w:rFonts w:ascii="Times New Roman" w:hAnsi="Times New Roman" w:cs="Times New Roman"/>
                <w:sz w:val="18"/>
                <w:szCs w:val="18"/>
              </w:rPr>
              <w:t>.</w:t>
            </w:r>
          </w:p>
          <w:p w14:paraId="49F0EDA4" w14:textId="1797698E" w:rsidR="00CC2477" w:rsidRPr="0064128D" w:rsidRDefault="00614735" w:rsidP="0027259C">
            <w:pPr>
              <w:rPr>
                <w:rFonts w:ascii="Times New Roman" w:hAnsi="Times New Roman" w:cs="Times New Roman"/>
                <w:sz w:val="18"/>
                <w:szCs w:val="18"/>
              </w:rPr>
            </w:pPr>
            <w:r w:rsidRPr="0064128D">
              <w:rPr>
                <w:rFonts w:ascii="Times New Roman" w:hAnsi="Times New Roman" w:cs="Times New Roman"/>
                <w:sz w:val="18"/>
                <w:szCs w:val="18"/>
              </w:rPr>
              <w:t>T</w:t>
            </w:r>
            <w:r w:rsidR="00464DB7" w:rsidRPr="0064128D">
              <w:rPr>
                <w:rFonts w:ascii="Times New Roman" w:hAnsi="Times New Roman" w:cs="Times New Roman"/>
                <w:sz w:val="18"/>
                <w:szCs w:val="18"/>
              </w:rPr>
              <w:t>he highest income quintile could save the most</w:t>
            </w:r>
            <w:r w:rsidR="00C56471" w:rsidRPr="0064128D">
              <w:rPr>
                <w:rFonts w:ascii="Times New Roman" w:hAnsi="Times New Roman" w:cs="Times New Roman"/>
                <w:sz w:val="18"/>
                <w:szCs w:val="18"/>
              </w:rPr>
              <w:t xml:space="preserve"> and bear the highest tax burden</w:t>
            </w:r>
            <w:r w:rsidR="00E72471" w:rsidRPr="0064128D">
              <w:rPr>
                <w:rFonts w:ascii="Times New Roman" w:hAnsi="Times New Roman" w:cs="Times New Roman"/>
                <w:sz w:val="18"/>
                <w:szCs w:val="18"/>
              </w:rPr>
              <w:t xml:space="preserve"> (26%)</w:t>
            </w:r>
            <w:r w:rsidR="00464DB7" w:rsidRPr="0064128D">
              <w:rPr>
                <w:rFonts w:ascii="Times New Roman" w:hAnsi="Times New Roman" w:cs="Times New Roman"/>
                <w:sz w:val="18"/>
                <w:szCs w:val="18"/>
              </w:rPr>
              <w:t>.</w:t>
            </w:r>
            <w:r w:rsidRPr="0064128D">
              <w:rPr>
                <w:rFonts w:ascii="Times New Roman" w:hAnsi="Times New Roman" w:cs="Times New Roman"/>
                <w:sz w:val="18"/>
                <w:szCs w:val="18"/>
              </w:rPr>
              <w:t xml:space="preserve"> Thus, a</w:t>
            </w:r>
            <w:r w:rsidR="00CC2477" w:rsidRPr="0064128D">
              <w:rPr>
                <w:rFonts w:ascii="Times New Roman" w:hAnsi="Times New Roman" w:cs="Times New Roman"/>
                <w:sz w:val="18"/>
                <w:szCs w:val="18"/>
              </w:rPr>
              <w:t>bout 35% of total OOP savings accrued to the highest income quintile and only 3% accrued to the lowest income quintile.</w:t>
            </w:r>
          </w:p>
          <w:p w14:paraId="33DBAD63" w14:textId="3FC948FF" w:rsidR="002E1B32" w:rsidRPr="0064128D" w:rsidRDefault="002E1B32" w:rsidP="0027259C">
            <w:pPr>
              <w:rPr>
                <w:rFonts w:ascii="Times New Roman" w:hAnsi="Times New Roman" w:cs="Times New Roman"/>
                <w:sz w:val="18"/>
                <w:szCs w:val="18"/>
              </w:rPr>
            </w:pPr>
            <w:r w:rsidRPr="0064128D">
              <w:rPr>
                <w:rFonts w:ascii="Times New Roman" w:hAnsi="Times New Roman" w:cs="Times New Roman"/>
                <w:sz w:val="18"/>
                <w:szCs w:val="18"/>
              </w:rPr>
              <w:t>About half of the deaths averted accrued to the top two income quintiles and only 10% is accrued to the bottom two income quintiles</w:t>
            </w:r>
            <w:r w:rsidR="008B3ED4" w:rsidRPr="0064128D">
              <w:rPr>
                <w:rFonts w:ascii="Times New Roman" w:hAnsi="Times New Roman" w:cs="Times New Roman"/>
                <w:sz w:val="18"/>
                <w:szCs w:val="18"/>
              </w:rPr>
              <w:t>, who had lower con</w:t>
            </w:r>
            <w:r w:rsidR="00500705" w:rsidRPr="0064128D">
              <w:rPr>
                <w:rFonts w:ascii="Times New Roman" w:hAnsi="Times New Roman" w:cs="Times New Roman"/>
                <w:sz w:val="18"/>
                <w:szCs w:val="18"/>
              </w:rPr>
              <w:t>s</w:t>
            </w:r>
            <w:r w:rsidR="008B3ED4" w:rsidRPr="0064128D">
              <w:rPr>
                <w:rFonts w:ascii="Times New Roman" w:hAnsi="Times New Roman" w:cs="Times New Roman"/>
                <w:sz w:val="18"/>
                <w:szCs w:val="18"/>
              </w:rPr>
              <w:t>umption of sugar-sweetened beverages</w:t>
            </w:r>
            <w:r w:rsidRPr="0064128D">
              <w:rPr>
                <w:rFonts w:ascii="Times New Roman" w:hAnsi="Times New Roman" w:cs="Times New Roman"/>
                <w:sz w:val="18"/>
                <w:szCs w:val="18"/>
              </w:rPr>
              <w:t>.</w:t>
            </w:r>
          </w:p>
          <w:p w14:paraId="3FB3D294" w14:textId="083D6ADE" w:rsidR="00464DB7" w:rsidRPr="0064128D" w:rsidRDefault="00464DB7" w:rsidP="0027259C">
            <w:pPr>
              <w:rPr>
                <w:rFonts w:ascii="Times New Roman" w:hAnsi="Times New Roman" w:cs="Times New Roman"/>
                <w:sz w:val="18"/>
                <w:szCs w:val="18"/>
              </w:rPr>
            </w:pPr>
          </w:p>
          <w:p w14:paraId="37398D75" w14:textId="77777777" w:rsidR="00464DB7" w:rsidRPr="0064128D" w:rsidRDefault="00464DB7" w:rsidP="0027259C">
            <w:pPr>
              <w:rPr>
                <w:rFonts w:ascii="Times New Roman" w:hAnsi="Times New Roman" w:cs="Times New Roman"/>
                <w:sz w:val="18"/>
                <w:szCs w:val="18"/>
              </w:rPr>
            </w:pPr>
          </w:p>
          <w:p w14:paraId="282FE81D" w14:textId="27C71670" w:rsidR="00464DB7" w:rsidRPr="0064128D" w:rsidRDefault="00464DB7" w:rsidP="0027259C">
            <w:pPr>
              <w:rPr>
                <w:rFonts w:ascii="Times New Roman" w:hAnsi="Times New Roman" w:cs="Times New Roman"/>
                <w:sz w:val="18"/>
                <w:szCs w:val="18"/>
              </w:rPr>
            </w:pPr>
          </w:p>
        </w:tc>
      </w:tr>
      <w:tr w:rsidR="0064128D" w:rsidRPr="0064128D" w14:paraId="16F5201D" w14:textId="77777777" w:rsidTr="00C718F8">
        <w:trPr>
          <w:trHeight w:val="2600"/>
        </w:trPr>
        <w:tc>
          <w:tcPr>
            <w:tcW w:w="540" w:type="dxa"/>
          </w:tcPr>
          <w:p w14:paraId="3BD2848F" w14:textId="71B8D5BB"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lastRenderedPageBreak/>
              <w:t>5</w:t>
            </w:r>
          </w:p>
        </w:tc>
        <w:tc>
          <w:tcPr>
            <w:tcW w:w="1260" w:type="dxa"/>
          </w:tcPr>
          <w:p w14:paraId="6AE0CE53" w14:textId="25CDF8CC"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fldChar w:fldCharType="begin" w:fldLock="1"/>
            </w:r>
            <w:r w:rsidR="0035017E">
              <w:rPr>
                <w:rFonts w:ascii="Times New Roman" w:hAnsi="Times New Roman" w:cs="Times New Roman"/>
                <w:sz w:val="18"/>
                <w:szCs w:val="18"/>
              </w:rPr>
              <w:instrText>ADDIN CSL_CITATION {"citationItems":[{"id":"ITEM-1","itemData":{"DOI":"10.1136/bmjgh-2018-001317","ISSN":"20597908","abstract":"Background Facing increasing obesity prevalence and obesity-related disease burden, South Africa has devised an obesity prevention strategy that includes a recently implemented tax on the sugar content of sugar-sweetened beverages (SSB). We assess the potential distributional impact (across socioeconomic groups) of this tax on type 2 diabetes mellitus (T2DM) incidence and associated mortality and its financial burden on households. Methods We conducted an extended cost-effectiveness analysis of the new 10% tax on SSBs in South Africa, and estimated: the averted premature deaths related to T2DM, the financial benefits to households (out-of-pocket (OOP) medical costs and indirect costs due to productivity losses averted), the increased government tax revenues and healthcare savings for the government, all across income quintiles. Findings A 10% SSB tax increase would avert an estimated 8000 T2DM-related premature deaths over 20 years, with most deaths averted among the third and fourth income quintiles. The government would save about South African rand (ZAR) 2 billion (US$140 million) in subsidised healthcare over 20 years; and would raise ZAR6 billion (US$450 million) in tax revenues per annum. The bottom two quintiles would bear the smallest tax burden increase (36% of the additional taxes). The bottom two income quintiles would also have the lowest savings in OOP payments due to significant subsidisation provided by government healthcare. Lastly, an estimated 32 000 T2DM-related cases of catastrophic expenditures and 12 000 cases of poverty would be averted. Conclusions SSB taxation would have a substantial distributional impact on obesity-related premature deaths, cost savings to the government and the financial outcomes of South Africa's population.","author":[{"dropping-particle":"","family":"Saxena","given":"Akshar","non-dropping-particle":"","parse-names":false,"suffix":""},{"dropping-particle":"","family":"Stacey","given":"Nicholas","non-dropping-particle":"","parse-names":false,"suffix":""},{"dropping-particle":"","family":"Puech","given":"Paula Del Ray","non-dropping-particle":"","parse-names":false,"suffix":""},{"dropping-particle":"","family":"Mudara","given":"Caroline","non-dropping-particle":"","parse-names":false,"suffix":""},{"dropping-particle":"","family":"Hofman","given":"Karen","non-dropping-particle":"","parse-names":false,"suffix":""},{"dropping-particle":"","family":"Verguet","given":"Stéphane","non-dropping-particle":"","parse-names":false,"suffix":""}],"container-title":"BMJ Global Health","id":"ITEM-1","issue":"4","issued":{"date-parts":[["2019"]]},"title":"The distributional impact of taxing sugar-sweetened beverages: Findings from an extended cost-effectiveness analysis in South Africa","type":"article-journal","volume":"4"},"uris":["http://www.mendeley.com/documents/?uuid=3ecf6f16-a865-4bea-9b2e-9c30ad261808"]}],"mendeley":{"formattedCitation":"(Saxena, Stacey, et al., 2019)","manualFormatting":"Saxena et al. (2019b)","plainTextFormattedCitation":"(Saxena, Stacey, et al., 2019)","previouslyFormattedCitation":"(Saxena, Stacey, et al., 2019)"},"properties":{"noteIndex":0},"schema":"https://github.com/citation-style-language/schema/raw/master/csl-citation.json"}</w:instrText>
            </w:r>
            <w:r w:rsidRPr="0064128D">
              <w:rPr>
                <w:rFonts w:ascii="Times New Roman" w:hAnsi="Times New Roman" w:cs="Times New Roman"/>
                <w:sz w:val="18"/>
                <w:szCs w:val="18"/>
              </w:rPr>
              <w:fldChar w:fldCharType="separate"/>
            </w:r>
            <w:r w:rsidRPr="0064128D">
              <w:rPr>
                <w:rFonts w:ascii="Times New Roman" w:hAnsi="Times New Roman" w:cs="Times New Roman"/>
                <w:noProof/>
                <w:sz w:val="18"/>
                <w:szCs w:val="18"/>
              </w:rPr>
              <w:t>Saxena et al. (2019</w:t>
            </w:r>
            <w:r w:rsidR="00063E3B">
              <w:rPr>
                <w:rFonts w:ascii="Times New Roman" w:hAnsi="Times New Roman" w:cs="Times New Roman"/>
                <w:noProof/>
                <w:sz w:val="18"/>
                <w:szCs w:val="18"/>
              </w:rPr>
              <w:t>b</w:t>
            </w:r>
            <w:r w:rsidRPr="0064128D">
              <w:rPr>
                <w:rFonts w:ascii="Times New Roman" w:hAnsi="Times New Roman" w:cs="Times New Roman"/>
                <w:noProof/>
                <w:sz w:val="18"/>
                <w:szCs w:val="18"/>
              </w:rPr>
              <w:t>)</w:t>
            </w:r>
            <w:r w:rsidRPr="0064128D">
              <w:rPr>
                <w:rFonts w:ascii="Times New Roman" w:hAnsi="Times New Roman" w:cs="Times New Roman"/>
                <w:sz w:val="18"/>
                <w:szCs w:val="18"/>
              </w:rPr>
              <w:fldChar w:fldCharType="end"/>
            </w:r>
            <w:r w:rsidRPr="0064128D">
              <w:rPr>
                <w:rFonts w:ascii="Times New Roman" w:hAnsi="Times New Roman" w:cs="Times New Roman"/>
                <w:sz w:val="18"/>
                <w:szCs w:val="18"/>
              </w:rPr>
              <w:t>,</w:t>
            </w:r>
          </w:p>
          <w:p w14:paraId="36D93267" w14:textId="25D43B2E"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South Africa</w:t>
            </w:r>
          </w:p>
        </w:tc>
        <w:tc>
          <w:tcPr>
            <w:tcW w:w="3240" w:type="dxa"/>
          </w:tcPr>
          <w:p w14:paraId="2187A745" w14:textId="6AD81DCF" w:rsidR="00464DB7" w:rsidRPr="0064128D" w:rsidRDefault="008E6885" w:rsidP="0027259C">
            <w:pPr>
              <w:rPr>
                <w:rFonts w:ascii="Times New Roman" w:hAnsi="Times New Roman" w:cs="Times New Roman"/>
                <w:sz w:val="18"/>
                <w:szCs w:val="18"/>
              </w:rPr>
            </w:pPr>
            <w:r w:rsidRPr="0064128D">
              <w:rPr>
                <w:rFonts w:ascii="Times New Roman" w:hAnsi="Times New Roman" w:cs="Times New Roman"/>
                <w:sz w:val="18"/>
                <w:szCs w:val="18"/>
              </w:rPr>
              <w:t>Estimated the health and non-health</w:t>
            </w:r>
            <w:r w:rsidR="00464DB7" w:rsidRPr="0064128D">
              <w:rPr>
                <w:rFonts w:ascii="Times New Roman" w:hAnsi="Times New Roman" w:cs="Times New Roman"/>
                <w:sz w:val="18"/>
                <w:szCs w:val="18"/>
              </w:rPr>
              <w:t xml:space="preserve"> impact of</w:t>
            </w:r>
            <w:r w:rsidRPr="0064128D">
              <w:rPr>
                <w:rFonts w:ascii="Times New Roman" w:hAnsi="Times New Roman" w:cs="Times New Roman"/>
                <w:sz w:val="18"/>
                <w:szCs w:val="18"/>
              </w:rPr>
              <w:t xml:space="preserve"> a</w:t>
            </w:r>
            <w:r w:rsidR="00F317A1" w:rsidRPr="0064128D">
              <w:rPr>
                <w:rFonts w:ascii="Times New Roman" w:hAnsi="Times New Roman" w:cs="Times New Roman"/>
                <w:sz w:val="18"/>
                <w:szCs w:val="18"/>
              </w:rPr>
              <w:t>n excise</w:t>
            </w:r>
            <w:r w:rsidRPr="0064128D">
              <w:rPr>
                <w:rFonts w:ascii="Times New Roman" w:hAnsi="Times New Roman" w:cs="Times New Roman"/>
                <w:sz w:val="18"/>
                <w:szCs w:val="18"/>
              </w:rPr>
              <w:t xml:space="preserve"> tax increase</w:t>
            </w:r>
            <w:r w:rsidR="00464DB7" w:rsidRPr="0064128D">
              <w:rPr>
                <w:rFonts w:ascii="Times New Roman" w:hAnsi="Times New Roman" w:cs="Times New Roman"/>
                <w:sz w:val="18"/>
                <w:szCs w:val="18"/>
              </w:rPr>
              <w:t xml:space="preserve"> on sugar-sweetened beverages on type 2 diabetes mellitus incidence and mortality</w:t>
            </w:r>
            <w:r w:rsidRPr="0064128D">
              <w:rPr>
                <w:rFonts w:ascii="Times New Roman" w:hAnsi="Times New Roman" w:cs="Times New Roman"/>
                <w:sz w:val="18"/>
                <w:szCs w:val="18"/>
              </w:rPr>
              <w:t>, across socioeconomic groups</w:t>
            </w:r>
            <w:r w:rsidR="00464DB7" w:rsidRPr="0064128D">
              <w:rPr>
                <w:rFonts w:ascii="Times New Roman" w:hAnsi="Times New Roman" w:cs="Times New Roman"/>
                <w:sz w:val="18"/>
                <w:szCs w:val="18"/>
              </w:rPr>
              <w:t>.</w:t>
            </w:r>
          </w:p>
          <w:p w14:paraId="019D1F29" w14:textId="77777777" w:rsidR="00CA73D9" w:rsidRPr="0064128D" w:rsidRDefault="00CA73D9" w:rsidP="0027259C">
            <w:pPr>
              <w:rPr>
                <w:rFonts w:ascii="Times New Roman" w:hAnsi="Times New Roman" w:cs="Times New Roman"/>
                <w:sz w:val="18"/>
                <w:szCs w:val="18"/>
              </w:rPr>
            </w:pPr>
          </w:p>
          <w:p w14:paraId="70FD24D6" w14:textId="7ADF8EC3" w:rsidR="008E6885" w:rsidRPr="0064128D" w:rsidRDefault="007976DC" w:rsidP="0027259C">
            <w:pPr>
              <w:rPr>
                <w:rFonts w:ascii="Times New Roman" w:hAnsi="Times New Roman" w:cs="Times New Roman"/>
                <w:sz w:val="18"/>
                <w:szCs w:val="18"/>
              </w:rPr>
            </w:pPr>
            <w:r w:rsidRPr="0064128D">
              <w:rPr>
                <w:rFonts w:ascii="Times New Roman" w:hAnsi="Times New Roman" w:cs="Times New Roman"/>
                <w:b/>
                <w:bCs/>
                <w:sz w:val="18"/>
                <w:szCs w:val="18"/>
              </w:rPr>
              <w:t>Status quo</w:t>
            </w:r>
            <w:r w:rsidR="006A30C4" w:rsidRPr="0064128D">
              <w:rPr>
                <w:rFonts w:ascii="Times New Roman" w:hAnsi="Times New Roman" w:cs="Times New Roman"/>
                <w:sz w:val="18"/>
                <w:szCs w:val="18"/>
              </w:rPr>
              <w:t>: Price per liter of sugar-sweetened beverages was ZAR 11.45</w:t>
            </w:r>
            <w:r w:rsidR="000D2115" w:rsidRPr="0064128D">
              <w:rPr>
                <w:rFonts w:ascii="Times New Roman" w:hAnsi="Times New Roman" w:cs="Times New Roman"/>
                <w:sz w:val="18"/>
                <w:szCs w:val="18"/>
              </w:rPr>
              <w:t>.</w:t>
            </w:r>
            <w:r w:rsidR="00C115AC" w:rsidRPr="0064128D">
              <w:rPr>
                <w:rFonts w:ascii="Times New Roman" w:hAnsi="Times New Roman" w:cs="Times New Roman"/>
                <w:sz w:val="18"/>
                <w:szCs w:val="18"/>
              </w:rPr>
              <w:t xml:space="preserve"> The assumed sugar content for the study was 10.6g/100mL.</w:t>
            </w:r>
          </w:p>
          <w:p w14:paraId="69E9320E" w14:textId="32322EAF" w:rsidR="00FD6724" w:rsidRPr="0064128D" w:rsidRDefault="00FD6724" w:rsidP="0027259C">
            <w:pPr>
              <w:rPr>
                <w:rFonts w:ascii="Times New Roman" w:hAnsi="Times New Roman" w:cs="Times New Roman"/>
                <w:sz w:val="18"/>
                <w:szCs w:val="18"/>
              </w:rPr>
            </w:pPr>
          </w:p>
          <w:p w14:paraId="4A35C31E" w14:textId="2DF6FEEC" w:rsidR="00FD6724" w:rsidRPr="0064128D" w:rsidRDefault="00FD6724" w:rsidP="0027259C">
            <w:pPr>
              <w:rPr>
                <w:rFonts w:ascii="Times New Roman" w:hAnsi="Times New Roman" w:cs="Times New Roman"/>
                <w:b/>
                <w:bCs/>
                <w:sz w:val="18"/>
                <w:szCs w:val="18"/>
                <w:u w:val="single"/>
              </w:rPr>
            </w:pPr>
            <w:r w:rsidRPr="0064128D">
              <w:rPr>
                <w:rFonts w:ascii="Times New Roman" w:hAnsi="Times New Roman" w:cs="Times New Roman"/>
                <w:b/>
                <w:bCs/>
                <w:sz w:val="18"/>
                <w:szCs w:val="18"/>
                <w:u w:val="single"/>
              </w:rPr>
              <w:t>Intervention:</w:t>
            </w:r>
          </w:p>
          <w:p w14:paraId="456F68FE" w14:textId="2391844C" w:rsidR="008E6885" w:rsidRPr="0064128D" w:rsidRDefault="00FD6724" w:rsidP="0027259C">
            <w:pPr>
              <w:rPr>
                <w:rFonts w:ascii="Times New Roman" w:hAnsi="Times New Roman" w:cs="Times New Roman"/>
                <w:sz w:val="18"/>
                <w:szCs w:val="18"/>
              </w:rPr>
            </w:pPr>
            <w:r w:rsidRPr="0064128D">
              <w:rPr>
                <w:rFonts w:ascii="Times New Roman" w:hAnsi="Times New Roman" w:cs="Times New Roman"/>
                <w:sz w:val="18"/>
                <w:szCs w:val="18"/>
              </w:rPr>
              <w:t>A</w:t>
            </w:r>
            <w:r w:rsidR="008E6885" w:rsidRPr="0064128D">
              <w:rPr>
                <w:rFonts w:ascii="Times New Roman" w:hAnsi="Times New Roman" w:cs="Times New Roman"/>
                <w:sz w:val="18"/>
                <w:szCs w:val="18"/>
              </w:rPr>
              <w:t xml:space="preserve"> 10% tax</w:t>
            </w:r>
            <w:r w:rsidRPr="0064128D">
              <w:rPr>
                <w:rFonts w:ascii="Times New Roman" w:hAnsi="Times New Roman" w:cs="Times New Roman"/>
                <w:sz w:val="18"/>
                <w:szCs w:val="18"/>
              </w:rPr>
              <w:t xml:space="preserve"> increase on sugar-sweetened beverages</w:t>
            </w:r>
            <w:r w:rsidR="00F30096" w:rsidRPr="0064128D">
              <w:rPr>
                <w:rFonts w:ascii="Times New Roman" w:hAnsi="Times New Roman" w:cs="Times New Roman"/>
                <w:sz w:val="18"/>
                <w:szCs w:val="18"/>
              </w:rPr>
              <w:t>.</w:t>
            </w:r>
            <w:r w:rsidRPr="0064128D">
              <w:rPr>
                <w:rFonts w:ascii="Times New Roman" w:hAnsi="Times New Roman" w:cs="Times New Roman"/>
                <w:sz w:val="18"/>
                <w:szCs w:val="18"/>
              </w:rPr>
              <w:t xml:space="preserve"> </w:t>
            </w:r>
            <w:r w:rsidR="004E0356" w:rsidRPr="0064128D">
              <w:rPr>
                <w:rFonts w:ascii="Times New Roman" w:hAnsi="Times New Roman" w:cs="Times New Roman"/>
                <w:sz w:val="18"/>
                <w:szCs w:val="18"/>
              </w:rPr>
              <w:t>Thus, a tax of US$0.18 cents/g of sugar over 4g/100mL.</w:t>
            </w:r>
            <w:r w:rsidR="001213A8" w:rsidRPr="0064128D">
              <w:rPr>
                <w:rFonts w:ascii="Times New Roman" w:hAnsi="Times New Roman" w:cs="Times New Roman"/>
                <w:sz w:val="18"/>
                <w:szCs w:val="18"/>
              </w:rPr>
              <w:t xml:space="preserve"> A 100% pass-through effect was assumed.</w:t>
            </w:r>
          </w:p>
        </w:tc>
        <w:tc>
          <w:tcPr>
            <w:tcW w:w="2936" w:type="dxa"/>
          </w:tcPr>
          <w:p w14:paraId="3E3DBAD4" w14:textId="77777777"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 xml:space="preserve">Employed </w:t>
            </w:r>
            <w:r w:rsidR="00266606" w:rsidRPr="0064128D">
              <w:rPr>
                <w:rFonts w:ascii="Times New Roman" w:hAnsi="Times New Roman" w:cs="Times New Roman"/>
                <w:sz w:val="18"/>
                <w:szCs w:val="18"/>
              </w:rPr>
              <w:t>ECEA to assess HBG, FC, FRP and equity</w:t>
            </w:r>
            <w:r w:rsidRPr="0064128D">
              <w:rPr>
                <w:rFonts w:ascii="Times New Roman" w:hAnsi="Times New Roman" w:cs="Times New Roman"/>
                <w:sz w:val="18"/>
                <w:szCs w:val="18"/>
              </w:rPr>
              <w:t>.</w:t>
            </w:r>
          </w:p>
          <w:p w14:paraId="5E1BAE5D" w14:textId="1F41E07A" w:rsidR="00A40EA2" w:rsidRPr="0064128D" w:rsidRDefault="00A40EA2" w:rsidP="0027259C">
            <w:pPr>
              <w:rPr>
                <w:rFonts w:ascii="Times New Roman" w:hAnsi="Times New Roman" w:cs="Times New Roman"/>
                <w:sz w:val="18"/>
                <w:szCs w:val="18"/>
              </w:rPr>
            </w:pPr>
            <w:r w:rsidRPr="0064128D">
              <w:rPr>
                <w:rFonts w:ascii="Times New Roman" w:hAnsi="Times New Roman" w:cs="Times New Roman"/>
                <w:sz w:val="18"/>
                <w:szCs w:val="18"/>
              </w:rPr>
              <w:t>They used data from WDI, Global burden of disease study,</w:t>
            </w:r>
            <w:r w:rsidR="00DE1460" w:rsidRPr="0064128D">
              <w:rPr>
                <w:rFonts w:ascii="Times New Roman" w:hAnsi="Times New Roman" w:cs="Times New Roman"/>
                <w:sz w:val="18"/>
                <w:szCs w:val="18"/>
              </w:rPr>
              <w:t xml:space="preserve"> </w:t>
            </w:r>
            <w:r w:rsidR="003D0513" w:rsidRPr="0064128D">
              <w:rPr>
                <w:rFonts w:ascii="Times New Roman" w:hAnsi="Times New Roman" w:cs="Times New Roman"/>
                <w:sz w:val="18"/>
                <w:szCs w:val="18"/>
              </w:rPr>
              <w:t>National Income Dynamics Study, General Household Survey,</w:t>
            </w:r>
            <w:r w:rsidR="00A43C8C" w:rsidRPr="0064128D">
              <w:rPr>
                <w:rFonts w:ascii="Times New Roman" w:hAnsi="Times New Roman" w:cs="Times New Roman"/>
                <w:sz w:val="18"/>
                <w:szCs w:val="18"/>
              </w:rPr>
              <w:t xml:space="preserve"> IHME,</w:t>
            </w:r>
            <w:r w:rsidR="008A1DD3" w:rsidRPr="0064128D">
              <w:rPr>
                <w:rFonts w:ascii="Times New Roman" w:hAnsi="Times New Roman" w:cs="Times New Roman"/>
                <w:sz w:val="18"/>
                <w:szCs w:val="18"/>
              </w:rPr>
              <w:t xml:space="preserve"> National Department of Health,</w:t>
            </w:r>
            <w:r w:rsidR="003D0513" w:rsidRPr="0064128D">
              <w:rPr>
                <w:rFonts w:ascii="Times New Roman" w:hAnsi="Times New Roman" w:cs="Times New Roman"/>
                <w:sz w:val="18"/>
                <w:szCs w:val="18"/>
              </w:rPr>
              <w:t xml:space="preserve"> </w:t>
            </w:r>
            <w:r w:rsidR="00DE1460" w:rsidRPr="0064128D">
              <w:rPr>
                <w:rFonts w:ascii="Times New Roman" w:hAnsi="Times New Roman" w:cs="Times New Roman"/>
                <w:sz w:val="18"/>
                <w:szCs w:val="18"/>
              </w:rPr>
              <w:t>empirical literature and authors’ assumptions and calculations.</w:t>
            </w:r>
          </w:p>
        </w:tc>
        <w:tc>
          <w:tcPr>
            <w:tcW w:w="6964" w:type="dxa"/>
          </w:tcPr>
          <w:p w14:paraId="16B8E0AB" w14:textId="5730C378" w:rsidR="00464DB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HBG</w:t>
            </w:r>
            <w:r w:rsidRPr="0064128D">
              <w:rPr>
                <w:rFonts w:ascii="Times New Roman" w:hAnsi="Times New Roman" w:cs="Times New Roman"/>
                <w:sz w:val="18"/>
                <w:szCs w:val="18"/>
              </w:rPr>
              <w:t xml:space="preserve">: </w:t>
            </w:r>
            <w:r w:rsidR="00464DB7" w:rsidRPr="0064128D">
              <w:rPr>
                <w:rFonts w:ascii="Times New Roman" w:hAnsi="Times New Roman" w:cs="Times New Roman"/>
                <w:sz w:val="18"/>
                <w:szCs w:val="18"/>
              </w:rPr>
              <w:t xml:space="preserve">The tax would avert an estimated </w:t>
            </w:r>
            <w:r w:rsidR="00E01253" w:rsidRPr="0064128D">
              <w:rPr>
                <w:rFonts w:ascii="Times New Roman" w:hAnsi="Times New Roman" w:cs="Times New Roman"/>
                <w:sz w:val="18"/>
                <w:szCs w:val="18"/>
              </w:rPr>
              <w:t>7898</w:t>
            </w:r>
            <w:r w:rsidR="00464DB7" w:rsidRPr="0064128D">
              <w:rPr>
                <w:rFonts w:ascii="Times New Roman" w:hAnsi="Times New Roman" w:cs="Times New Roman"/>
                <w:sz w:val="18"/>
                <w:szCs w:val="18"/>
              </w:rPr>
              <w:t xml:space="preserve"> type 2 diabetes mellitus-related premature deaths </w:t>
            </w:r>
            <w:r w:rsidR="00E01253" w:rsidRPr="0064128D">
              <w:rPr>
                <w:rFonts w:ascii="Times New Roman" w:hAnsi="Times New Roman" w:cs="Times New Roman"/>
                <w:sz w:val="18"/>
                <w:szCs w:val="18"/>
              </w:rPr>
              <w:t xml:space="preserve">(T2DM) </w:t>
            </w:r>
            <w:r w:rsidR="00464DB7" w:rsidRPr="0064128D">
              <w:rPr>
                <w:rFonts w:ascii="Times New Roman" w:hAnsi="Times New Roman" w:cs="Times New Roman"/>
                <w:sz w:val="18"/>
                <w:szCs w:val="18"/>
              </w:rPr>
              <w:t>over 20 years.</w:t>
            </w:r>
          </w:p>
          <w:p w14:paraId="2D85152F" w14:textId="0C040FB2" w:rsidR="00464DB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FC</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The government would save about US$140 million in subsidized healthcare over 20 years and raise US$450 million in tax revenues per annum.</w:t>
            </w:r>
          </w:p>
          <w:p w14:paraId="39B5AF96" w14:textId="3249E1B8" w:rsidR="00464DB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FRP</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An estimated 32,</w:t>
            </w:r>
            <w:r w:rsidR="00E01253" w:rsidRPr="0064128D">
              <w:rPr>
                <w:rFonts w:ascii="Times New Roman" w:hAnsi="Times New Roman" w:cs="Times New Roman"/>
                <w:sz w:val="18"/>
                <w:szCs w:val="18"/>
              </w:rPr>
              <w:t>377</w:t>
            </w:r>
            <w:r w:rsidR="00464DB7" w:rsidRPr="0064128D">
              <w:rPr>
                <w:rFonts w:ascii="Times New Roman" w:hAnsi="Times New Roman" w:cs="Times New Roman"/>
                <w:sz w:val="18"/>
                <w:szCs w:val="18"/>
              </w:rPr>
              <w:t xml:space="preserve"> </w:t>
            </w:r>
            <w:r w:rsidR="00033B57">
              <w:rPr>
                <w:rFonts w:ascii="Times New Roman" w:hAnsi="Times New Roman" w:cs="Times New Roman"/>
                <w:sz w:val="18"/>
                <w:szCs w:val="18"/>
              </w:rPr>
              <w:t xml:space="preserve">cases of </w:t>
            </w:r>
            <w:r w:rsidR="008B0AF1" w:rsidRPr="0064128D">
              <w:rPr>
                <w:rFonts w:ascii="Times New Roman" w:hAnsi="Times New Roman" w:cs="Times New Roman"/>
                <w:sz w:val="18"/>
                <w:szCs w:val="18"/>
              </w:rPr>
              <w:t>CHE</w:t>
            </w:r>
            <w:r w:rsidR="00464DB7" w:rsidRPr="0064128D">
              <w:rPr>
                <w:rFonts w:ascii="Times New Roman" w:hAnsi="Times New Roman" w:cs="Times New Roman"/>
                <w:sz w:val="18"/>
                <w:szCs w:val="18"/>
              </w:rPr>
              <w:t xml:space="preserve"> </w:t>
            </w:r>
            <w:r w:rsidR="00033B57">
              <w:rPr>
                <w:rFonts w:ascii="Times New Roman" w:hAnsi="Times New Roman" w:cs="Times New Roman"/>
                <w:sz w:val="18"/>
                <w:szCs w:val="18"/>
              </w:rPr>
              <w:t xml:space="preserve">for </w:t>
            </w:r>
            <w:r w:rsidR="00033B57" w:rsidRPr="0064128D">
              <w:rPr>
                <w:rFonts w:ascii="Times New Roman" w:hAnsi="Times New Roman" w:cs="Times New Roman"/>
                <w:sz w:val="18"/>
                <w:szCs w:val="18"/>
              </w:rPr>
              <w:t xml:space="preserve">T2DM </w:t>
            </w:r>
            <w:r w:rsidR="00464DB7" w:rsidRPr="0064128D">
              <w:rPr>
                <w:rFonts w:ascii="Times New Roman" w:hAnsi="Times New Roman" w:cs="Times New Roman"/>
                <w:sz w:val="18"/>
                <w:szCs w:val="18"/>
              </w:rPr>
              <w:t>and 12,000 cases of poverty would be averted. Savings in indirect costs due to reduced absenteeism and presenteeism would amount to ZAR 11</w:t>
            </w:r>
            <w:r w:rsidR="00FB429F" w:rsidRPr="0064128D">
              <w:rPr>
                <w:rFonts w:ascii="Times New Roman" w:hAnsi="Times New Roman" w:cs="Times New Roman"/>
                <w:sz w:val="18"/>
                <w:szCs w:val="18"/>
              </w:rPr>
              <w:t>.1</w:t>
            </w:r>
            <w:r w:rsidR="00464DB7" w:rsidRPr="0064128D">
              <w:rPr>
                <w:rFonts w:ascii="Times New Roman" w:hAnsi="Times New Roman" w:cs="Times New Roman"/>
                <w:sz w:val="18"/>
                <w:szCs w:val="18"/>
              </w:rPr>
              <w:t xml:space="preserve"> million per annum.</w:t>
            </w:r>
          </w:p>
          <w:p w14:paraId="12B8AF00" w14:textId="77777777" w:rsidR="00464DB7" w:rsidRPr="0064128D" w:rsidRDefault="00D82C07" w:rsidP="0027259C">
            <w:pPr>
              <w:rPr>
                <w:rFonts w:ascii="Times New Roman" w:hAnsi="Times New Roman" w:cs="Times New Roman"/>
                <w:sz w:val="18"/>
                <w:szCs w:val="18"/>
              </w:rPr>
            </w:pPr>
            <w:r w:rsidRPr="0064128D">
              <w:rPr>
                <w:rFonts w:ascii="Times New Roman" w:hAnsi="Times New Roman" w:cs="Times New Roman"/>
                <w:b/>
                <w:bCs/>
                <w:i/>
                <w:iCs/>
                <w:sz w:val="18"/>
                <w:szCs w:val="18"/>
              </w:rPr>
              <w:t>Equity</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The bottom two quintiles would bear the smallest tax burden increase and have the lowest savings in OOP payments due to significant subsidization provided by government healthcare. The major share of the savings in indirect costs would accrue to the highest income quintile.</w:t>
            </w:r>
          </w:p>
          <w:p w14:paraId="66FD1AAC" w14:textId="61ACE052" w:rsidR="00334F6C" w:rsidRPr="0064128D" w:rsidRDefault="00334F6C" w:rsidP="0027259C">
            <w:pPr>
              <w:rPr>
                <w:rFonts w:ascii="Times New Roman" w:hAnsi="Times New Roman" w:cs="Times New Roman"/>
                <w:sz w:val="18"/>
                <w:szCs w:val="18"/>
              </w:rPr>
            </w:pPr>
            <w:r w:rsidRPr="0064128D">
              <w:rPr>
                <w:rFonts w:ascii="Times New Roman" w:hAnsi="Times New Roman" w:cs="Times New Roman"/>
                <w:sz w:val="18"/>
                <w:szCs w:val="18"/>
              </w:rPr>
              <w:t xml:space="preserve">About 63% of the savings in OOP payments accrued to the top two quintiles as they are required to pay about 56-82% of their healthcare costs and 8% in each of the bottom two quintiles as they </w:t>
            </w:r>
            <w:r w:rsidR="005203C8" w:rsidRPr="0064128D">
              <w:rPr>
                <w:rFonts w:ascii="Times New Roman" w:hAnsi="Times New Roman" w:cs="Times New Roman"/>
                <w:sz w:val="18"/>
                <w:szCs w:val="18"/>
              </w:rPr>
              <w:t>would pay</w:t>
            </w:r>
            <w:r w:rsidRPr="0064128D">
              <w:rPr>
                <w:rFonts w:ascii="Times New Roman" w:hAnsi="Times New Roman" w:cs="Times New Roman"/>
                <w:sz w:val="18"/>
                <w:szCs w:val="18"/>
              </w:rPr>
              <w:t>, on average, only 20% of their healthcare costs in OOP payments.</w:t>
            </w:r>
            <w:r w:rsidR="005203C8" w:rsidRPr="0064128D">
              <w:rPr>
                <w:rFonts w:ascii="Times New Roman" w:hAnsi="Times New Roman" w:cs="Times New Roman"/>
                <w:sz w:val="18"/>
                <w:szCs w:val="18"/>
              </w:rPr>
              <w:t xml:space="preserve"> About only 16% of deaths would be averted in the poorest income group due to the relatively lower levels of sugar-sweetened beverages consumption.</w:t>
            </w:r>
          </w:p>
        </w:tc>
      </w:tr>
      <w:tr w:rsidR="0064128D" w:rsidRPr="0064128D" w14:paraId="3585826F" w14:textId="77777777" w:rsidTr="00C718F8">
        <w:trPr>
          <w:trHeight w:val="3374"/>
        </w:trPr>
        <w:tc>
          <w:tcPr>
            <w:tcW w:w="540" w:type="dxa"/>
          </w:tcPr>
          <w:p w14:paraId="3903B500" w14:textId="5140D8C0" w:rsidR="00464DB7" w:rsidRPr="0064128D" w:rsidRDefault="009944DC" w:rsidP="0027259C">
            <w:pPr>
              <w:rPr>
                <w:rFonts w:ascii="Times New Roman" w:hAnsi="Times New Roman" w:cs="Times New Roman"/>
                <w:sz w:val="18"/>
                <w:szCs w:val="18"/>
              </w:rPr>
            </w:pPr>
            <w:r w:rsidRPr="0064128D">
              <w:rPr>
                <w:rFonts w:ascii="Times New Roman" w:hAnsi="Times New Roman" w:cs="Times New Roman"/>
                <w:sz w:val="18"/>
                <w:szCs w:val="18"/>
              </w:rPr>
              <w:t>6</w:t>
            </w:r>
          </w:p>
        </w:tc>
        <w:tc>
          <w:tcPr>
            <w:tcW w:w="1260" w:type="dxa"/>
          </w:tcPr>
          <w:p w14:paraId="7C821066" w14:textId="77777777" w:rsidR="00BB7ADD" w:rsidRPr="0064128D" w:rsidRDefault="00BB7ADD" w:rsidP="0027259C">
            <w:pPr>
              <w:rPr>
                <w:rFonts w:ascii="Times New Roman" w:hAnsi="Times New Roman" w:cs="Times New Roman"/>
                <w:sz w:val="18"/>
                <w:szCs w:val="18"/>
              </w:rPr>
            </w:pPr>
            <w:r w:rsidRPr="0064128D">
              <w:rPr>
                <w:rFonts w:ascii="Times New Roman" w:hAnsi="Times New Roman" w:cs="Times New Roman"/>
                <w:sz w:val="18"/>
                <w:szCs w:val="18"/>
              </w:rPr>
              <w:fldChar w:fldCharType="begin" w:fldLock="1"/>
            </w:r>
            <w:r w:rsidR="00652639" w:rsidRPr="0064128D">
              <w:rPr>
                <w:rFonts w:ascii="Times New Roman" w:hAnsi="Times New Roman" w:cs="Times New Roman"/>
                <w:sz w:val="18"/>
                <w:szCs w:val="18"/>
              </w:rPr>
              <w:instrText>ADDIN CSL_CITATION {"citationItems":[{"id":"ITEM-1","itemData":{"DOI":"10.1080/23288604.2017.1413494","author":[{"dropping-particle":"","family":"Postolovska","given":"Iryna","non-dropping-particle":"","parse-names":false,"suffix":""},{"dropping-particle":"","family":"Lavado","given":"Rouselle","non-dropping-particle":"","parse-names":false,"suffix":""},{"dropping-particle":"","family":"Tarr","given":"Gillian","non-dropping-particle":"","parse-names":false,"suffix":""},{"dropping-particle":"","family":"Verguet","given":"Stéphane","non-dropping-particle":"","parse-names":false,"suffix":""},{"dropping-particle":"","family":"Iryna","given":"Francis","non-dropping-particle":"","parse-names":false,"suffix":""},{"dropping-particle":"","family":"Postolovska","given":"Iryna","non-dropping-particle":"","parse-names":false,"suffix":""},{"dropping-particle":"","family":"Lavado","given":"Rouselle","non-dropping-particle":"","parse-names":false,"suffix":""},{"dropping-particle":"","family":"Tarr","given":"Gillian","non-dropping-particle":"","parse-names":false,"suffix":""}],"id":"ITEM-1","issued":{"date-parts":[["2018"]]},"title":"The Health Gains , Financial Risk Protection Benefits , and Distributional Impact of Increased Tobacco Taxes in Armenia The Health Gains , Financial Risk Protection Benefits , and Distributional Impact of Increased Tobacco Taxes in Armenia","type":"article-journal","volume":"8604"},"uris":["http://www.mendeley.com/documents/?uuid=e49b6d89-8a31-4674-9477-d2323605a0de"]}],"mendeley":{"formattedCitation":"(Postolovska et al., 2018)","manualFormatting":"Postolovska et al. (2018)","plainTextFormattedCitation":"(Postolovska et al., 2018)","previouslyFormattedCitation":"(Postolovska et al., 2018)"},"properties":{"noteIndex":0},"schema":"https://github.com/citation-style-language/schema/raw/master/csl-citation.json"}</w:instrText>
            </w:r>
            <w:r w:rsidRPr="0064128D">
              <w:rPr>
                <w:rFonts w:ascii="Times New Roman" w:hAnsi="Times New Roman" w:cs="Times New Roman"/>
                <w:sz w:val="18"/>
                <w:szCs w:val="18"/>
              </w:rPr>
              <w:fldChar w:fldCharType="separate"/>
            </w:r>
            <w:r w:rsidRPr="0064128D">
              <w:rPr>
                <w:rFonts w:ascii="Times New Roman" w:hAnsi="Times New Roman" w:cs="Times New Roman"/>
                <w:noProof/>
                <w:sz w:val="18"/>
                <w:szCs w:val="18"/>
              </w:rPr>
              <w:t>Postolovska et al. (2018)</w:t>
            </w:r>
            <w:r w:rsidRPr="0064128D">
              <w:rPr>
                <w:rFonts w:ascii="Times New Roman" w:hAnsi="Times New Roman" w:cs="Times New Roman"/>
                <w:sz w:val="18"/>
                <w:szCs w:val="18"/>
              </w:rPr>
              <w:fldChar w:fldCharType="end"/>
            </w:r>
            <w:r w:rsidR="0069459E" w:rsidRPr="0064128D">
              <w:rPr>
                <w:rFonts w:ascii="Times New Roman" w:hAnsi="Times New Roman" w:cs="Times New Roman"/>
                <w:sz w:val="18"/>
                <w:szCs w:val="18"/>
              </w:rPr>
              <w:t>,</w:t>
            </w:r>
          </w:p>
          <w:p w14:paraId="2D6458BE" w14:textId="4AD24116" w:rsidR="0069459E" w:rsidRPr="0064128D" w:rsidRDefault="0069459E" w:rsidP="0027259C">
            <w:pPr>
              <w:rPr>
                <w:rFonts w:ascii="Times New Roman" w:hAnsi="Times New Roman" w:cs="Times New Roman"/>
                <w:sz w:val="18"/>
                <w:szCs w:val="18"/>
              </w:rPr>
            </w:pPr>
            <w:r w:rsidRPr="0064128D">
              <w:rPr>
                <w:rFonts w:ascii="Times New Roman" w:hAnsi="Times New Roman" w:cs="Times New Roman"/>
                <w:sz w:val="18"/>
                <w:szCs w:val="18"/>
              </w:rPr>
              <w:t>Armenia</w:t>
            </w:r>
          </w:p>
        </w:tc>
        <w:tc>
          <w:tcPr>
            <w:tcW w:w="3240" w:type="dxa"/>
          </w:tcPr>
          <w:p w14:paraId="711BE670" w14:textId="263E9C2A" w:rsidR="00652639" w:rsidRPr="0064128D" w:rsidRDefault="005B2A20" w:rsidP="0027259C">
            <w:pPr>
              <w:rPr>
                <w:rFonts w:ascii="Times New Roman" w:hAnsi="Times New Roman" w:cs="Times New Roman"/>
                <w:sz w:val="18"/>
                <w:szCs w:val="18"/>
              </w:rPr>
            </w:pPr>
            <w:r w:rsidRPr="0064128D">
              <w:rPr>
                <w:rFonts w:ascii="Times New Roman" w:hAnsi="Times New Roman" w:cs="Times New Roman"/>
                <w:sz w:val="18"/>
                <w:szCs w:val="18"/>
              </w:rPr>
              <w:t>Examined the health and non-health impacts of</w:t>
            </w:r>
            <w:r w:rsidR="00842967" w:rsidRPr="0064128D">
              <w:rPr>
                <w:rFonts w:ascii="Times New Roman" w:hAnsi="Times New Roman" w:cs="Times New Roman"/>
                <w:sz w:val="18"/>
                <w:szCs w:val="18"/>
              </w:rPr>
              <w:t xml:space="preserve"> increasing excise tax on tobacco in Armenia.</w:t>
            </w:r>
          </w:p>
          <w:p w14:paraId="4AF9B260" w14:textId="77777777" w:rsidR="004C740A" w:rsidRPr="0064128D" w:rsidRDefault="004C740A" w:rsidP="0027259C">
            <w:pPr>
              <w:rPr>
                <w:rFonts w:ascii="Times New Roman" w:hAnsi="Times New Roman" w:cs="Times New Roman"/>
                <w:sz w:val="18"/>
                <w:szCs w:val="18"/>
              </w:rPr>
            </w:pPr>
          </w:p>
          <w:p w14:paraId="06E8BED7" w14:textId="24BA2C6F" w:rsidR="00D52ADC" w:rsidRPr="0064128D" w:rsidRDefault="007976DC" w:rsidP="0027259C">
            <w:pPr>
              <w:rPr>
                <w:rFonts w:ascii="Times New Roman" w:hAnsi="Times New Roman" w:cs="Times New Roman"/>
                <w:sz w:val="18"/>
                <w:szCs w:val="18"/>
              </w:rPr>
            </w:pPr>
            <w:r w:rsidRPr="0064128D">
              <w:rPr>
                <w:rFonts w:ascii="Times New Roman" w:hAnsi="Times New Roman" w:cs="Times New Roman"/>
                <w:b/>
                <w:bCs/>
                <w:sz w:val="18"/>
                <w:szCs w:val="18"/>
              </w:rPr>
              <w:t>Status quo</w:t>
            </w:r>
            <w:r w:rsidR="004C740A" w:rsidRPr="0064128D">
              <w:rPr>
                <w:rFonts w:ascii="Times New Roman" w:hAnsi="Times New Roman" w:cs="Times New Roman"/>
                <w:sz w:val="18"/>
                <w:szCs w:val="18"/>
              </w:rPr>
              <w:t xml:space="preserve">: </w:t>
            </w:r>
            <w:r w:rsidR="00C00879" w:rsidRPr="0064128D">
              <w:rPr>
                <w:rFonts w:ascii="Times New Roman" w:hAnsi="Times New Roman" w:cs="Times New Roman"/>
                <w:sz w:val="18"/>
                <w:szCs w:val="18"/>
              </w:rPr>
              <w:t xml:space="preserve">Baseline excise tax rate </w:t>
            </w:r>
            <w:r w:rsidR="00FE10DF" w:rsidRPr="0064128D">
              <w:rPr>
                <w:rFonts w:ascii="Times New Roman" w:hAnsi="Times New Roman" w:cs="Times New Roman"/>
                <w:sz w:val="18"/>
                <w:szCs w:val="18"/>
              </w:rPr>
              <w:t>was</w:t>
            </w:r>
            <w:r w:rsidR="00C00879" w:rsidRPr="0064128D">
              <w:rPr>
                <w:rFonts w:ascii="Times New Roman" w:hAnsi="Times New Roman" w:cs="Times New Roman"/>
                <w:sz w:val="18"/>
                <w:szCs w:val="18"/>
              </w:rPr>
              <w:t xml:space="preserve"> 17%.</w:t>
            </w:r>
          </w:p>
          <w:p w14:paraId="053A9756" w14:textId="77777777" w:rsidR="004C740A" w:rsidRPr="0064128D" w:rsidRDefault="004C740A" w:rsidP="0027259C">
            <w:pPr>
              <w:rPr>
                <w:rFonts w:ascii="Times New Roman" w:hAnsi="Times New Roman" w:cs="Times New Roman"/>
                <w:sz w:val="18"/>
                <w:szCs w:val="18"/>
              </w:rPr>
            </w:pPr>
          </w:p>
          <w:p w14:paraId="282BB4DF" w14:textId="55706653" w:rsidR="00D52ADC" w:rsidRPr="0064128D" w:rsidRDefault="00D52ADC" w:rsidP="0027259C">
            <w:pPr>
              <w:rPr>
                <w:rFonts w:ascii="Times New Roman" w:hAnsi="Times New Roman" w:cs="Times New Roman"/>
                <w:sz w:val="18"/>
                <w:szCs w:val="18"/>
              </w:rPr>
            </w:pPr>
            <w:r w:rsidRPr="0064128D">
              <w:rPr>
                <w:rFonts w:ascii="Times New Roman" w:hAnsi="Times New Roman" w:cs="Times New Roman"/>
                <w:b/>
                <w:bCs/>
                <w:sz w:val="18"/>
                <w:szCs w:val="18"/>
                <w:u w:val="single"/>
              </w:rPr>
              <w:t>Intervention</w:t>
            </w:r>
            <w:r w:rsidRPr="0064128D">
              <w:rPr>
                <w:rFonts w:ascii="Times New Roman" w:hAnsi="Times New Roman" w:cs="Times New Roman"/>
                <w:sz w:val="18"/>
                <w:szCs w:val="18"/>
              </w:rPr>
              <w:t>:</w:t>
            </w:r>
          </w:p>
          <w:p w14:paraId="54125B96" w14:textId="331A8787" w:rsidR="00D52ADC" w:rsidRPr="0064128D" w:rsidRDefault="00D52ADC" w:rsidP="0027259C">
            <w:pPr>
              <w:rPr>
                <w:rFonts w:ascii="Times New Roman" w:hAnsi="Times New Roman" w:cs="Times New Roman"/>
                <w:sz w:val="18"/>
                <w:szCs w:val="18"/>
              </w:rPr>
            </w:pPr>
            <w:r w:rsidRPr="0064128D">
              <w:rPr>
                <w:rFonts w:ascii="Times New Roman" w:hAnsi="Times New Roman" w:cs="Times New Roman"/>
                <w:sz w:val="18"/>
                <w:szCs w:val="18"/>
              </w:rPr>
              <w:t>About 75% tax rate on the retail price of cigarettes</w:t>
            </w:r>
            <w:r w:rsidR="00D00313" w:rsidRPr="0064128D">
              <w:rPr>
                <w:rFonts w:ascii="Times New Roman" w:hAnsi="Times New Roman" w:cs="Times New Roman"/>
                <w:sz w:val="18"/>
                <w:szCs w:val="18"/>
              </w:rPr>
              <w:t xml:space="preserve"> which would be fully passed on to consumers</w:t>
            </w:r>
            <w:r w:rsidRPr="0064128D">
              <w:rPr>
                <w:rFonts w:ascii="Times New Roman" w:hAnsi="Times New Roman" w:cs="Times New Roman"/>
                <w:sz w:val="18"/>
                <w:szCs w:val="18"/>
              </w:rPr>
              <w:t>.</w:t>
            </w:r>
          </w:p>
          <w:p w14:paraId="5E9206C0" w14:textId="77777777" w:rsidR="00652639" w:rsidRPr="0064128D" w:rsidRDefault="00652639" w:rsidP="0027259C">
            <w:pPr>
              <w:rPr>
                <w:rFonts w:ascii="Times New Roman" w:hAnsi="Times New Roman" w:cs="Times New Roman"/>
                <w:sz w:val="18"/>
                <w:szCs w:val="18"/>
              </w:rPr>
            </w:pPr>
          </w:p>
          <w:p w14:paraId="19E89833" w14:textId="77777777" w:rsidR="00AC6A75" w:rsidRPr="0064128D" w:rsidRDefault="00AC6A75" w:rsidP="0027259C">
            <w:pPr>
              <w:rPr>
                <w:rFonts w:ascii="Times New Roman" w:hAnsi="Times New Roman" w:cs="Times New Roman"/>
                <w:sz w:val="18"/>
                <w:szCs w:val="18"/>
              </w:rPr>
            </w:pPr>
          </w:p>
          <w:p w14:paraId="7DAD3654" w14:textId="3C6F299B" w:rsidR="00AC6A75" w:rsidRPr="0064128D" w:rsidRDefault="00AC6A75" w:rsidP="0027259C">
            <w:pPr>
              <w:rPr>
                <w:rFonts w:ascii="Times New Roman" w:hAnsi="Times New Roman" w:cs="Times New Roman"/>
                <w:sz w:val="18"/>
                <w:szCs w:val="18"/>
              </w:rPr>
            </w:pPr>
          </w:p>
        </w:tc>
        <w:tc>
          <w:tcPr>
            <w:tcW w:w="2936" w:type="dxa"/>
          </w:tcPr>
          <w:p w14:paraId="372F9864" w14:textId="77777777" w:rsidR="00A70628" w:rsidRPr="0064128D" w:rsidRDefault="00E92D18" w:rsidP="0027259C">
            <w:pPr>
              <w:rPr>
                <w:rFonts w:ascii="Times New Roman" w:hAnsi="Times New Roman" w:cs="Times New Roman"/>
                <w:sz w:val="18"/>
                <w:szCs w:val="18"/>
              </w:rPr>
            </w:pPr>
            <w:r w:rsidRPr="0064128D">
              <w:rPr>
                <w:rFonts w:ascii="Times New Roman" w:hAnsi="Times New Roman" w:cs="Times New Roman"/>
                <w:sz w:val="18"/>
                <w:szCs w:val="18"/>
              </w:rPr>
              <w:t>Used ECEA to estimate HBG, FC, FRP and equity.</w:t>
            </w:r>
          </w:p>
          <w:p w14:paraId="790A3564" w14:textId="12CD78C9" w:rsidR="00E92D18" w:rsidRPr="0064128D" w:rsidRDefault="00E92D18" w:rsidP="0027259C">
            <w:pPr>
              <w:rPr>
                <w:rFonts w:ascii="Times New Roman" w:hAnsi="Times New Roman" w:cs="Times New Roman"/>
                <w:sz w:val="18"/>
                <w:szCs w:val="18"/>
              </w:rPr>
            </w:pPr>
            <w:r w:rsidRPr="0064128D">
              <w:rPr>
                <w:rFonts w:ascii="Times New Roman" w:hAnsi="Times New Roman" w:cs="Times New Roman"/>
                <w:sz w:val="18"/>
                <w:szCs w:val="18"/>
              </w:rPr>
              <w:t xml:space="preserve">Used data from World Bank’s Health, Nutrition, and Population Statistics database, </w:t>
            </w:r>
            <w:r w:rsidR="0039713C" w:rsidRPr="0064128D">
              <w:rPr>
                <w:rFonts w:ascii="Times New Roman" w:hAnsi="Times New Roman" w:cs="Times New Roman"/>
                <w:sz w:val="18"/>
                <w:szCs w:val="18"/>
              </w:rPr>
              <w:t xml:space="preserve">and the </w:t>
            </w:r>
            <w:r w:rsidRPr="0064128D">
              <w:rPr>
                <w:rFonts w:ascii="Times New Roman" w:hAnsi="Times New Roman" w:cs="Times New Roman"/>
                <w:sz w:val="18"/>
                <w:szCs w:val="18"/>
              </w:rPr>
              <w:t xml:space="preserve">2014 </w:t>
            </w:r>
            <w:r w:rsidR="0039713C" w:rsidRPr="0064128D">
              <w:rPr>
                <w:rFonts w:ascii="Times New Roman" w:hAnsi="Times New Roman" w:cs="Times New Roman"/>
                <w:sz w:val="18"/>
                <w:szCs w:val="18"/>
              </w:rPr>
              <w:t>I</w:t>
            </w:r>
            <w:r w:rsidRPr="0064128D">
              <w:rPr>
                <w:rFonts w:ascii="Times New Roman" w:hAnsi="Times New Roman" w:cs="Times New Roman"/>
                <w:sz w:val="18"/>
                <w:szCs w:val="18"/>
              </w:rPr>
              <w:t>ntegrated Living Conditions Survey (ILCS).</w:t>
            </w:r>
            <w:r w:rsidR="0039529A" w:rsidRPr="0064128D">
              <w:rPr>
                <w:rFonts w:ascii="Times New Roman" w:hAnsi="Times New Roman" w:cs="Times New Roman"/>
                <w:sz w:val="18"/>
                <w:szCs w:val="18"/>
              </w:rPr>
              <w:t xml:space="preserve"> Only male population was used.</w:t>
            </w:r>
          </w:p>
        </w:tc>
        <w:tc>
          <w:tcPr>
            <w:tcW w:w="6964" w:type="dxa"/>
          </w:tcPr>
          <w:p w14:paraId="56CDF39C" w14:textId="4F7AAA90" w:rsidR="00464DB7" w:rsidRPr="0064128D" w:rsidRDefault="00D32B03" w:rsidP="0027259C">
            <w:pPr>
              <w:rPr>
                <w:rFonts w:ascii="Times New Roman" w:hAnsi="Times New Roman" w:cs="Times New Roman"/>
                <w:sz w:val="18"/>
                <w:szCs w:val="18"/>
              </w:rPr>
            </w:pPr>
            <w:r w:rsidRPr="00B67CCB">
              <w:rPr>
                <w:rFonts w:ascii="Times New Roman" w:hAnsi="Times New Roman" w:cs="Times New Roman"/>
                <w:b/>
                <w:bCs/>
                <w:i/>
                <w:iCs/>
                <w:sz w:val="18"/>
                <w:szCs w:val="18"/>
              </w:rPr>
              <w:t>HBG</w:t>
            </w:r>
            <w:r w:rsidRPr="0064128D">
              <w:rPr>
                <w:rFonts w:ascii="Times New Roman" w:hAnsi="Times New Roman" w:cs="Times New Roman"/>
                <w:sz w:val="18"/>
                <w:szCs w:val="18"/>
              </w:rPr>
              <w:t xml:space="preserve">: </w:t>
            </w:r>
            <w:r w:rsidR="009F10EF" w:rsidRPr="0064128D">
              <w:rPr>
                <w:rFonts w:ascii="Times New Roman" w:hAnsi="Times New Roman" w:cs="Times New Roman"/>
                <w:sz w:val="18"/>
                <w:szCs w:val="18"/>
              </w:rPr>
              <w:t>About 88,000 premature deaths are averted.</w:t>
            </w:r>
          </w:p>
          <w:p w14:paraId="5943DD42" w14:textId="77777777" w:rsidR="00464DB7" w:rsidRPr="0064128D" w:rsidRDefault="00464DB7" w:rsidP="0027259C">
            <w:pPr>
              <w:rPr>
                <w:rFonts w:ascii="Times New Roman" w:hAnsi="Times New Roman" w:cs="Times New Roman"/>
                <w:sz w:val="18"/>
                <w:szCs w:val="18"/>
              </w:rPr>
            </w:pPr>
          </w:p>
          <w:p w14:paraId="42FA1155" w14:textId="7680415C" w:rsidR="00464DB7" w:rsidRPr="0064128D" w:rsidRDefault="00F16FE5" w:rsidP="0027259C">
            <w:pPr>
              <w:rPr>
                <w:rFonts w:ascii="Times New Roman" w:hAnsi="Times New Roman" w:cs="Times New Roman"/>
                <w:sz w:val="18"/>
                <w:szCs w:val="18"/>
              </w:rPr>
            </w:pPr>
            <w:r w:rsidRPr="00B67CCB">
              <w:rPr>
                <w:rFonts w:ascii="Times New Roman" w:hAnsi="Times New Roman" w:cs="Times New Roman"/>
                <w:b/>
                <w:bCs/>
                <w:i/>
                <w:iCs/>
                <w:sz w:val="18"/>
                <w:szCs w:val="18"/>
              </w:rPr>
              <w:t>FC</w:t>
            </w:r>
            <w:r w:rsidRPr="0064128D">
              <w:rPr>
                <w:rFonts w:ascii="Times New Roman" w:hAnsi="Times New Roman" w:cs="Times New Roman"/>
                <w:sz w:val="18"/>
                <w:szCs w:val="18"/>
              </w:rPr>
              <w:t>:</w:t>
            </w:r>
            <w:r w:rsidR="00AC6A75" w:rsidRPr="0064128D">
              <w:rPr>
                <w:rFonts w:ascii="Times New Roman" w:hAnsi="Times New Roman" w:cs="Times New Roman"/>
                <w:sz w:val="18"/>
                <w:szCs w:val="18"/>
              </w:rPr>
              <w:t xml:space="preserve"> </w:t>
            </w:r>
            <w:r w:rsidR="00872A62" w:rsidRPr="0064128D">
              <w:rPr>
                <w:rFonts w:ascii="Times New Roman" w:hAnsi="Times New Roman" w:cs="Times New Roman"/>
                <w:sz w:val="18"/>
                <w:szCs w:val="18"/>
              </w:rPr>
              <w:t xml:space="preserve">OOP expenditures </w:t>
            </w:r>
            <w:r w:rsidR="00022CAB" w:rsidRPr="0064128D">
              <w:rPr>
                <w:rFonts w:ascii="Times New Roman" w:hAnsi="Times New Roman" w:cs="Times New Roman"/>
                <w:sz w:val="18"/>
                <w:szCs w:val="18"/>
              </w:rPr>
              <w:t xml:space="preserve">and Government savings </w:t>
            </w:r>
            <w:r w:rsidR="00872A62" w:rsidRPr="0064128D">
              <w:rPr>
                <w:rFonts w:ascii="Times New Roman" w:hAnsi="Times New Roman" w:cs="Times New Roman"/>
                <w:sz w:val="18"/>
                <w:szCs w:val="18"/>
              </w:rPr>
              <w:t xml:space="preserve">related to tobacco-related disease treatment averted was </w:t>
            </w:r>
            <w:r w:rsidR="00022CAB" w:rsidRPr="0064128D">
              <w:rPr>
                <w:rFonts w:ascii="Times New Roman" w:hAnsi="Times New Roman" w:cs="Times New Roman"/>
                <w:sz w:val="18"/>
                <w:szCs w:val="18"/>
              </w:rPr>
              <w:t xml:space="preserve">US$ </w:t>
            </w:r>
            <w:r w:rsidR="00872A62" w:rsidRPr="0064128D">
              <w:rPr>
                <w:rFonts w:ascii="Times New Roman" w:hAnsi="Times New Roman" w:cs="Times New Roman"/>
                <w:sz w:val="18"/>
                <w:szCs w:val="18"/>
              </w:rPr>
              <w:t xml:space="preserve">63 million </w:t>
            </w:r>
            <w:r w:rsidR="00022CAB" w:rsidRPr="0064128D">
              <w:rPr>
                <w:rFonts w:ascii="Times New Roman" w:hAnsi="Times New Roman" w:cs="Times New Roman"/>
                <w:sz w:val="18"/>
                <w:szCs w:val="18"/>
              </w:rPr>
              <w:t>and US$ 26 million, respectively</w:t>
            </w:r>
            <w:r w:rsidR="00872A62" w:rsidRPr="0064128D">
              <w:rPr>
                <w:rFonts w:ascii="Times New Roman" w:hAnsi="Times New Roman" w:cs="Times New Roman"/>
                <w:sz w:val="18"/>
                <w:szCs w:val="18"/>
              </w:rPr>
              <w:t>.</w:t>
            </w:r>
          </w:p>
          <w:p w14:paraId="5BC7EF6E" w14:textId="20392727" w:rsidR="00AC6A75" w:rsidRPr="0064128D" w:rsidRDefault="00AC6A75" w:rsidP="0027259C">
            <w:pPr>
              <w:rPr>
                <w:rFonts w:ascii="Times New Roman" w:hAnsi="Times New Roman" w:cs="Times New Roman"/>
                <w:sz w:val="18"/>
                <w:szCs w:val="18"/>
              </w:rPr>
            </w:pPr>
          </w:p>
          <w:p w14:paraId="4B9FD4FD" w14:textId="381FD980" w:rsidR="00AC6A75" w:rsidRPr="0064128D" w:rsidRDefault="00F16FE5" w:rsidP="0027259C">
            <w:pPr>
              <w:rPr>
                <w:rFonts w:ascii="Times New Roman" w:hAnsi="Times New Roman" w:cs="Times New Roman"/>
                <w:sz w:val="18"/>
                <w:szCs w:val="18"/>
              </w:rPr>
            </w:pPr>
            <w:r w:rsidRPr="00B67CCB">
              <w:rPr>
                <w:rFonts w:ascii="Times New Roman" w:hAnsi="Times New Roman" w:cs="Times New Roman"/>
                <w:b/>
                <w:bCs/>
                <w:i/>
                <w:iCs/>
                <w:sz w:val="18"/>
                <w:szCs w:val="18"/>
              </w:rPr>
              <w:t>FRP</w:t>
            </w:r>
            <w:r w:rsidRPr="0064128D">
              <w:rPr>
                <w:rFonts w:ascii="Times New Roman" w:hAnsi="Times New Roman" w:cs="Times New Roman"/>
                <w:sz w:val="18"/>
                <w:szCs w:val="18"/>
              </w:rPr>
              <w:t>:</w:t>
            </w:r>
            <w:r w:rsidR="001B0EAA" w:rsidRPr="0064128D">
              <w:rPr>
                <w:rFonts w:ascii="Times New Roman" w:hAnsi="Times New Roman" w:cs="Times New Roman"/>
                <w:sz w:val="18"/>
                <w:szCs w:val="18"/>
              </w:rPr>
              <w:t xml:space="preserve"> </w:t>
            </w:r>
            <w:r w:rsidR="008478FE" w:rsidRPr="0064128D">
              <w:rPr>
                <w:rFonts w:ascii="Times New Roman" w:hAnsi="Times New Roman" w:cs="Times New Roman"/>
                <w:sz w:val="18"/>
                <w:szCs w:val="18"/>
              </w:rPr>
              <w:t>Poverty cases averted was 22, 000. Cases of CHE averted was 33</w:t>
            </w:r>
            <w:r w:rsidR="00307908" w:rsidRPr="0064128D">
              <w:rPr>
                <w:rFonts w:ascii="Times New Roman" w:hAnsi="Times New Roman" w:cs="Times New Roman"/>
                <w:sz w:val="18"/>
                <w:szCs w:val="18"/>
              </w:rPr>
              <w:t>,000</w:t>
            </w:r>
            <w:r w:rsidR="008478FE" w:rsidRPr="0064128D">
              <w:rPr>
                <w:rFonts w:ascii="Times New Roman" w:hAnsi="Times New Roman" w:cs="Times New Roman"/>
                <w:sz w:val="18"/>
                <w:szCs w:val="18"/>
              </w:rPr>
              <w:t>.</w:t>
            </w:r>
          </w:p>
          <w:p w14:paraId="02EDAF5C" w14:textId="736D0076" w:rsidR="00FE3E53" w:rsidRPr="0064128D" w:rsidRDefault="00FE3E53" w:rsidP="0027259C">
            <w:pPr>
              <w:rPr>
                <w:rFonts w:ascii="Times New Roman" w:hAnsi="Times New Roman" w:cs="Times New Roman"/>
                <w:sz w:val="18"/>
                <w:szCs w:val="18"/>
              </w:rPr>
            </w:pPr>
          </w:p>
          <w:p w14:paraId="17AF275B" w14:textId="06799013" w:rsidR="00AC6A75" w:rsidRPr="0064128D" w:rsidRDefault="00D82C07" w:rsidP="00D70EE4">
            <w:pPr>
              <w:rPr>
                <w:rFonts w:ascii="Times New Roman" w:hAnsi="Times New Roman" w:cs="Times New Roman"/>
                <w:sz w:val="18"/>
                <w:szCs w:val="18"/>
              </w:rPr>
            </w:pPr>
            <w:r w:rsidRPr="00B67CCB">
              <w:rPr>
                <w:rFonts w:ascii="Times New Roman" w:hAnsi="Times New Roman" w:cs="Times New Roman"/>
                <w:b/>
                <w:bCs/>
                <w:i/>
                <w:iCs/>
                <w:sz w:val="18"/>
                <w:szCs w:val="18"/>
              </w:rPr>
              <w:t>Equity</w:t>
            </w:r>
            <w:r w:rsidRPr="0064128D">
              <w:rPr>
                <w:rFonts w:ascii="Times New Roman" w:hAnsi="Times New Roman" w:cs="Times New Roman"/>
                <w:sz w:val="18"/>
                <w:szCs w:val="18"/>
              </w:rPr>
              <w:t>:</w:t>
            </w:r>
            <w:r w:rsidR="00FE3E53" w:rsidRPr="0064128D">
              <w:rPr>
                <w:rFonts w:ascii="Times New Roman" w:hAnsi="Times New Roman" w:cs="Times New Roman"/>
                <w:sz w:val="18"/>
                <w:szCs w:val="18"/>
              </w:rPr>
              <w:t xml:space="preserve"> </w:t>
            </w:r>
            <w:r w:rsidR="00D70EE4" w:rsidRPr="0064128D">
              <w:rPr>
                <w:rFonts w:ascii="Times New Roman" w:hAnsi="Times New Roman" w:cs="Times New Roman"/>
                <w:sz w:val="18"/>
                <w:szCs w:val="18"/>
              </w:rPr>
              <w:t xml:space="preserve">Half of tobacco-related premature deaths and 27% of associated poverty cases averted would be concentrated among the bottom 40% of the </w:t>
            </w:r>
            <w:r w:rsidR="00D51066">
              <w:rPr>
                <w:rFonts w:ascii="Times New Roman" w:hAnsi="Times New Roman" w:cs="Times New Roman"/>
                <w:sz w:val="18"/>
                <w:szCs w:val="18"/>
              </w:rPr>
              <w:t xml:space="preserve">income distribution </w:t>
            </w:r>
            <w:r w:rsidR="00D70EE4" w:rsidRPr="0064128D">
              <w:rPr>
                <w:rFonts w:ascii="Times New Roman" w:hAnsi="Times New Roman" w:cs="Times New Roman"/>
                <w:sz w:val="18"/>
                <w:szCs w:val="18"/>
              </w:rPr>
              <w:t>population.</w:t>
            </w:r>
          </w:p>
        </w:tc>
      </w:tr>
      <w:tr w:rsidR="0064128D" w:rsidRPr="0064128D" w14:paraId="098AFEC8" w14:textId="77777777" w:rsidTr="00C718F8">
        <w:trPr>
          <w:trHeight w:val="2726"/>
        </w:trPr>
        <w:tc>
          <w:tcPr>
            <w:tcW w:w="540" w:type="dxa"/>
          </w:tcPr>
          <w:p w14:paraId="6002D985" w14:textId="7D8527C3" w:rsidR="00464DB7" w:rsidRPr="0064128D" w:rsidRDefault="009944DC" w:rsidP="0027259C">
            <w:pPr>
              <w:rPr>
                <w:rFonts w:ascii="Times New Roman" w:hAnsi="Times New Roman" w:cs="Times New Roman"/>
                <w:sz w:val="18"/>
                <w:szCs w:val="18"/>
              </w:rPr>
            </w:pPr>
            <w:r w:rsidRPr="0064128D">
              <w:rPr>
                <w:rFonts w:ascii="Times New Roman" w:hAnsi="Times New Roman" w:cs="Times New Roman"/>
                <w:sz w:val="18"/>
                <w:szCs w:val="18"/>
              </w:rPr>
              <w:lastRenderedPageBreak/>
              <w:t>7</w:t>
            </w:r>
          </w:p>
        </w:tc>
        <w:tc>
          <w:tcPr>
            <w:tcW w:w="1260" w:type="dxa"/>
          </w:tcPr>
          <w:p w14:paraId="04DBF97F" w14:textId="5E43899B"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fldChar w:fldCharType="begin" w:fldLock="1"/>
            </w:r>
            <w:r w:rsidRPr="0064128D">
              <w:rPr>
                <w:rFonts w:ascii="Times New Roman" w:hAnsi="Times New Roman" w:cs="Times New Roman"/>
                <w:sz w:val="18"/>
                <w:szCs w:val="18"/>
              </w:rPr>
              <w:instrText>ADDIN CSL_CITATION {"citationItems":[{"id":"ITEM-1","itemData":{"DOI":"10.7189/jogh.07.020701","ISSN":"20472986","PMID":"29188029","abstract":"Background Tobacco taxation and smoke-free workplaces reduce smoking, tobacco-related premature deaths and associated out-of- pocket health care expenditures. We examine the distributional consequences of a price increase in tobacco products through an excise tax hike, and of an implementation of smoke-free workplaces, in China. Methods We use extended cost-effectiveness analysis (ECEA) to evaluate, across income quintiles of the male population (the large majority of Chinese smokers), the premature deaths averted, the change in tax revenues generated, and the financial risk protection procured (eg, poverty cases averted, defined as the number of individuals no longer facing tobacco-related out-of-pocket expenditures for disease treatment, that would otherwise impoverish them), that would follow a 75% increase in cigarette prices through substantial increments in excise tax fully passed onto consumers, and a nationwide total implementation of workplace smoking bans. Results A 75% increase in cigarette prices would avert about 24 million premature deaths among the current Chinese male population, with a third among the bottom income quintile, increase additional tax revenues by US$ 46 billion annually, and prevent around 9 million poverty cases, 19% of which among the bottom income quintile. Implementation of smoking bans in workplaces would avert about 12 million premature deaths, with a fifth among the bottom income quintile, decrease tax revenues by US$ 7 billion annually, and prevent around 4 million poverty cases, 12% of which among the bottom income quintile. Conclusions Increased excise taxes on tobacco products and workplace smoking bans can procure large health and economic benefits to the Chinese population, especially among the poor.","author":[{"dropping-particle":"","family":"Verguet","given":"Stéphane","non-dropping-particle":"","parse-names":false,"suffix":""},{"dropping-particle":"","family":"Tarr","given":"Gillian","non-dropping-particle":"","parse-names":false,"suffix":""},{"dropping-particle":"","family":"Gauvreau","given":"Cindy L.","non-dropping-particle":"","parse-names":false,"suffix":""},{"dropping-particle":"","family":"Mishra","given":"Sujata","non-dropping-particle":"","parse-names":false,"suffix":""},{"dropping-particle":"","family":"Jha","given":"Prabhat","non-dropping-particle":"","parse-names":false,"suffix":""},{"dropping-particle":"","family":"Liu","given":"Lingrui","non-dropping-particle":"","parse-names":false,"suffix":""},{"dropping-particle":"","family":"Xiao","given":"Yue","non-dropping-particle":"","parse-names":false,"suffix":""},{"dropping-particle":"","family":"Qiu","given":"Yingpeng","non-dropping-particle":"","parse-names":false,"suffix":""},{"dropping-particle":"","family":"Zhao","given":"Kun","non-dropping-particle":"","parse-names":false,"suffix":""}],"container-title":"Journal of Global Health","id":"ITEM-1","issue":"2","issued":{"date-parts":[["2017"]]},"page":"1-13","title":"Distributional benefits of tobacco tax and smoke-free workplaces in China: A modeling study","type":"article-journal","volume":"7"},"uris":["http://www.mendeley.com/documents/?uuid=bac6c289-81f1-42c3-9637-5c6f9ddaa6ec"]}],"mendeley":{"formattedCitation":"(Verguet et al., 2017)","manualFormatting":"Verguet et al. (2017)","plainTextFormattedCitation":"(Verguet et al., 2017)","previouslyFormattedCitation":"(Verguet et al., 2017)"},"properties":{"noteIndex":0},"schema":"https://github.com/citation-style-language/schema/raw/master/csl-citation.json"}</w:instrText>
            </w:r>
            <w:r w:rsidRPr="0064128D">
              <w:rPr>
                <w:rFonts w:ascii="Times New Roman" w:hAnsi="Times New Roman" w:cs="Times New Roman"/>
                <w:sz w:val="18"/>
                <w:szCs w:val="18"/>
              </w:rPr>
              <w:fldChar w:fldCharType="separate"/>
            </w:r>
            <w:r w:rsidRPr="0064128D">
              <w:rPr>
                <w:rFonts w:ascii="Times New Roman" w:hAnsi="Times New Roman" w:cs="Times New Roman"/>
                <w:noProof/>
                <w:sz w:val="18"/>
                <w:szCs w:val="18"/>
              </w:rPr>
              <w:t>Verguet et al. (2017)</w:t>
            </w:r>
            <w:r w:rsidRPr="0064128D">
              <w:rPr>
                <w:rFonts w:ascii="Times New Roman" w:hAnsi="Times New Roman" w:cs="Times New Roman"/>
                <w:sz w:val="18"/>
                <w:szCs w:val="18"/>
              </w:rPr>
              <w:fldChar w:fldCharType="end"/>
            </w:r>
            <w:r w:rsidRPr="0064128D">
              <w:rPr>
                <w:rFonts w:ascii="Times New Roman" w:hAnsi="Times New Roman" w:cs="Times New Roman"/>
                <w:sz w:val="18"/>
                <w:szCs w:val="18"/>
              </w:rPr>
              <w:t>,</w:t>
            </w:r>
          </w:p>
          <w:p w14:paraId="23754FF0" w14:textId="47588B18"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China</w:t>
            </w:r>
          </w:p>
        </w:tc>
        <w:tc>
          <w:tcPr>
            <w:tcW w:w="3240" w:type="dxa"/>
          </w:tcPr>
          <w:p w14:paraId="67AA0FE8" w14:textId="6B0D67E2"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Evaluated the impacts of an excise tax on tobacco products and of an implementation of smoke-free workplace in China</w:t>
            </w:r>
            <w:r w:rsidR="00DF615F" w:rsidRPr="0064128D">
              <w:rPr>
                <w:rFonts w:ascii="Times New Roman" w:hAnsi="Times New Roman" w:cs="Times New Roman"/>
                <w:sz w:val="18"/>
                <w:szCs w:val="18"/>
              </w:rPr>
              <w:t>, across income quintiles</w:t>
            </w:r>
            <w:r w:rsidRPr="0064128D">
              <w:rPr>
                <w:rFonts w:ascii="Times New Roman" w:hAnsi="Times New Roman" w:cs="Times New Roman"/>
                <w:sz w:val="18"/>
                <w:szCs w:val="18"/>
              </w:rPr>
              <w:t>.</w:t>
            </w:r>
          </w:p>
          <w:p w14:paraId="7C572D47" w14:textId="77777777" w:rsidR="00786B3B" w:rsidRPr="0064128D" w:rsidRDefault="00786B3B" w:rsidP="0027259C">
            <w:pPr>
              <w:rPr>
                <w:rFonts w:ascii="Times New Roman" w:hAnsi="Times New Roman" w:cs="Times New Roman"/>
                <w:sz w:val="18"/>
                <w:szCs w:val="18"/>
              </w:rPr>
            </w:pPr>
          </w:p>
          <w:p w14:paraId="30D4D3A4" w14:textId="7EF5ABCD" w:rsidR="00630ECC" w:rsidRPr="0064128D" w:rsidRDefault="007976DC" w:rsidP="0027259C">
            <w:pPr>
              <w:rPr>
                <w:rFonts w:ascii="Times New Roman" w:hAnsi="Times New Roman" w:cs="Times New Roman"/>
                <w:sz w:val="18"/>
                <w:szCs w:val="18"/>
              </w:rPr>
            </w:pPr>
            <w:r w:rsidRPr="0064128D">
              <w:rPr>
                <w:rFonts w:ascii="Times New Roman" w:hAnsi="Times New Roman" w:cs="Times New Roman"/>
                <w:b/>
                <w:bCs/>
                <w:sz w:val="18"/>
                <w:szCs w:val="18"/>
              </w:rPr>
              <w:t>Status quo</w:t>
            </w:r>
            <w:r w:rsidR="00786B3B" w:rsidRPr="0064128D">
              <w:rPr>
                <w:rFonts w:ascii="Times New Roman" w:hAnsi="Times New Roman" w:cs="Times New Roman"/>
                <w:sz w:val="18"/>
                <w:szCs w:val="18"/>
              </w:rPr>
              <w:t>:</w:t>
            </w:r>
            <w:r w:rsidR="000C4349" w:rsidRPr="0064128D">
              <w:rPr>
                <w:rFonts w:ascii="Times New Roman" w:hAnsi="Times New Roman" w:cs="Times New Roman"/>
                <w:sz w:val="18"/>
                <w:szCs w:val="18"/>
              </w:rPr>
              <w:t xml:space="preserve"> Taxes contributed to about 56% (39% for excise taxes) of retail prices of cigarettes in China.</w:t>
            </w:r>
          </w:p>
          <w:p w14:paraId="32E26C94" w14:textId="77777777" w:rsidR="00786B3B" w:rsidRPr="0064128D" w:rsidRDefault="00786B3B" w:rsidP="0027259C">
            <w:pPr>
              <w:rPr>
                <w:rFonts w:ascii="Times New Roman" w:hAnsi="Times New Roman" w:cs="Times New Roman"/>
                <w:sz w:val="18"/>
                <w:szCs w:val="18"/>
              </w:rPr>
            </w:pPr>
          </w:p>
          <w:p w14:paraId="394DB159" w14:textId="77777777" w:rsidR="00630ECC" w:rsidRPr="0064128D" w:rsidRDefault="00630ECC" w:rsidP="0027259C">
            <w:pPr>
              <w:rPr>
                <w:rFonts w:ascii="Times New Roman" w:hAnsi="Times New Roman" w:cs="Times New Roman"/>
                <w:b/>
                <w:bCs/>
                <w:sz w:val="18"/>
                <w:szCs w:val="18"/>
                <w:u w:val="single"/>
              </w:rPr>
            </w:pPr>
            <w:r w:rsidRPr="0064128D">
              <w:rPr>
                <w:rFonts w:ascii="Times New Roman" w:hAnsi="Times New Roman" w:cs="Times New Roman"/>
                <w:b/>
                <w:bCs/>
                <w:sz w:val="18"/>
                <w:szCs w:val="18"/>
                <w:u w:val="single"/>
              </w:rPr>
              <w:t>Intervention:</w:t>
            </w:r>
          </w:p>
          <w:p w14:paraId="5942B0B2" w14:textId="77777777" w:rsidR="00D5475D" w:rsidRPr="0064128D" w:rsidRDefault="00D5475D" w:rsidP="0027259C">
            <w:pPr>
              <w:rPr>
                <w:rFonts w:ascii="Times New Roman" w:hAnsi="Times New Roman" w:cs="Times New Roman"/>
                <w:sz w:val="18"/>
                <w:szCs w:val="18"/>
              </w:rPr>
            </w:pPr>
            <w:r w:rsidRPr="0064128D">
              <w:rPr>
                <w:rFonts w:ascii="Times New Roman" w:hAnsi="Times New Roman" w:cs="Times New Roman"/>
                <w:sz w:val="18"/>
                <w:szCs w:val="18"/>
              </w:rPr>
              <w:t xml:space="preserve">i.) </w:t>
            </w:r>
            <w:r w:rsidR="00630ECC" w:rsidRPr="0064128D">
              <w:rPr>
                <w:rFonts w:ascii="Times New Roman" w:hAnsi="Times New Roman" w:cs="Times New Roman"/>
                <w:sz w:val="18"/>
                <w:szCs w:val="18"/>
              </w:rPr>
              <w:t>A 75% increase in cigarette prices</w:t>
            </w:r>
            <w:r w:rsidR="00394CF3" w:rsidRPr="0064128D">
              <w:rPr>
                <w:rFonts w:ascii="Times New Roman" w:hAnsi="Times New Roman" w:cs="Times New Roman"/>
                <w:sz w:val="18"/>
                <w:szCs w:val="18"/>
              </w:rPr>
              <w:t xml:space="preserve"> </w:t>
            </w:r>
          </w:p>
          <w:p w14:paraId="668874E4" w14:textId="46350949" w:rsidR="00630ECC" w:rsidRPr="0064128D" w:rsidRDefault="00D5475D" w:rsidP="0027259C">
            <w:pPr>
              <w:rPr>
                <w:rFonts w:ascii="Times New Roman" w:hAnsi="Times New Roman" w:cs="Times New Roman"/>
                <w:sz w:val="18"/>
                <w:szCs w:val="18"/>
              </w:rPr>
            </w:pPr>
            <w:r w:rsidRPr="0064128D">
              <w:rPr>
                <w:rFonts w:ascii="Times New Roman" w:hAnsi="Times New Roman" w:cs="Times New Roman"/>
                <w:sz w:val="18"/>
                <w:szCs w:val="18"/>
              </w:rPr>
              <w:t xml:space="preserve">ii.) </w:t>
            </w:r>
            <w:r w:rsidR="00376E72" w:rsidRPr="0064128D">
              <w:rPr>
                <w:rFonts w:ascii="Times New Roman" w:hAnsi="Times New Roman" w:cs="Times New Roman"/>
                <w:sz w:val="18"/>
                <w:szCs w:val="18"/>
              </w:rPr>
              <w:t>I</w:t>
            </w:r>
            <w:r w:rsidR="00394CF3" w:rsidRPr="0064128D">
              <w:rPr>
                <w:rFonts w:ascii="Times New Roman" w:hAnsi="Times New Roman" w:cs="Times New Roman"/>
                <w:sz w:val="18"/>
                <w:szCs w:val="18"/>
              </w:rPr>
              <w:t xml:space="preserve">mplementation of </w:t>
            </w:r>
            <w:r w:rsidR="00786B3B" w:rsidRPr="0064128D">
              <w:rPr>
                <w:rFonts w:ascii="Times New Roman" w:hAnsi="Times New Roman" w:cs="Times New Roman"/>
                <w:sz w:val="18"/>
                <w:szCs w:val="18"/>
              </w:rPr>
              <w:t>total smoking bans in</w:t>
            </w:r>
            <w:r w:rsidR="00394CF3" w:rsidRPr="0064128D">
              <w:rPr>
                <w:rFonts w:ascii="Times New Roman" w:hAnsi="Times New Roman" w:cs="Times New Roman"/>
                <w:sz w:val="18"/>
                <w:szCs w:val="18"/>
              </w:rPr>
              <w:t xml:space="preserve"> workplace</w:t>
            </w:r>
            <w:r w:rsidR="00630ECC" w:rsidRPr="0064128D">
              <w:rPr>
                <w:rFonts w:ascii="Times New Roman" w:hAnsi="Times New Roman" w:cs="Times New Roman"/>
                <w:sz w:val="18"/>
                <w:szCs w:val="18"/>
              </w:rPr>
              <w:t>.</w:t>
            </w:r>
          </w:p>
        </w:tc>
        <w:tc>
          <w:tcPr>
            <w:tcW w:w="2936" w:type="dxa"/>
          </w:tcPr>
          <w:p w14:paraId="1BF92C57" w14:textId="576F0071"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 xml:space="preserve">Used </w:t>
            </w:r>
            <w:r w:rsidR="003B18DE" w:rsidRPr="0064128D">
              <w:rPr>
                <w:rFonts w:ascii="Times New Roman" w:hAnsi="Times New Roman" w:cs="Times New Roman"/>
                <w:sz w:val="18"/>
                <w:szCs w:val="18"/>
              </w:rPr>
              <w:t>ECEA to estimate HBG, FC, FRP and equity</w:t>
            </w:r>
            <w:r w:rsidRPr="0064128D">
              <w:rPr>
                <w:rFonts w:ascii="Times New Roman" w:hAnsi="Times New Roman" w:cs="Times New Roman"/>
                <w:sz w:val="18"/>
                <w:szCs w:val="18"/>
              </w:rPr>
              <w:t>. Used the Global Adult Tobacco Survey China Report 2010 for ages 15-69</w:t>
            </w:r>
            <w:r w:rsidR="003B57FC" w:rsidRPr="0064128D">
              <w:rPr>
                <w:rFonts w:ascii="Times New Roman" w:hAnsi="Times New Roman" w:cs="Times New Roman"/>
                <w:sz w:val="18"/>
                <w:szCs w:val="18"/>
              </w:rPr>
              <w:t>, empirical literature and authors’ calculations</w:t>
            </w:r>
            <w:r w:rsidR="007A1562" w:rsidRPr="0064128D">
              <w:rPr>
                <w:rFonts w:ascii="Times New Roman" w:hAnsi="Times New Roman" w:cs="Times New Roman"/>
                <w:sz w:val="18"/>
                <w:szCs w:val="18"/>
              </w:rPr>
              <w:t xml:space="preserve"> and assumptions</w:t>
            </w:r>
            <w:r w:rsidRPr="0064128D">
              <w:rPr>
                <w:rFonts w:ascii="Times New Roman" w:hAnsi="Times New Roman" w:cs="Times New Roman"/>
                <w:sz w:val="18"/>
                <w:szCs w:val="18"/>
              </w:rPr>
              <w:t>.</w:t>
            </w:r>
            <w:r w:rsidR="00D55936" w:rsidRPr="0064128D">
              <w:rPr>
                <w:rFonts w:ascii="Times New Roman" w:hAnsi="Times New Roman" w:cs="Times New Roman"/>
                <w:sz w:val="18"/>
                <w:szCs w:val="18"/>
              </w:rPr>
              <w:t xml:space="preserve"> Examined the Chinese male population only.</w:t>
            </w:r>
          </w:p>
        </w:tc>
        <w:tc>
          <w:tcPr>
            <w:tcW w:w="6964" w:type="dxa"/>
          </w:tcPr>
          <w:p w14:paraId="735E680C" w14:textId="0F30CA5F" w:rsidR="00464DB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HBG</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w:t>
            </w:r>
            <w:r w:rsidR="00394CF3" w:rsidRPr="0064128D">
              <w:rPr>
                <w:rFonts w:ascii="Times New Roman" w:hAnsi="Times New Roman" w:cs="Times New Roman"/>
                <w:sz w:val="18"/>
                <w:szCs w:val="18"/>
              </w:rPr>
              <w:t xml:space="preserve">Averted </w:t>
            </w:r>
            <w:r w:rsidR="00464DB7" w:rsidRPr="0064128D">
              <w:rPr>
                <w:rFonts w:ascii="Times New Roman" w:hAnsi="Times New Roman" w:cs="Times New Roman"/>
                <w:sz w:val="18"/>
                <w:szCs w:val="18"/>
              </w:rPr>
              <w:t xml:space="preserve">about 24 million </w:t>
            </w:r>
            <w:r w:rsidR="00E67BF3" w:rsidRPr="0064128D">
              <w:rPr>
                <w:rFonts w:ascii="Times New Roman" w:hAnsi="Times New Roman" w:cs="Times New Roman"/>
                <w:sz w:val="18"/>
                <w:szCs w:val="18"/>
              </w:rPr>
              <w:t xml:space="preserve">tobacco-related </w:t>
            </w:r>
            <w:r w:rsidR="00464DB7" w:rsidRPr="0064128D">
              <w:rPr>
                <w:rFonts w:ascii="Times New Roman" w:hAnsi="Times New Roman" w:cs="Times New Roman"/>
                <w:sz w:val="18"/>
                <w:szCs w:val="18"/>
              </w:rPr>
              <w:t>premature deaths among the male population in China. Implementation of smoking bans in workplaces would avert about 12 million premature deaths</w:t>
            </w:r>
          </w:p>
          <w:p w14:paraId="061FF69B" w14:textId="67E06407" w:rsidR="00464DB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FC</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Increased additional tax revenues by US$4</w:t>
            </w:r>
            <w:r w:rsidR="006E5603" w:rsidRPr="0064128D">
              <w:rPr>
                <w:rFonts w:ascii="Times New Roman" w:hAnsi="Times New Roman" w:cs="Times New Roman"/>
                <w:sz w:val="18"/>
                <w:szCs w:val="18"/>
              </w:rPr>
              <w:t>7</w:t>
            </w:r>
            <w:r w:rsidR="00464DB7" w:rsidRPr="0064128D">
              <w:rPr>
                <w:rFonts w:ascii="Times New Roman" w:hAnsi="Times New Roman" w:cs="Times New Roman"/>
                <w:sz w:val="18"/>
                <w:szCs w:val="18"/>
              </w:rPr>
              <w:t xml:space="preserve"> billion annually,</w:t>
            </w:r>
            <w:r w:rsidR="00914FB2" w:rsidRPr="0064128D">
              <w:rPr>
                <w:rFonts w:ascii="Times New Roman" w:hAnsi="Times New Roman" w:cs="Times New Roman"/>
                <w:sz w:val="18"/>
                <w:szCs w:val="18"/>
              </w:rPr>
              <w:t xml:space="preserve"> and</w:t>
            </w:r>
            <w:r w:rsidR="00464DB7" w:rsidRPr="0064128D">
              <w:rPr>
                <w:rFonts w:ascii="Times New Roman" w:hAnsi="Times New Roman" w:cs="Times New Roman"/>
                <w:sz w:val="18"/>
                <w:szCs w:val="18"/>
              </w:rPr>
              <w:t xml:space="preserve"> US$ 55 billion OOP expenditures averted. </w:t>
            </w:r>
            <w:r w:rsidR="00745EC9" w:rsidRPr="0064128D">
              <w:rPr>
                <w:rFonts w:ascii="Times New Roman" w:hAnsi="Times New Roman" w:cs="Times New Roman"/>
                <w:sz w:val="18"/>
                <w:szCs w:val="18"/>
              </w:rPr>
              <w:t xml:space="preserve">About </w:t>
            </w:r>
            <w:r w:rsidR="00464DB7" w:rsidRPr="0064128D">
              <w:rPr>
                <w:rFonts w:ascii="Times New Roman" w:hAnsi="Times New Roman" w:cs="Times New Roman"/>
                <w:sz w:val="18"/>
                <w:szCs w:val="18"/>
              </w:rPr>
              <w:t>four million poverty cases would be averted</w:t>
            </w:r>
            <w:r w:rsidR="00745EC9" w:rsidRPr="0064128D">
              <w:rPr>
                <w:rFonts w:ascii="Times New Roman" w:hAnsi="Times New Roman" w:cs="Times New Roman"/>
                <w:sz w:val="18"/>
                <w:szCs w:val="18"/>
              </w:rPr>
              <w:t xml:space="preserve"> by </w:t>
            </w:r>
            <w:r w:rsidR="00464DB7" w:rsidRPr="0064128D">
              <w:rPr>
                <w:rFonts w:ascii="Times New Roman" w:hAnsi="Times New Roman" w:cs="Times New Roman"/>
                <w:sz w:val="18"/>
                <w:szCs w:val="18"/>
              </w:rPr>
              <w:t>the implementation of smoking bans in workplaces.</w:t>
            </w:r>
            <w:r w:rsidR="00745EC9" w:rsidRPr="0064128D">
              <w:rPr>
                <w:rFonts w:ascii="Times New Roman" w:hAnsi="Times New Roman" w:cs="Times New Roman"/>
                <w:sz w:val="18"/>
                <w:szCs w:val="18"/>
              </w:rPr>
              <w:t xml:space="preserve"> Compared with the excise tax increase, a reduction in smoking from the ban would decrease tax revenues by US$ 7 billion annually,</w:t>
            </w:r>
          </w:p>
          <w:p w14:paraId="70B8B4E5" w14:textId="16B2176D" w:rsidR="00464DB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FRP</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w:t>
            </w:r>
            <w:r w:rsidR="00914FB2" w:rsidRPr="0064128D">
              <w:rPr>
                <w:rFonts w:ascii="Times New Roman" w:hAnsi="Times New Roman" w:cs="Times New Roman"/>
                <w:sz w:val="18"/>
                <w:szCs w:val="18"/>
              </w:rPr>
              <w:t>Averted</w:t>
            </w:r>
            <w:r w:rsidR="00464DB7" w:rsidRPr="0064128D">
              <w:rPr>
                <w:rFonts w:ascii="Times New Roman" w:hAnsi="Times New Roman" w:cs="Times New Roman"/>
                <w:sz w:val="18"/>
                <w:szCs w:val="18"/>
              </w:rPr>
              <w:t xml:space="preserve"> around 9 million poverty cases from the increased taxes. </w:t>
            </w:r>
            <w:r w:rsidR="009D15D6" w:rsidRPr="0064128D">
              <w:rPr>
                <w:rFonts w:ascii="Times New Roman" w:hAnsi="Times New Roman" w:cs="Times New Roman"/>
                <w:sz w:val="18"/>
                <w:szCs w:val="18"/>
              </w:rPr>
              <w:t xml:space="preserve">About 16 million CHE cases would be averted. </w:t>
            </w:r>
            <w:r w:rsidR="00464DB7" w:rsidRPr="0064128D">
              <w:rPr>
                <w:rFonts w:ascii="Times New Roman" w:hAnsi="Times New Roman" w:cs="Times New Roman"/>
                <w:sz w:val="18"/>
                <w:szCs w:val="18"/>
              </w:rPr>
              <w:t>The implementation of smoking bans in workplaces would prevent around 4 million poverty cases.</w:t>
            </w:r>
          </w:p>
          <w:p w14:paraId="5430A8CA" w14:textId="77777777" w:rsidR="00464DB7" w:rsidRPr="0064128D" w:rsidRDefault="00D82C07" w:rsidP="0027259C">
            <w:pPr>
              <w:rPr>
                <w:rFonts w:ascii="Times New Roman" w:hAnsi="Times New Roman" w:cs="Times New Roman"/>
                <w:sz w:val="18"/>
                <w:szCs w:val="18"/>
              </w:rPr>
            </w:pPr>
            <w:r w:rsidRPr="0064128D">
              <w:rPr>
                <w:rFonts w:ascii="Times New Roman" w:hAnsi="Times New Roman" w:cs="Times New Roman"/>
                <w:b/>
                <w:bCs/>
                <w:i/>
                <w:iCs/>
                <w:sz w:val="18"/>
                <w:szCs w:val="18"/>
              </w:rPr>
              <w:t>Equity</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Poorer individuals were more responsive to the relative change in cigarette prices (from the tax), quitting in large numbers and facing less tobacco-related disease OOP treatment costs.</w:t>
            </w:r>
            <w:r w:rsidR="00E67BF3" w:rsidRPr="0064128D">
              <w:rPr>
                <w:rFonts w:ascii="Times New Roman" w:hAnsi="Times New Roman" w:cs="Times New Roman"/>
                <w:sz w:val="18"/>
                <w:szCs w:val="18"/>
              </w:rPr>
              <w:t xml:space="preserve"> About 61% of the tobacco-related premature deaths accrued to the poorest and poorer income </w:t>
            </w:r>
            <w:r w:rsidR="00744531" w:rsidRPr="0064128D">
              <w:rPr>
                <w:rFonts w:ascii="Times New Roman" w:hAnsi="Times New Roman" w:cs="Times New Roman"/>
                <w:sz w:val="18"/>
                <w:szCs w:val="18"/>
              </w:rPr>
              <w:t xml:space="preserve">(bottom) </w:t>
            </w:r>
            <w:r w:rsidR="00E67BF3" w:rsidRPr="0064128D">
              <w:rPr>
                <w:rFonts w:ascii="Times New Roman" w:hAnsi="Times New Roman" w:cs="Times New Roman"/>
                <w:sz w:val="18"/>
                <w:szCs w:val="18"/>
              </w:rPr>
              <w:t>quintiles</w:t>
            </w:r>
            <w:r w:rsidR="006E5603" w:rsidRPr="0064128D">
              <w:rPr>
                <w:rFonts w:ascii="Times New Roman" w:hAnsi="Times New Roman" w:cs="Times New Roman"/>
                <w:sz w:val="18"/>
                <w:szCs w:val="18"/>
              </w:rPr>
              <w:t xml:space="preserve"> relative to 18% of the top two income groups</w:t>
            </w:r>
            <w:r w:rsidR="00E67BF3" w:rsidRPr="0064128D">
              <w:rPr>
                <w:rFonts w:ascii="Times New Roman" w:hAnsi="Times New Roman" w:cs="Times New Roman"/>
                <w:sz w:val="18"/>
                <w:szCs w:val="18"/>
              </w:rPr>
              <w:t>.</w:t>
            </w:r>
            <w:r w:rsidR="006E5603" w:rsidRPr="0064128D">
              <w:rPr>
                <w:rFonts w:ascii="Times New Roman" w:hAnsi="Times New Roman" w:cs="Times New Roman"/>
                <w:sz w:val="18"/>
                <w:szCs w:val="18"/>
              </w:rPr>
              <w:t xml:space="preserve"> About 57% and 21% of OOP averted accrued to the smokers of the bottom 40% and top 40% of the income group distribution, respectively.</w:t>
            </w:r>
            <w:r w:rsidR="009D15D6" w:rsidRPr="0064128D">
              <w:rPr>
                <w:rFonts w:ascii="Times New Roman" w:hAnsi="Times New Roman" w:cs="Times New Roman"/>
                <w:sz w:val="18"/>
                <w:szCs w:val="18"/>
              </w:rPr>
              <w:t xml:space="preserve"> About 69% of the averted poverty cases accrued to the bottom </w:t>
            </w:r>
            <w:r w:rsidR="00D559EA" w:rsidRPr="0064128D">
              <w:rPr>
                <w:rFonts w:ascii="Times New Roman" w:hAnsi="Times New Roman" w:cs="Times New Roman"/>
                <w:sz w:val="18"/>
                <w:szCs w:val="18"/>
              </w:rPr>
              <w:t>two</w:t>
            </w:r>
            <w:r w:rsidR="009D15D6" w:rsidRPr="0064128D">
              <w:rPr>
                <w:rFonts w:ascii="Times New Roman" w:hAnsi="Times New Roman" w:cs="Times New Roman"/>
                <w:sz w:val="18"/>
                <w:szCs w:val="18"/>
              </w:rPr>
              <w:t xml:space="preserve"> income group.</w:t>
            </w:r>
          </w:p>
          <w:p w14:paraId="3F7B7D08" w14:textId="77777777" w:rsidR="00F411A4" w:rsidRPr="0064128D" w:rsidRDefault="00F411A4" w:rsidP="0027259C">
            <w:pPr>
              <w:rPr>
                <w:rFonts w:ascii="Times New Roman" w:hAnsi="Times New Roman" w:cs="Times New Roman"/>
                <w:sz w:val="18"/>
                <w:szCs w:val="18"/>
              </w:rPr>
            </w:pPr>
          </w:p>
          <w:p w14:paraId="4126D375" w14:textId="2474FBAC" w:rsidR="00F411A4" w:rsidRPr="0064128D" w:rsidRDefault="00F411A4" w:rsidP="0027259C">
            <w:pPr>
              <w:rPr>
                <w:rFonts w:ascii="Times New Roman" w:hAnsi="Times New Roman" w:cs="Times New Roman"/>
                <w:sz w:val="18"/>
                <w:szCs w:val="18"/>
              </w:rPr>
            </w:pPr>
            <w:r w:rsidRPr="0064128D">
              <w:rPr>
                <w:rFonts w:ascii="Times New Roman" w:hAnsi="Times New Roman" w:cs="Times New Roman"/>
                <w:sz w:val="18"/>
                <w:szCs w:val="18"/>
              </w:rPr>
              <w:t>With regards to the implementation of smoking bans in workplaces, pre-matured deaths averted was evenly distributed among income groups.</w:t>
            </w:r>
            <w:r w:rsidR="00732186" w:rsidRPr="0064128D">
              <w:rPr>
                <w:rFonts w:ascii="Times New Roman" w:hAnsi="Times New Roman" w:cs="Times New Roman"/>
                <w:sz w:val="18"/>
                <w:szCs w:val="18"/>
              </w:rPr>
              <w:t xml:space="preserve"> Thus, equal responsiveness to the ban across income groups.</w:t>
            </w:r>
            <w:r w:rsidR="00230CB7" w:rsidRPr="0064128D">
              <w:rPr>
                <w:rFonts w:ascii="Times New Roman" w:hAnsi="Times New Roman" w:cs="Times New Roman"/>
                <w:sz w:val="18"/>
                <w:szCs w:val="18"/>
              </w:rPr>
              <w:t xml:space="preserve"> About 52% of poverty cases averted accrued to the bottom two quintiles</w:t>
            </w:r>
            <w:r w:rsidR="00E7654E" w:rsidRPr="0064128D">
              <w:rPr>
                <w:rFonts w:ascii="Times New Roman" w:hAnsi="Times New Roman" w:cs="Times New Roman"/>
                <w:sz w:val="18"/>
                <w:szCs w:val="18"/>
              </w:rPr>
              <w:t xml:space="preserve"> as poorer individuals had lower income</w:t>
            </w:r>
            <w:r w:rsidR="00230CB7" w:rsidRPr="0064128D">
              <w:rPr>
                <w:rFonts w:ascii="Times New Roman" w:hAnsi="Times New Roman" w:cs="Times New Roman"/>
                <w:sz w:val="18"/>
                <w:szCs w:val="18"/>
              </w:rPr>
              <w:t>.</w:t>
            </w:r>
            <w:r w:rsidR="00767449" w:rsidRPr="0064128D">
              <w:rPr>
                <w:rFonts w:ascii="Times New Roman" w:hAnsi="Times New Roman" w:cs="Times New Roman"/>
                <w:sz w:val="18"/>
                <w:szCs w:val="18"/>
              </w:rPr>
              <w:t xml:space="preserve"> </w:t>
            </w:r>
          </w:p>
        </w:tc>
      </w:tr>
      <w:tr w:rsidR="0064128D" w:rsidRPr="0064128D" w14:paraId="16B65E54" w14:textId="77777777" w:rsidTr="00C718F8">
        <w:trPr>
          <w:trHeight w:val="1970"/>
        </w:trPr>
        <w:tc>
          <w:tcPr>
            <w:tcW w:w="540" w:type="dxa"/>
          </w:tcPr>
          <w:p w14:paraId="22829C19" w14:textId="300424D5" w:rsidR="009944DC" w:rsidRPr="0064128D" w:rsidRDefault="009944DC" w:rsidP="00623757">
            <w:pPr>
              <w:rPr>
                <w:rFonts w:ascii="Times New Roman" w:hAnsi="Times New Roman" w:cs="Times New Roman"/>
                <w:sz w:val="18"/>
                <w:szCs w:val="18"/>
              </w:rPr>
            </w:pPr>
            <w:r w:rsidRPr="0064128D">
              <w:rPr>
                <w:rFonts w:ascii="Times New Roman" w:hAnsi="Times New Roman" w:cs="Times New Roman"/>
                <w:sz w:val="18"/>
                <w:szCs w:val="18"/>
              </w:rPr>
              <w:t>8</w:t>
            </w:r>
          </w:p>
        </w:tc>
        <w:tc>
          <w:tcPr>
            <w:tcW w:w="1260" w:type="dxa"/>
          </w:tcPr>
          <w:p w14:paraId="07AB3078" w14:textId="77777777" w:rsidR="009944DC" w:rsidRPr="0064128D" w:rsidRDefault="009944DC" w:rsidP="00623757">
            <w:pPr>
              <w:rPr>
                <w:rFonts w:ascii="Times New Roman" w:hAnsi="Times New Roman" w:cs="Times New Roman"/>
                <w:sz w:val="18"/>
                <w:szCs w:val="18"/>
              </w:rPr>
            </w:pPr>
            <w:r w:rsidRPr="0064128D">
              <w:rPr>
                <w:rFonts w:ascii="Times New Roman" w:hAnsi="Times New Roman" w:cs="Times New Roman"/>
                <w:sz w:val="18"/>
                <w:szCs w:val="18"/>
              </w:rPr>
              <w:fldChar w:fldCharType="begin" w:fldLock="1"/>
            </w:r>
            <w:r w:rsidRPr="0064128D">
              <w:rPr>
                <w:rFonts w:ascii="Times New Roman" w:hAnsi="Times New Roman" w:cs="Times New Roman"/>
                <w:sz w:val="18"/>
                <w:szCs w:val="18"/>
              </w:rPr>
              <w:instrText>ADDIN CSL_CITATION {"citationItems":[{"id":"ITEM-1","itemData":{"DOI":"10.1093/heapol/czw134","ISSN":"14602237","PMID":"27935798","abstract":"Background: Mental and neurological (MN) health care has long been neglected in low-income settings. This paper estimates health and non-health impacts of fully publicly financed care for selected key interventions in the National Mental Health Strategy in Ethiopia for depression, bipolar disorder, schizophrenia and epilepsy. Methods: A methodology of extended cost-effectiveness analysis (ECEA) is applied to MN health care in Ethiopia. The impact of providing a package of selected MN interventions free of charge in Ethiopia is estimated for: epilepsy (75% coverage, phenobarbital), depression (30% coverage, fluoxetine, cognitive therapy and proactive case management), bipolar affective disorder (50% coverage, valproate and psychosocial therapy) and schizophrenia (75% coverage, haloperidol plus psychosocial treatment). Multiple outcomes are estimated and disaggregated across wealth quintiles: (1) healthy-life-years (HALYs) gained; (2) household out-of-pocket (OOP) expenditures averted; (3) expected financial risk protection (FRP); and (4) productivity impact. Results: The MN package is expected to cost US$177 million and gain 155,000 HALYs (epilepsy US$37m and 64,500 HALYs; depression US$65m and 61,300 HALYs; bipolar disorder US$44m and 20,300 HALYs; and schizophrenia US$31m and 8,900 HALYs) annually. The health benefits would be concentrated among the poorest groups for all interventions. Universal public finance averts little household OOP expenditures and provides minimal FRP because of the low current utilization of these MN services in Ethiopia. In addition, economic benefits of US$ 51 million annually are expected from depression treatment in Ethiopia as a result of productivity gains, equivalent to 78% of the investment cost. Conclusions: The total MN package in Ethiopia is estimated to cost equivalent to US$1.8 per capita and yields large progressive health benefits. The expected productivity gain is substantially higher than the expected FRP. The ECEA approach seems to fit well with the current policy challenges and captures important equity concerns of scaling up MN programmes.","author":[{"dropping-particle":"","family":"Johansson","given":"Kjell Arne","non-dropping-particle":"","parse-names":false,"suffix":""},{"dropping-particle":"","family":"Strand","given":"Kirsten Bjerkreim","non-dropping-particle":"","parse-names":false,"suffix":""},{"dropping-particle":"","family":"Fekadu","given":"Abebaw","non-dropping-particle":"","parse-names":false,"suffix":""},{"dropping-particle":"","family":"Chisholm","given":"Dan","non-dropping-particle":"","parse-names":false,"suffix":""}],"container-title":"Health Policy and Planning","id":"ITEM-1","issue":"3","issued":{"date-parts":[["2016"]]},"page":"376-383","title":"Health Gains and Financial Protection Provided by the Ethiopian Mental Health Strategy: An Extended Cost-Effectiveness Analysis","type":"article-journal","volume":"32"},"uris":["http://www.mendeley.com/documents/?uuid=973770fe-ca13-4aa7-8cfc-925c9ac0e763"]}],"mendeley":{"formattedCitation":"(Johansson et al., 2016)","manualFormatting":"Johansson et al. (2016)","plainTextFormattedCitation":"(Johansson et al., 2016)","previouslyFormattedCitation":"(Johansson et al., 2016)"},"properties":{"noteIndex":0},"schema":"https://github.com/citation-style-language/schema/raw/master/csl-citation.json"}</w:instrText>
            </w:r>
            <w:r w:rsidRPr="0064128D">
              <w:rPr>
                <w:rFonts w:ascii="Times New Roman" w:hAnsi="Times New Roman" w:cs="Times New Roman"/>
                <w:sz w:val="18"/>
                <w:szCs w:val="18"/>
              </w:rPr>
              <w:fldChar w:fldCharType="separate"/>
            </w:r>
            <w:r w:rsidRPr="0064128D">
              <w:rPr>
                <w:rFonts w:ascii="Times New Roman" w:hAnsi="Times New Roman" w:cs="Times New Roman"/>
                <w:noProof/>
                <w:sz w:val="18"/>
                <w:szCs w:val="18"/>
              </w:rPr>
              <w:t>Johansson et al. (2016)</w:t>
            </w:r>
            <w:r w:rsidRPr="0064128D">
              <w:rPr>
                <w:rFonts w:ascii="Times New Roman" w:hAnsi="Times New Roman" w:cs="Times New Roman"/>
                <w:sz w:val="18"/>
                <w:szCs w:val="18"/>
              </w:rPr>
              <w:fldChar w:fldCharType="end"/>
            </w:r>
            <w:r w:rsidRPr="0064128D">
              <w:rPr>
                <w:rFonts w:ascii="Times New Roman" w:hAnsi="Times New Roman" w:cs="Times New Roman"/>
                <w:sz w:val="18"/>
                <w:szCs w:val="18"/>
              </w:rPr>
              <w:t>,</w:t>
            </w:r>
          </w:p>
          <w:p w14:paraId="4D6F26B6" w14:textId="77777777" w:rsidR="009944DC" w:rsidRPr="0064128D" w:rsidRDefault="009944DC" w:rsidP="00623757">
            <w:pPr>
              <w:rPr>
                <w:rFonts w:ascii="Times New Roman" w:hAnsi="Times New Roman" w:cs="Times New Roman"/>
                <w:sz w:val="18"/>
                <w:szCs w:val="18"/>
              </w:rPr>
            </w:pPr>
            <w:r w:rsidRPr="0064128D">
              <w:rPr>
                <w:rFonts w:ascii="Times New Roman" w:hAnsi="Times New Roman" w:cs="Times New Roman"/>
                <w:sz w:val="18"/>
                <w:szCs w:val="18"/>
              </w:rPr>
              <w:t>Ethiopia</w:t>
            </w:r>
          </w:p>
        </w:tc>
        <w:tc>
          <w:tcPr>
            <w:tcW w:w="3240" w:type="dxa"/>
          </w:tcPr>
          <w:p w14:paraId="18EE7861" w14:textId="79043AEE" w:rsidR="009944DC" w:rsidRPr="0064128D" w:rsidRDefault="009944DC" w:rsidP="00623757">
            <w:pPr>
              <w:rPr>
                <w:rFonts w:ascii="Times New Roman" w:hAnsi="Times New Roman" w:cs="Times New Roman"/>
                <w:sz w:val="18"/>
                <w:szCs w:val="18"/>
              </w:rPr>
            </w:pPr>
            <w:r w:rsidRPr="0064128D">
              <w:rPr>
                <w:rFonts w:ascii="Times New Roman" w:hAnsi="Times New Roman" w:cs="Times New Roman"/>
                <w:sz w:val="18"/>
                <w:szCs w:val="18"/>
              </w:rPr>
              <w:t xml:space="preserve">Estimated the health </w:t>
            </w:r>
            <w:r w:rsidR="00136805" w:rsidRPr="0064128D">
              <w:rPr>
                <w:rFonts w:ascii="Times New Roman" w:hAnsi="Times New Roman" w:cs="Times New Roman"/>
                <w:sz w:val="18"/>
                <w:szCs w:val="18"/>
              </w:rPr>
              <w:t xml:space="preserve">gains </w:t>
            </w:r>
            <w:r w:rsidRPr="0064128D">
              <w:rPr>
                <w:rFonts w:ascii="Times New Roman" w:hAnsi="Times New Roman" w:cs="Times New Roman"/>
                <w:sz w:val="18"/>
                <w:szCs w:val="18"/>
              </w:rPr>
              <w:t xml:space="preserve">and non-health </w:t>
            </w:r>
            <w:r w:rsidR="001E0315" w:rsidRPr="0064128D">
              <w:rPr>
                <w:rFonts w:ascii="Times New Roman" w:hAnsi="Times New Roman" w:cs="Times New Roman"/>
                <w:sz w:val="18"/>
                <w:szCs w:val="18"/>
              </w:rPr>
              <w:t>impacts</w:t>
            </w:r>
            <w:r w:rsidRPr="0064128D">
              <w:rPr>
                <w:rFonts w:ascii="Times New Roman" w:hAnsi="Times New Roman" w:cs="Times New Roman"/>
                <w:sz w:val="18"/>
                <w:szCs w:val="18"/>
              </w:rPr>
              <w:t xml:space="preserve"> of National Mental Health Strategy in Ethiopia for depression, bipolar affective disorder, schizophrenia</w:t>
            </w:r>
            <w:r w:rsidR="00FB3F0C" w:rsidRPr="0064128D">
              <w:rPr>
                <w:rFonts w:ascii="Times New Roman" w:hAnsi="Times New Roman" w:cs="Times New Roman"/>
                <w:sz w:val="18"/>
                <w:szCs w:val="18"/>
              </w:rPr>
              <w:t>,</w:t>
            </w:r>
            <w:r w:rsidRPr="0064128D">
              <w:rPr>
                <w:rFonts w:ascii="Times New Roman" w:hAnsi="Times New Roman" w:cs="Times New Roman"/>
                <w:sz w:val="18"/>
                <w:szCs w:val="18"/>
              </w:rPr>
              <w:t xml:space="preserve"> and epilepsy.</w:t>
            </w:r>
          </w:p>
          <w:p w14:paraId="2BF06C6B" w14:textId="77777777" w:rsidR="007976DC" w:rsidRPr="0064128D" w:rsidRDefault="007976DC" w:rsidP="00623757">
            <w:pPr>
              <w:rPr>
                <w:rFonts w:ascii="Times New Roman" w:hAnsi="Times New Roman" w:cs="Times New Roman"/>
                <w:b/>
                <w:bCs/>
                <w:sz w:val="18"/>
                <w:szCs w:val="18"/>
              </w:rPr>
            </w:pPr>
          </w:p>
          <w:p w14:paraId="6BA2D48F" w14:textId="01268E99" w:rsidR="007E398D" w:rsidRPr="0064128D" w:rsidRDefault="007976DC" w:rsidP="00623757">
            <w:pPr>
              <w:rPr>
                <w:rFonts w:ascii="Times New Roman" w:hAnsi="Times New Roman" w:cs="Times New Roman"/>
                <w:sz w:val="18"/>
                <w:szCs w:val="18"/>
              </w:rPr>
            </w:pPr>
            <w:r w:rsidRPr="0064128D">
              <w:rPr>
                <w:rFonts w:ascii="Times New Roman" w:hAnsi="Times New Roman" w:cs="Times New Roman"/>
                <w:b/>
                <w:bCs/>
                <w:sz w:val="18"/>
                <w:szCs w:val="18"/>
              </w:rPr>
              <w:t>Status quo:</w:t>
            </w:r>
            <w:r w:rsidRPr="0064128D">
              <w:rPr>
                <w:rFonts w:ascii="Times New Roman" w:hAnsi="Times New Roman" w:cs="Times New Roman"/>
                <w:sz w:val="18"/>
                <w:szCs w:val="18"/>
              </w:rPr>
              <w:t xml:space="preserve"> </w:t>
            </w:r>
            <w:r w:rsidR="007E398D" w:rsidRPr="0064128D">
              <w:rPr>
                <w:rFonts w:ascii="Times New Roman" w:hAnsi="Times New Roman" w:cs="Times New Roman"/>
                <w:sz w:val="18"/>
                <w:szCs w:val="18"/>
              </w:rPr>
              <w:t xml:space="preserve">Baseline coverage for all disorders </w:t>
            </w:r>
            <w:r w:rsidR="00C369F7" w:rsidRPr="0064128D">
              <w:rPr>
                <w:rFonts w:ascii="Times New Roman" w:hAnsi="Times New Roman" w:cs="Times New Roman"/>
                <w:sz w:val="18"/>
                <w:szCs w:val="18"/>
              </w:rPr>
              <w:t>wa</w:t>
            </w:r>
            <w:r w:rsidR="007E398D" w:rsidRPr="0064128D">
              <w:rPr>
                <w:rFonts w:ascii="Times New Roman" w:hAnsi="Times New Roman" w:cs="Times New Roman"/>
                <w:sz w:val="18"/>
                <w:szCs w:val="18"/>
              </w:rPr>
              <w:t>s &lt;5% in Ethiopia.</w:t>
            </w:r>
          </w:p>
          <w:p w14:paraId="3F392A18" w14:textId="77777777" w:rsidR="00080DC9" w:rsidRPr="0064128D" w:rsidRDefault="00080DC9" w:rsidP="00623757">
            <w:pPr>
              <w:rPr>
                <w:rFonts w:ascii="Times New Roman" w:hAnsi="Times New Roman" w:cs="Times New Roman"/>
                <w:sz w:val="18"/>
                <w:szCs w:val="18"/>
              </w:rPr>
            </w:pPr>
          </w:p>
          <w:p w14:paraId="5D250D8E" w14:textId="5FBC3EF2" w:rsidR="007976DC" w:rsidRPr="0064128D" w:rsidRDefault="007976DC" w:rsidP="00623757">
            <w:pPr>
              <w:rPr>
                <w:rFonts w:ascii="Times New Roman" w:hAnsi="Times New Roman" w:cs="Times New Roman"/>
                <w:sz w:val="18"/>
                <w:szCs w:val="18"/>
              </w:rPr>
            </w:pPr>
            <w:r w:rsidRPr="0064128D">
              <w:rPr>
                <w:rFonts w:ascii="Times New Roman" w:hAnsi="Times New Roman" w:cs="Times New Roman"/>
                <w:b/>
                <w:bCs/>
                <w:sz w:val="18"/>
                <w:szCs w:val="18"/>
                <w:u w:val="single"/>
              </w:rPr>
              <w:t>Intervention</w:t>
            </w:r>
            <w:r w:rsidRPr="0064128D">
              <w:rPr>
                <w:rFonts w:ascii="Times New Roman" w:hAnsi="Times New Roman" w:cs="Times New Roman"/>
                <w:sz w:val="18"/>
                <w:szCs w:val="18"/>
              </w:rPr>
              <w:t>:</w:t>
            </w:r>
          </w:p>
          <w:p w14:paraId="5542554D" w14:textId="77777777" w:rsidR="00736368" w:rsidRPr="0064128D" w:rsidRDefault="00D520E7" w:rsidP="00623757">
            <w:pPr>
              <w:rPr>
                <w:rFonts w:ascii="Times New Roman" w:hAnsi="Times New Roman" w:cs="Times New Roman"/>
                <w:sz w:val="18"/>
                <w:szCs w:val="18"/>
              </w:rPr>
            </w:pPr>
            <w:r w:rsidRPr="0064128D">
              <w:rPr>
                <w:rFonts w:ascii="Times New Roman" w:hAnsi="Times New Roman" w:cs="Times New Roman"/>
                <w:i/>
                <w:iCs/>
                <w:sz w:val="18"/>
                <w:szCs w:val="18"/>
              </w:rPr>
              <w:t>Depression</w:t>
            </w:r>
            <w:r w:rsidRPr="0064128D">
              <w:rPr>
                <w:rFonts w:ascii="Times New Roman" w:hAnsi="Times New Roman" w:cs="Times New Roman"/>
                <w:sz w:val="18"/>
                <w:szCs w:val="18"/>
              </w:rPr>
              <w:t>: 30% coverage comprising of fluoxetine, cognitive therapy</w:t>
            </w:r>
            <w:r w:rsidR="00A92224" w:rsidRPr="0064128D">
              <w:rPr>
                <w:rFonts w:ascii="Times New Roman" w:hAnsi="Times New Roman" w:cs="Times New Roman"/>
                <w:sz w:val="18"/>
                <w:szCs w:val="18"/>
              </w:rPr>
              <w:t>,</w:t>
            </w:r>
            <w:r w:rsidRPr="0064128D">
              <w:rPr>
                <w:rFonts w:ascii="Times New Roman" w:hAnsi="Times New Roman" w:cs="Times New Roman"/>
                <w:sz w:val="18"/>
                <w:szCs w:val="18"/>
              </w:rPr>
              <w:t xml:space="preserve"> and proactive case management. Coverage of depression is relatively lower because of low detectability.</w:t>
            </w:r>
          </w:p>
          <w:p w14:paraId="0E176FD1" w14:textId="77777777" w:rsidR="00A92224" w:rsidRPr="0064128D" w:rsidRDefault="00A92224" w:rsidP="00623757">
            <w:pPr>
              <w:rPr>
                <w:rFonts w:ascii="Times New Roman" w:hAnsi="Times New Roman" w:cs="Times New Roman"/>
                <w:sz w:val="18"/>
                <w:szCs w:val="18"/>
              </w:rPr>
            </w:pPr>
            <w:r w:rsidRPr="0064128D">
              <w:rPr>
                <w:rFonts w:ascii="Times New Roman" w:hAnsi="Times New Roman" w:cs="Times New Roman"/>
                <w:i/>
                <w:iCs/>
                <w:sz w:val="18"/>
                <w:szCs w:val="18"/>
              </w:rPr>
              <w:t>Bipolar affective disorder</w:t>
            </w:r>
            <w:r w:rsidRPr="0064128D">
              <w:rPr>
                <w:rFonts w:ascii="Times New Roman" w:hAnsi="Times New Roman" w:cs="Times New Roman"/>
                <w:sz w:val="18"/>
                <w:szCs w:val="18"/>
              </w:rPr>
              <w:t>: 50% coverage encompassing valproate with psychosocial therapy</w:t>
            </w:r>
            <w:r w:rsidR="00245F5C" w:rsidRPr="0064128D">
              <w:rPr>
                <w:rFonts w:ascii="Times New Roman" w:hAnsi="Times New Roman" w:cs="Times New Roman"/>
                <w:sz w:val="18"/>
                <w:szCs w:val="18"/>
              </w:rPr>
              <w:t>.</w:t>
            </w:r>
          </w:p>
          <w:p w14:paraId="308666B2" w14:textId="77777777" w:rsidR="0033216B" w:rsidRPr="0064128D" w:rsidRDefault="0033216B" w:rsidP="00623757">
            <w:pPr>
              <w:rPr>
                <w:rFonts w:ascii="Times New Roman" w:hAnsi="Times New Roman" w:cs="Times New Roman"/>
                <w:sz w:val="18"/>
                <w:szCs w:val="18"/>
              </w:rPr>
            </w:pPr>
            <w:r w:rsidRPr="0064128D">
              <w:rPr>
                <w:rFonts w:ascii="Times New Roman" w:hAnsi="Times New Roman" w:cs="Times New Roman"/>
                <w:i/>
                <w:iCs/>
                <w:sz w:val="18"/>
                <w:szCs w:val="18"/>
              </w:rPr>
              <w:t>Schizophrenia</w:t>
            </w:r>
            <w:r w:rsidRPr="0064128D">
              <w:rPr>
                <w:rFonts w:ascii="Times New Roman" w:hAnsi="Times New Roman" w:cs="Times New Roman"/>
                <w:sz w:val="18"/>
                <w:szCs w:val="18"/>
              </w:rPr>
              <w:t>:</w:t>
            </w:r>
            <w:r w:rsidR="00355199" w:rsidRPr="0064128D">
              <w:rPr>
                <w:rFonts w:ascii="Times New Roman" w:hAnsi="Times New Roman" w:cs="Times New Roman"/>
                <w:sz w:val="18"/>
                <w:szCs w:val="18"/>
              </w:rPr>
              <w:t xml:space="preserve"> 75% coverage comprising of first-line antipsychotic medication (haloperidol or chlorpromazine) plus psychosocial treatment.</w:t>
            </w:r>
          </w:p>
          <w:p w14:paraId="4CD935A8" w14:textId="5CD2AD8F" w:rsidR="00261631" w:rsidRPr="0064128D" w:rsidRDefault="00261631" w:rsidP="00623757">
            <w:pPr>
              <w:rPr>
                <w:rFonts w:ascii="Times New Roman" w:hAnsi="Times New Roman" w:cs="Times New Roman"/>
                <w:sz w:val="18"/>
                <w:szCs w:val="18"/>
              </w:rPr>
            </w:pPr>
            <w:r w:rsidRPr="0064128D">
              <w:rPr>
                <w:rFonts w:ascii="Times New Roman" w:hAnsi="Times New Roman" w:cs="Times New Roman"/>
                <w:i/>
                <w:iCs/>
                <w:sz w:val="18"/>
                <w:szCs w:val="18"/>
              </w:rPr>
              <w:lastRenderedPageBreak/>
              <w:t>Epilepsy</w:t>
            </w:r>
            <w:r w:rsidRPr="0064128D">
              <w:rPr>
                <w:rFonts w:ascii="Times New Roman" w:hAnsi="Times New Roman" w:cs="Times New Roman"/>
                <w:sz w:val="18"/>
                <w:szCs w:val="18"/>
              </w:rPr>
              <w:t>: 75% coverage encompassing phenobarbital</w:t>
            </w:r>
            <w:r w:rsidR="007976DC" w:rsidRPr="0064128D">
              <w:rPr>
                <w:rFonts w:ascii="Times New Roman" w:hAnsi="Times New Roman" w:cs="Times New Roman"/>
                <w:sz w:val="18"/>
                <w:szCs w:val="18"/>
              </w:rPr>
              <w:t>.</w:t>
            </w:r>
          </w:p>
          <w:p w14:paraId="0CF523EB" w14:textId="77777777" w:rsidR="007976DC" w:rsidRPr="0064128D" w:rsidRDefault="007976DC" w:rsidP="007976DC">
            <w:pPr>
              <w:rPr>
                <w:rFonts w:ascii="Times New Roman" w:hAnsi="Times New Roman" w:cs="Times New Roman"/>
                <w:sz w:val="18"/>
                <w:szCs w:val="18"/>
              </w:rPr>
            </w:pPr>
            <w:r w:rsidRPr="0064128D">
              <w:rPr>
                <w:rFonts w:ascii="Times New Roman" w:hAnsi="Times New Roman" w:cs="Times New Roman"/>
                <w:sz w:val="18"/>
                <w:szCs w:val="18"/>
              </w:rPr>
              <w:t>It was a UPF intervention.</w:t>
            </w:r>
          </w:p>
          <w:p w14:paraId="19592BE1" w14:textId="77777777" w:rsidR="007976DC" w:rsidRPr="0064128D" w:rsidRDefault="007976DC" w:rsidP="00623757">
            <w:pPr>
              <w:rPr>
                <w:rFonts w:ascii="Times New Roman" w:hAnsi="Times New Roman" w:cs="Times New Roman"/>
                <w:sz w:val="18"/>
                <w:szCs w:val="18"/>
              </w:rPr>
            </w:pPr>
          </w:p>
          <w:p w14:paraId="3C2CFA05" w14:textId="417BFE57" w:rsidR="007976DC" w:rsidRPr="0064128D" w:rsidRDefault="007976DC" w:rsidP="00623757">
            <w:pPr>
              <w:rPr>
                <w:rFonts w:ascii="Times New Roman" w:hAnsi="Times New Roman" w:cs="Times New Roman"/>
                <w:sz w:val="18"/>
                <w:szCs w:val="18"/>
              </w:rPr>
            </w:pPr>
          </w:p>
        </w:tc>
        <w:tc>
          <w:tcPr>
            <w:tcW w:w="2936" w:type="dxa"/>
          </w:tcPr>
          <w:p w14:paraId="603EA3A8" w14:textId="46297AA5" w:rsidR="00350876" w:rsidRPr="0064128D" w:rsidRDefault="009944DC" w:rsidP="00623757">
            <w:pPr>
              <w:rPr>
                <w:rFonts w:ascii="Times New Roman" w:hAnsi="Times New Roman" w:cs="Times New Roman"/>
                <w:sz w:val="18"/>
                <w:szCs w:val="18"/>
              </w:rPr>
            </w:pPr>
            <w:r w:rsidRPr="0064128D">
              <w:rPr>
                <w:rFonts w:ascii="Times New Roman" w:hAnsi="Times New Roman" w:cs="Times New Roman"/>
                <w:sz w:val="18"/>
                <w:szCs w:val="18"/>
              </w:rPr>
              <w:lastRenderedPageBreak/>
              <w:t>Extended cost-effectiveness analysis was applied.</w:t>
            </w:r>
            <w:r w:rsidR="003F6D42" w:rsidRPr="0064128D">
              <w:rPr>
                <w:rFonts w:ascii="Times New Roman" w:hAnsi="Times New Roman" w:cs="Times New Roman"/>
                <w:sz w:val="18"/>
                <w:szCs w:val="18"/>
              </w:rPr>
              <w:t xml:space="preserve"> </w:t>
            </w:r>
            <w:r w:rsidR="00350876" w:rsidRPr="0064128D">
              <w:rPr>
                <w:rFonts w:ascii="Times New Roman" w:hAnsi="Times New Roman" w:cs="Times New Roman"/>
                <w:sz w:val="18"/>
                <w:szCs w:val="18"/>
              </w:rPr>
              <w:t>The cost of the intervention was from the household and health provider perspective.</w:t>
            </w:r>
          </w:p>
          <w:p w14:paraId="6DDCDBA2" w14:textId="73A32A09" w:rsidR="00E9161E" w:rsidRPr="0064128D" w:rsidRDefault="00E9161E" w:rsidP="00623757">
            <w:pPr>
              <w:rPr>
                <w:rFonts w:ascii="Times New Roman" w:hAnsi="Times New Roman" w:cs="Times New Roman"/>
                <w:sz w:val="18"/>
                <w:szCs w:val="18"/>
              </w:rPr>
            </w:pPr>
            <w:r w:rsidRPr="0064128D">
              <w:rPr>
                <w:rFonts w:ascii="Times New Roman" w:hAnsi="Times New Roman" w:cs="Times New Roman"/>
                <w:sz w:val="18"/>
                <w:szCs w:val="18"/>
              </w:rPr>
              <w:t xml:space="preserve">Data was populated from the </w:t>
            </w:r>
            <w:r w:rsidR="009C546A" w:rsidRPr="0064128D">
              <w:rPr>
                <w:rFonts w:ascii="Times New Roman" w:hAnsi="Times New Roman" w:cs="Times New Roman"/>
                <w:sz w:val="18"/>
                <w:szCs w:val="18"/>
              </w:rPr>
              <w:t>secondary data source (i.</w:t>
            </w:r>
            <w:r w:rsidR="00525E3F">
              <w:rPr>
                <w:rFonts w:ascii="Times New Roman" w:hAnsi="Times New Roman" w:cs="Times New Roman"/>
                <w:sz w:val="18"/>
                <w:szCs w:val="18"/>
              </w:rPr>
              <w:t xml:space="preserve"> </w:t>
            </w:r>
            <w:r w:rsidR="009C546A" w:rsidRPr="0064128D">
              <w:rPr>
                <w:rFonts w:ascii="Times New Roman" w:hAnsi="Times New Roman" w:cs="Times New Roman"/>
                <w:sz w:val="18"/>
                <w:szCs w:val="18"/>
              </w:rPr>
              <w:t xml:space="preserve">e. </w:t>
            </w:r>
            <w:r w:rsidRPr="0064128D">
              <w:rPr>
                <w:rFonts w:ascii="Times New Roman" w:hAnsi="Times New Roman" w:cs="Times New Roman"/>
                <w:sz w:val="18"/>
                <w:szCs w:val="18"/>
              </w:rPr>
              <w:t>empirical literature</w:t>
            </w:r>
            <w:r w:rsidR="003F6D42" w:rsidRPr="0064128D">
              <w:rPr>
                <w:rFonts w:ascii="Times New Roman" w:hAnsi="Times New Roman" w:cs="Times New Roman"/>
                <w:sz w:val="18"/>
                <w:szCs w:val="18"/>
              </w:rPr>
              <w:t>,</w:t>
            </w:r>
            <w:r w:rsidR="009C546A" w:rsidRPr="0064128D">
              <w:rPr>
                <w:rFonts w:ascii="Times New Roman" w:hAnsi="Times New Roman" w:cs="Times New Roman"/>
                <w:sz w:val="18"/>
                <w:szCs w:val="18"/>
              </w:rPr>
              <w:t xml:space="preserve"> the regional WHO-CHOICE dataset</w:t>
            </w:r>
            <w:r w:rsidR="00466B86" w:rsidRPr="0064128D">
              <w:rPr>
                <w:rFonts w:ascii="Times New Roman" w:hAnsi="Times New Roman" w:cs="Times New Roman"/>
                <w:sz w:val="18"/>
                <w:szCs w:val="18"/>
              </w:rPr>
              <w:t xml:space="preserve">, </w:t>
            </w:r>
            <w:r w:rsidR="003F6D42" w:rsidRPr="0064128D">
              <w:rPr>
                <w:rFonts w:ascii="Times New Roman" w:hAnsi="Times New Roman" w:cs="Times New Roman"/>
                <w:sz w:val="18"/>
                <w:szCs w:val="18"/>
              </w:rPr>
              <w:t>International Drug Price Indicator Guide</w:t>
            </w:r>
            <w:r w:rsidR="00466B86" w:rsidRPr="0064128D">
              <w:rPr>
                <w:rFonts w:ascii="Times New Roman" w:hAnsi="Times New Roman" w:cs="Times New Roman"/>
                <w:sz w:val="18"/>
                <w:szCs w:val="18"/>
              </w:rPr>
              <w:t>, World Bank and World Development Indicators, and Ethiopia Ministry of Health</w:t>
            </w:r>
            <w:r w:rsidR="009C546A" w:rsidRPr="0064128D">
              <w:rPr>
                <w:rFonts w:ascii="Times New Roman" w:hAnsi="Times New Roman" w:cs="Times New Roman"/>
                <w:sz w:val="18"/>
                <w:szCs w:val="18"/>
              </w:rPr>
              <w:t>) and</w:t>
            </w:r>
            <w:r w:rsidRPr="0064128D">
              <w:rPr>
                <w:rFonts w:ascii="Times New Roman" w:hAnsi="Times New Roman" w:cs="Times New Roman"/>
                <w:sz w:val="18"/>
                <w:szCs w:val="18"/>
              </w:rPr>
              <w:t xml:space="preserve"> primary cost data</w:t>
            </w:r>
            <w:r w:rsidR="003F6D42" w:rsidRPr="0064128D">
              <w:rPr>
                <w:rFonts w:ascii="Times New Roman" w:hAnsi="Times New Roman" w:cs="Times New Roman"/>
                <w:sz w:val="18"/>
                <w:szCs w:val="18"/>
              </w:rPr>
              <w:t xml:space="preserve"> (i.</w:t>
            </w:r>
            <w:r w:rsidR="00525E3F">
              <w:rPr>
                <w:rFonts w:ascii="Times New Roman" w:hAnsi="Times New Roman" w:cs="Times New Roman"/>
                <w:sz w:val="18"/>
                <w:szCs w:val="18"/>
              </w:rPr>
              <w:t xml:space="preserve"> </w:t>
            </w:r>
            <w:r w:rsidR="003F6D42" w:rsidRPr="0064128D">
              <w:rPr>
                <w:rFonts w:ascii="Times New Roman" w:hAnsi="Times New Roman" w:cs="Times New Roman"/>
                <w:sz w:val="18"/>
                <w:szCs w:val="18"/>
              </w:rPr>
              <w:t>e. data from Amanuel Psychiatric Hospital</w:t>
            </w:r>
            <w:r w:rsidR="009940A2" w:rsidRPr="0064128D">
              <w:rPr>
                <w:rFonts w:ascii="Times New Roman" w:hAnsi="Times New Roman" w:cs="Times New Roman"/>
                <w:sz w:val="18"/>
                <w:szCs w:val="18"/>
              </w:rPr>
              <w:t xml:space="preserve"> in Ethiopia</w:t>
            </w:r>
            <w:r w:rsidR="003F6D42" w:rsidRPr="0064128D">
              <w:rPr>
                <w:rFonts w:ascii="Times New Roman" w:hAnsi="Times New Roman" w:cs="Times New Roman"/>
                <w:sz w:val="18"/>
                <w:szCs w:val="18"/>
              </w:rPr>
              <w:t>)</w:t>
            </w:r>
            <w:r w:rsidR="009C546A" w:rsidRPr="0064128D">
              <w:rPr>
                <w:rFonts w:ascii="Times New Roman" w:hAnsi="Times New Roman" w:cs="Times New Roman"/>
                <w:sz w:val="18"/>
                <w:szCs w:val="18"/>
              </w:rPr>
              <w:t>.</w:t>
            </w:r>
            <w:r w:rsidR="009940A2" w:rsidRPr="0064128D">
              <w:rPr>
                <w:rFonts w:ascii="Times New Roman" w:hAnsi="Times New Roman" w:cs="Times New Roman"/>
                <w:sz w:val="18"/>
                <w:szCs w:val="18"/>
              </w:rPr>
              <w:t xml:space="preserve"> Total </w:t>
            </w:r>
            <w:r w:rsidR="00C61F23" w:rsidRPr="0064128D">
              <w:rPr>
                <w:rFonts w:ascii="Times New Roman" w:hAnsi="Times New Roman" w:cs="Times New Roman"/>
                <w:sz w:val="18"/>
                <w:szCs w:val="18"/>
              </w:rPr>
              <w:t>costs</w:t>
            </w:r>
            <w:r w:rsidR="009940A2" w:rsidRPr="0064128D">
              <w:rPr>
                <w:rFonts w:ascii="Times New Roman" w:hAnsi="Times New Roman" w:cs="Times New Roman"/>
                <w:sz w:val="18"/>
                <w:szCs w:val="18"/>
              </w:rPr>
              <w:t xml:space="preserve"> are counted over 10-year period that interventions are implemented and are discounted at 3%.</w:t>
            </w:r>
          </w:p>
        </w:tc>
        <w:tc>
          <w:tcPr>
            <w:tcW w:w="6964" w:type="dxa"/>
          </w:tcPr>
          <w:p w14:paraId="4CE2BA08" w14:textId="3FB3E16D" w:rsidR="009944DC" w:rsidRPr="0064128D" w:rsidRDefault="009944DC" w:rsidP="00623757">
            <w:pPr>
              <w:rPr>
                <w:rFonts w:ascii="Times New Roman" w:hAnsi="Times New Roman" w:cs="Times New Roman"/>
                <w:sz w:val="18"/>
                <w:szCs w:val="18"/>
              </w:rPr>
            </w:pPr>
            <w:r w:rsidRPr="0064128D">
              <w:rPr>
                <w:rFonts w:ascii="Times New Roman" w:hAnsi="Times New Roman" w:cs="Times New Roman"/>
                <w:b/>
                <w:bCs/>
                <w:i/>
                <w:iCs/>
                <w:sz w:val="18"/>
                <w:szCs w:val="18"/>
              </w:rPr>
              <w:t>HBG</w:t>
            </w:r>
            <w:r w:rsidRPr="0064128D">
              <w:rPr>
                <w:rFonts w:ascii="Times New Roman" w:hAnsi="Times New Roman" w:cs="Times New Roman"/>
                <w:sz w:val="18"/>
                <w:szCs w:val="18"/>
              </w:rPr>
              <w:t xml:space="preserve">: The National Mental Health Strategy package is expected to </w:t>
            </w:r>
            <w:r w:rsidR="00442BAF" w:rsidRPr="0064128D">
              <w:rPr>
                <w:rFonts w:ascii="Times New Roman" w:hAnsi="Times New Roman" w:cs="Times New Roman"/>
                <w:sz w:val="18"/>
                <w:szCs w:val="18"/>
              </w:rPr>
              <w:t xml:space="preserve">generate </w:t>
            </w:r>
            <w:r w:rsidRPr="0064128D">
              <w:rPr>
                <w:rFonts w:ascii="Times New Roman" w:hAnsi="Times New Roman" w:cs="Times New Roman"/>
                <w:sz w:val="18"/>
                <w:szCs w:val="18"/>
              </w:rPr>
              <w:t xml:space="preserve">155,000 Healthy-life-years (HALYs) </w:t>
            </w:r>
            <w:r w:rsidR="00442BAF" w:rsidRPr="0064128D">
              <w:rPr>
                <w:rFonts w:ascii="Times New Roman" w:hAnsi="Times New Roman" w:cs="Times New Roman"/>
                <w:sz w:val="18"/>
                <w:szCs w:val="18"/>
              </w:rPr>
              <w:t xml:space="preserve">gain </w:t>
            </w:r>
            <w:r w:rsidRPr="0064128D">
              <w:rPr>
                <w:rFonts w:ascii="Times New Roman" w:hAnsi="Times New Roman" w:cs="Times New Roman"/>
                <w:sz w:val="18"/>
                <w:szCs w:val="18"/>
              </w:rPr>
              <w:t xml:space="preserve">annually. It comprises of 64,500 HALYs, 61,300 HALYs, 20,300 HALYs and 8,900 HALYs for epilepsy, depression, bipolar </w:t>
            </w:r>
            <w:r w:rsidR="00442BAF" w:rsidRPr="0064128D">
              <w:rPr>
                <w:rFonts w:ascii="Times New Roman" w:hAnsi="Times New Roman" w:cs="Times New Roman"/>
                <w:sz w:val="18"/>
                <w:szCs w:val="18"/>
              </w:rPr>
              <w:t>disorder,</w:t>
            </w:r>
            <w:r w:rsidRPr="0064128D">
              <w:rPr>
                <w:rFonts w:ascii="Times New Roman" w:hAnsi="Times New Roman" w:cs="Times New Roman"/>
                <w:sz w:val="18"/>
                <w:szCs w:val="18"/>
              </w:rPr>
              <w:t xml:space="preserve"> and schizophrenia.</w:t>
            </w:r>
          </w:p>
          <w:p w14:paraId="31079934" w14:textId="01A93A03" w:rsidR="009944DC" w:rsidRPr="0064128D" w:rsidRDefault="009944DC" w:rsidP="00623757">
            <w:pPr>
              <w:rPr>
                <w:rFonts w:ascii="Times New Roman" w:hAnsi="Times New Roman" w:cs="Times New Roman"/>
                <w:sz w:val="18"/>
                <w:szCs w:val="18"/>
              </w:rPr>
            </w:pPr>
            <w:r w:rsidRPr="0064128D">
              <w:rPr>
                <w:rFonts w:ascii="Times New Roman" w:hAnsi="Times New Roman" w:cs="Times New Roman"/>
                <w:b/>
                <w:bCs/>
                <w:i/>
                <w:iCs/>
                <w:sz w:val="18"/>
                <w:szCs w:val="18"/>
              </w:rPr>
              <w:t>FC</w:t>
            </w:r>
            <w:r w:rsidRPr="0064128D">
              <w:rPr>
                <w:rFonts w:ascii="Times New Roman" w:hAnsi="Times New Roman" w:cs="Times New Roman"/>
                <w:sz w:val="18"/>
                <w:szCs w:val="18"/>
              </w:rPr>
              <w:t xml:space="preserve">: The </w:t>
            </w:r>
            <w:r w:rsidR="00E876F2" w:rsidRPr="0064128D">
              <w:rPr>
                <w:rFonts w:ascii="Times New Roman" w:hAnsi="Times New Roman" w:cs="Times New Roman"/>
                <w:sz w:val="18"/>
                <w:szCs w:val="18"/>
              </w:rPr>
              <w:t xml:space="preserve">OOP </w:t>
            </w:r>
            <w:r w:rsidRPr="0064128D">
              <w:rPr>
                <w:rFonts w:ascii="Times New Roman" w:hAnsi="Times New Roman" w:cs="Times New Roman"/>
                <w:sz w:val="18"/>
                <w:szCs w:val="18"/>
              </w:rPr>
              <w:t>averted include US$544,000 for epilepsy, US$162,000 for depression, US$241,000 for bipolar disorder and US$81,000 for Schizophrenia.</w:t>
            </w:r>
            <w:r w:rsidR="00945D3E" w:rsidRPr="0064128D">
              <w:rPr>
                <w:rFonts w:ascii="Times New Roman" w:hAnsi="Times New Roman" w:cs="Times New Roman"/>
                <w:sz w:val="18"/>
                <w:szCs w:val="18"/>
              </w:rPr>
              <w:t xml:space="preserve"> The expected annual cost of implementing the Mental health care package described at the specified target coverage levels was about US$ 177 million, equivalent to about US$ 1.8 per capita.</w:t>
            </w:r>
            <w:r w:rsidR="00FA5A37" w:rsidRPr="0064128D">
              <w:rPr>
                <w:rFonts w:ascii="Times New Roman" w:hAnsi="Times New Roman" w:cs="Times New Roman"/>
                <w:sz w:val="18"/>
                <w:szCs w:val="18"/>
              </w:rPr>
              <w:t xml:space="preserve"> </w:t>
            </w:r>
            <w:r w:rsidR="009B5088" w:rsidRPr="0064128D">
              <w:rPr>
                <w:rFonts w:ascii="Times New Roman" w:hAnsi="Times New Roman" w:cs="Times New Roman"/>
                <w:sz w:val="18"/>
                <w:szCs w:val="18"/>
              </w:rPr>
              <w:t>The expected p</w:t>
            </w:r>
            <w:r w:rsidR="00FA5A37" w:rsidRPr="0064128D">
              <w:rPr>
                <w:rFonts w:ascii="Times New Roman" w:hAnsi="Times New Roman" w:cs="Times New Roman"/>
                <w:sz w:val="18"/>
                <w:szCs w:val="18"/>
              </w:rPr>
              <w:t>roductivity gain from scaled-up depression treatment were US$ 51 million annually.</w:t>
            </w:r>
          </w:p>
          <w:p w14:paraId="0B8D20A2" w14:textId="18769B07" w:rsidR="009944DC" w:rsidRPr="0064128D" w:rsidRDefault="009944DC" w:rsidP="00623757">
            <w:pPr>
              <w:rPr>
                <w:rFonts w:ascii="Times New Roman" w:hAnsi="Times New Roman" w:cs="Times New Roman"/>
                <w:sz w:val="18"/>
                <w:szCs w:val="18"/>
              </w:rPr>
            </w:pPr>
            <w:r w:rsidRPr="0064128D">
              <w:rPr>
                <w:rFonts w:ascii="Times New Roman" w:hAnsi="Times New Roman" w:cs="Times New Roman"/>
                <w:b/>
                <w:bCs/>
                <w:i/>
                <w:iCs/>
                <w:sz w:val="18"/>
                <w:szCs w:val="18"/>
              </w:rPr>
              <w:t>FRP</w:t>
            </w:r>
            <w:r w:rsidRPr="0064128D">
              <w:rPr>
                <w:rFonts w:ascii="Times New Roman" w:hAnsi="Times New Roman" w:cs="Times New Roman"/>
                <w:sz w:val="18"/>
                <w:szCs w:val="18"/>
              </w:rPr>
              <w:t>: The money-metric insurance value</w:t>
            </w:r>
            <w:r w:rsidR="00B70104" w:rsidRPr="0064128D">
              <w:rPr>
                <w:rFonts w:ascii="Times New Roman" w:hAnsi="Times New Roman" w:cs="Times New Roman"/>
                <w:sz w:val="18"/>
                <w:szCs w:val="18"/>
              </w:rPr>
              <w:t xml:space="preserve"> (FRP metric)</w:t>
            </w:r>
            <w:r w:rsidRPr="0064128D">
              <w:rPr>
                <w:rFonts w:ascii="Times New Roman" w:hAnsi="Times New Roman" w:cs="Times New Roman"/>
                <w:sz w:val="18"/>
                <w:szCs w:val="18"/>
              </w:rPr>
              <w:t xml:space="preserve"> was US$1.6 for Schizophrenia, US$67 for bipolar disorder, US$206 for depression and US$ 1,443 for epilepsy.</w:t>
            </w:r>
          </w:p>
          <w:p w14:paraId="67A00D80" w14:textId="77777777" w:rsidR="0029461E" w:rsidRPr="0064128D" w:rsidRDefault="0029461E" w:rsidP="00623757">
            <w:pPr>
              <w:rPr>
                <w:rFonts w:ascii="Times New Roman" w:hAnsi="Times New Roman" w:cs="Times New Roman"/>
                <w:sz w:val="18"/>
                <w:szCs w:val="18"/>
              </w:rPr>
            </w:pPr>
          </w:p>
          <w:p w14:paraId="20F77421" w14:textId="38C9C250" w:rsidR="0029461E" w:rsidRPr="0064128D" w:rsidRDefault="009944DC" w:rsidP="00623757">
            <w:pPr>
              <w:rPr>
                <w:rFonts w:ascii="Times New Roman" w:hAnsi="Times New Roman" w:cs="Times New Roman"/>
                <w:b/>
                <w:bCs/>
                <w:i/>
                <w:iCs/>
                <w:sz w:val="18"/>
                <w:szCs w:val="18"/>
              </w:rPr>
            </w:pPr>
            <w:r w:rsidRPr="0064128D">
              <w:rPr>
                <w:rFonts w:ascii="Times New Roman" w:hAnsi="Times New Roman" w:cs="Times New Roman"/>
                <w:b/>
                <w:bCs/>
                <w:i/>
                <w:iCs/>
                <w:sz w:val="18"/>
                <w:szCs w:val="18"/>
              </w:rPr>
              <w:t>Equity</w:t>
            </w:r>
            <w:r w:rsidR="0029461E" w:rsidRPr="0064128D">
              <w:rPr>
                <w:rFonts w:ascii="Times New Roman" w:hAnsi="Times New Roman" w:cs="Times New Roman"/>
                <w:b/>
                <w:bCs/>
                <w:i/>
                <w:iCs/>
                <w:sz w:val="18"/>
                <w:szCs w:val="18"/>
              </w:rPr>
              <w:t xml:space="preserve"> or Distributional health consequences</w:t>
            </w:r>
            <w:r w:rsidRPr="0064128D">
              <w:rPr>
                <w:rFonts w:ascii="Times New Roman" w:hAnsi="Times New Roman" w:cs="Times New Roman"/>
                <w:b/>
                <w:bCs/>
                <w:i/>
                <w:iCs/>
                <w:sz w:val="18"/>
                <w:szCs w:val="18"/>
              </w:rPr>
              <w:t xml:space="preserve">: </w:t>
            </w:r>
          </w:p>
          <w:p w14:paraId="3152051B" w14:textId="6D2A5DB1" w:rsidR="009944DC" w:rsidRPr="0064128D" w:rsidRDefault="009944DC" w:rsidP="00623757">
            <w:pPr>
              <w:rPr>
                <w:rFonts w:ascii="Times New Roman" w:hAnsi="Times New Roman" w:cs="Times New Roman"/>
                <w:sz w:val="18"/>
                <w:szCs w:val="18"/>
              </w:rPr>
            </w:pPr>
            <w:r w:rsidRPr="0064128D">
              <w:rPr>
                <w:rFonts w:ascii="Times New Roman" w:hAnsi="Times New Roman" w:cs="Times New Roman"/>
                <w:sz w:val="18"/>
                <w:szCs w:val="18"/>
              </w:rPr>
              <w:t xml:space="preserve">The health </w:t>
            </w:r>
            <w:r w:rsidR="00F757FA" w:rsidRPr="0064128D">
              <w:rPr>
                <w:rFonts w:ascii="Times New Roman" w:hAnsi="Times New Roman" w:cs="Times New Roman"/>
                <w:sz w:val="18"/>
                <w:szCs w:val="18"/>
              </w:rPr>
              <w:t xml:space="preserve">and non-health </w:t>
            </w:r>
            <w:r w:rsidRPr="0064128D">
              <w:rPr>
                <w:rFonts w:ascii="Times New Roman" w:hAnsi="Times New Roman" w:cs="Times New Roman"/>
                <w:sz w:val="18"/>
                <w:szCs w:val="18"/>
              </w:rPr>
              <w:t xml:space="preserve">benefits </w:t>
            </w:r>
            <w:r w:rsidR="00A10122" w:rsidRPr="0064128D">
              <w:rPr>
                <w:rFonts w:ascii="Times New Roman" w:hAnsi="Times New Roman" w:cs="Times New Roman"/>
                <w:sz w:val="18"/>
                <w:szCs w:val="18"/>
              </w:rPr>
              <w:t>favored</w:t>
            </w:r>
            <w:r w:rsidRPr="0064128D">
              <w:rPr>
                <w:rFonts w:ascii="Times New Roman" w:hAnsi="Times New Roman" w:cs="Times New Roman"/>
                <w:sz w:val="18"/>
                <w:szCs w:val="18"/>
              </w:rPr>
              <w:t xml:space="preserve"> the </w:t>
            </w:r>
            <w:r w:rsidR="00F757FA" w:rsidRPr="0064128D">
              <w:rPr>
                <w:rFonts w:ascii="Times New Roman" w:hAnsi="Times New Roman" w:cs="Times New Roman"/>
                <w:sz w:val="18"/>
                <w:szCs w:val="18"/>
              </w:rPr>
              <w:t>richest income quintile</w:t>
            </w:r>
            <w:r w:rsidRPr="0064128D">
              <w:rPr>
                <w:rFonts w:ascii="Times New Roman" w:hAnsi="Times New Roman" w:cs="Times New Roman"/>
                <w:sz w:val="18"/>
                <w:szCs w:val="18"/>
              </w:rPr>
              <w:t xml:space="preserve"> for all interventions</w:t>
            </w:r>
            <w:r w:rsidR="00FB6A8E" w:rsidRPr="0064128D">
              <w:rPr>
                <w:rFonts w:ascii="Times New Roman" w:hAnsi="Times New Roman" w:cs="Times New Roman"/>
                <w:sz w:val="18"/>
                <w:szCs w:val="18"/>
              </w:rPr>
              <w:t xml:space="preserve"> owing to variation of disease prevalence and income levels</w:t>
            </w:r>
            <w:r w:rsidRPr="0064128D">
              <w:rPr>
                <w:rFonts w:ascii="Times New Roman" w:hAnsi="Times New Roman" w:cs="Times New Roman"/>
                <w:sz w:val="18"/>
                <w:szCs w:val="18"/>
              </w:rPr>
              <w:t>.</w:t>
            </w:r>
            <w:r w:rsidR="00D520E7" w:rsidRPr="0064128D">
              <w:rPr>
                <w:rFonts w:ascii="Times New Roman" w:hAnsi="Times New Roman" w:cs="Times New Roman"/>
                <w:sz w:val="18"/>
                <w:szCs w:val="18"/>
              </w:rPr>
              <w:t xml:space="preserve"> </w:t>
            </w:r>
          </w:p>
          <w:p w14:paraId="1A5AF2B2" w14:textId="77777777" w:rsidR="0029461E" w:rsidRPr="0064128D" w:rsidRDefault="003751A7" w:rsidP="00623757">
            <w:pPr>
              <w:rPr>
                <w:rFonts w:ascii="Times New Roman" w:hAnsi="Times New Roman" w:cs="Times New Roman"/>
                <w:sz w:val="18"/>
                <w:szCs w:val="18"/>
              </w:rPr>
            </w:pPr>
            <w:r w:rsidRPr="0064128D">
              <w:rPr>
                <w:rFonts w:ascii="Times New Roman" w:hAnsi="Times New Roman" w:cs="Times New Roman"/>
                <w:i/>
                <w:iCs/>
                <w:sz w:val="18"/>
                <w:szCs w:val="18"/>
              </w:rPr>
              <w:t>HBG</w:t>
            </w:r>
            <w:r w:rsidRPr="0064128D">
              <w:rPr>
                <w:rFonts w:ascii="Times New Roman" w:hAnsi="Times New Roman" w:cs="Times New Roman"/>
                <w:sz w:val="18"/>
                <w:szCs w:val="18"/>
              </w:rPr>
              <w:t>: 17,680 HALYs, 16,390 HALYs, 5,480 HALYs, and 2,420 HALYs for the richest income quintile for Epilepsy, Depression, Bipolar disorder</w:t>
            </w:r>
            <w:r w:rsidR="00075344" w:rsidRPr="0064128D">
              <w:rPr>
                <w:rFonts w:ascii="Times New Roman" w:hAnsi="Times New Roman" w:cs="Times New Roman"/>
                <w:sz w:val="18"/>
                <w:szCs w:val="18"/>
              </w:rPr>
              <w:t>,</w:t>
            </w:r>
            <w:r w:rsidRPr="0064128D">
              <w:rPr>
                <w:rFonts w:ascii="Times New Roman" w:hAnsi="Times New Roman" w:cs="Times New Roman"/>
                <w:sz w:val="18"/>
                <w:szCs w:val="18"/>
              </w:rPr>
              <w:t xml:space="preserve"> and Schizophrenia, respectively. With regards to the poorest income quintile, it was respectively 7,270 HALYs, 8,090 HALYs, 2,640 HALYs, and 1,160 HALYs</w:t>
            </w:r>
            <w:r w:rsidR="00A10122" w:rsidRPr="0064128D">
              <w:rPr>
                <w:rFonts w:ascii="Times New Roman" w:hAnsi="Times New Roman" w:cs="Times New Roman"/>
                <w:sz w:val="18"/>
                <w:szCs w:val="18"/>
              </w:rPr>
              <w:t>.</w:t>
            </w:r>
          </w:p>
          <w:p w14:paraId="1D0902AE" w14:textId="77777777" w:rsidR="00E876F2" w:rsidRPr="0064128D" w:rsidRDefault="00A118BF" w:rsidP="00623757">
            <w:pPr>
              <w:rPr>
                <w:rFonts w:ascii="Times New Roman" w:hAnsi="Times New Roman" w:cs="Times New Roman"/>
                <w:sz w:val="18"/>
                <w:szCs w:val="18"/>
              </w:rPr>
            </w:pPr>
            <w:r w:rsidRPr="0064128D">
              <w:rPr>
                <w:rFonts w:ascii="Times New Roman" w:hAnsi="Times New Roman" w:cs="Times New Roman"/>
                <w:i/>
                <w:iCs/>
                <w:sz w:val="18"/>
                <w:szCs w:val="18"/>
              </w:rPr>
              <w:t>FC (US$’ 000)</w:t>
            </w:r>
            <w:r w:rsidRPr="0064128D">
              <w:rPr>
                <w:rFonts w:ascii="Times New Roman" w:hAnsi="Times New Roman" w:cs="Times New Roman"/>
                <w:sz w:val="18"/>
                <w:szCs w:val="18"/>
              </w:rPr>
              <w:t xml:space="preserve">: With regards to the richest income quintile, OOP averted was </w:t>
            </w:r>
            <w:r w:rsidRPr="0064128D">
              <w:rPr>
                <w:rFonts w:ascii="Times New Roman" w:hAnsi="Times New Roman" w:cs="Times New Roman"/>
                <w:i/>
                <w:iCs/>
                <w:sz w:val="18"/>
                <w:szCs w:val="18"/>
              </w:rPr>
              <w:t>US$</w:t>
            </w:r>
            <w:r w:rsidRPr="0064128D">
              <w:rPr>
                <w:rFonts w:ascii="Times New Roman" w:hAnsi="Times New Roman" w:cs="Times New Roman"/>
                <w:sz w:val="18"/>
                <w:szCs w:val="18"/>
              </w:rPr>
              <w:t xml:space="preserve">149 for Epilepsy, </w:t>
            </w:r>
            <w:r w:rsidRPr="0064128D">
              <w:rPr>
                <w:rFonts w:ascii="Times New Roman" w:hAnsi="Times New Roman" w:cs="Times New Roman"/>
                <w:i/>
                <w:iCs/>
                <w:sz w:val="18"/>
                <w:szCs w:val="18"/>
              </w:rPr>
              <w:t xml:space="preserve">US$ </w:t>
            </w:r>
            <w:r w:rsidRPr="0064128D">
              <w:rPr>
                <w:rFonts w:ascii="Times New Roman" w:hAnsi="Times New Roman" w:cs="Times New Roman"/>
                <w:sz w:val="18"/>
                <w:szCs w:val="18"/>
              </w:rPr>
              <w:t xml:space="preserve">44 for Depression, </w:t>
            </w:r>
            <w:r w:rsidRPr="0064128D">
              <w:rPr>
                <w:rFonts w:ascii="Times New Roman" w:hAnsi="Times New Roman" w:cs="Times New Roman"/>
                <w:i/>
                <w:iCs/>
                <w:sz w:val="18"/>
                <w:szCs w:val="18"/>
              </w:rPr>
              <w:t xml:space="preserve">US$ </w:t>
            </w:r>
            <w:r w:rsidRPr="0064128D">
              <w:rPr>
                <w:rFonts w:ascii="Times New Roman" w:hAnsi="Times New Roman" w:cs="Times New Roman"/>
                <w:sz w:val="18"/>
                <w:szCs w:val="18"/>
              </w:rPr>
              <w:t xml:space="preserve">65 for Bipolar disorder, and </w:t>
            </w:r>
            <w:r w:rsidRPr="0064128D">
              <w:rPr>
                <w:rFonts w:ascii="Times New Roman" w:hAnsi="Times New Roman" w:cs="Times New Roman"/>
                <w:i/>
                <w:iCs/>
                <w:sz w:val="18"/>
                <w:szCs w:val="18"/>
              </w:rPr>
              <w:t xml:space="preserve">US$ </w:t>
            </w:r>
            <w:r w:rsidRPr="0064128D">
              <w:rPr>
                <w:rFonts w:ascii="Times New Roman" w:hAnsi="Times New Roman" w:cs="Times New Roman"/>
                <w:sz w:val="18"/>
                <w:szCs w:val="18"/>
              </w:rPr>
              <w:t xml:space="preserve">22 for </w:t>
            </w:r>
            <w:r w:rsidRPr="0064128D">
              <w:rPr>
                <w:rFonts w:ascii="Times New Roman" w:hAnsi="Times New Roman" w:cs="Times New Roman"/>
                <w:sz w:val="18"/>
                <w:szCs w:val="18"/>
              </w:rPr>
              <w:lastRenderedPageBreak/>
              <w:t xml:space="preserve">Schizophrenia. With regards to the poorest income quintile, it was </w:t>
            </w:r>
            <w:r w:rsidRPr="0064128D">
              <w:rPr>
                <w:rFonts w:ascii="Times New Roman" w:hAnsi="Times New Roman" w:cs="Times New Roman"/>
                <w:i/>
                <w:iCs/>
                <w:sz w:val="18"/>
                <w:szCs w:val="18"/>
              </w:rPr>
              <w:t>US$ 60</w:t>
            </w:r>
            <w:r w:rsidRPr="0064128D">
              <w:rPr>
                <w:rFonts w:ascii="Times New Roman" w:hAnsi="Times New Roman" w:cs="Times New Roman"/>
                <w:sz w:val="18"/>
                <w:szCs w:val="18"/>
              </w:rPr>
              <w:t xml:space="preserve"> for Epilepsy, </w:t>
            </w:r>
            <w:r w:rsidRPr="0064128D">
              <w:rPr>
                <w:rFonts w:ascii="Times New Roman" w:hAnsi="Times New Roman" w:cs="Times New Roman"/>
                <w:i/>
                <w:iCs/>
                <w:sz w:val="18"/>
                <w:szCs w:val="18"/>
              </w:rPr>
              <w:t>US$ 21</w:t>
            </w:r>
            <w:r w:rsidRPr="0064128D">
              <w:rPr>
                <w:rFonts w:ascii="Times New Roman" w:hAnsi="Times New Roman" w:cs="Times New Roman"/>
                <w:sz w:val="18"/>
                <w:szCs w:val="18"/>
              </w:rPr>
              <w:t xml:space="preserve"> for Depression, </w:t>
            </w:r>
            <w:r w:rsidRPr="0064128D">
              <w:rPr>
                <w:rFonts w:ascii="Times New Roman" w:hAnsi="Times New Roman" w:cs="Times New Roman"/>
                <w:i/>
                <w:iCs/>
                <w:sz w:val="18"/>
                <w:szCs w:val="18"/>
              </w:rPr>
              <w:t>US$ 31</w:t>
            </w:r>
            <w:r w:rsidRPr="0064128D">
              <w:rPr>
                <w:rFonts w:ascii="Times New Roman" w:hAnsi="Times New Roman" w:cs="Times New Roman"/>
                <w:sz w:val="18"/>
                <w:szCs w:val="18"/>
              </w:rPr>
              <w:t xml:space="preserve"> for Bipolar disorder, and </w:t>
            </w:r>
            <w:r w:rsidRPr="0064128D">
              <w:rPr>
                <w:rFonts w:ascii="Times New Roman" w:hAnsi="Times New Roman" w:cs="Times New Roman"/>
                <w:i/>
                <w:iCs/>
                <w:sz w:val="18"/>
                <w:szCs w:val="18"/>
              </w:rPr>
              <w:t>US$ 11</w:t>
            </w:r>
            <w:r w:rsidRPr="0064128D">
              <w:rPr>
                <w:rFonts w:ascii="Times New Roman" w:hAnsi="Times New Roman" w:cs="Times New Roman"/>
                <w:sz w:val="18"/>
                <w:szCs w:val="18"/>
              </w:rPr>
              <w:t xml:space="preserve"> for Schizophrenia.</w:t>
            </w:r>
          </w:p>
          <w:p w14:paraId="402997EE" w14:textId="32078638" w:rsidR="00B70104" w:rsidRPr="0064128D" w:rsidRDefault="00B70104" w:rsidP="00623757">
            <w:pPr>
              <w:rPr>
                <w:rFonts w:ascii="Times New Roman" w:hAnsi="Times New Roman" w:cs="Times New Roman"/>
                <w:sz w:val="18"/>
                <w:szCs w:val="18"/>
              </w:rPr>
            </w:pPr>
            <w:r w:rsidRPr="0064128D">
              <w:rPr>
                <w:rFonts w:ascii="Times New Roman" w:hAnsi="Times New Roman" w:cs="Times New Roman"/>
                <w:i/>
                <w:iCs/>
                <w:sz w:val="18"/>
                <w:szCs w:val="18"/>
              </w:rPr>
              <w:t>FRP</w:t>
            </w:r>
            <w:r w:rsidRPr="0064128D">
              <w:rPr>
                <w:rFonts w:ascii="Times New Roman" w:hAnsi="Times New Roman" w:cs="Times New Roman"/>
                <w:sz w:val="18"/>
                <w:szCs w:val="18"/>
              </w:rPr>
              <w:t xml:space="preserve">: With regards to the richest income quintile, the insurance value (FRP metric) was </w:t>
            </w:r>
            <w:r w:rsidRPr="0064128D">
              <w:rPr>
                <w:rFonts w:ascii="Times New Roman" w:hAnsi="Times New Roman" w:cs="Times New Roman"/>
                <w:i/>
                <w:iCs/>
                <w:sz w:val="18"/>
                <w:szCs w:val="18"/>
              </w:rPr>
              <w:t>US$</w:t>
            </w:r>
            <w:r w:rsidRPr="0064128D">
              <w:rPr>
                <w:rFonts w:ascii="Times New Roman" w:hAnsi="Times New Roman" w:cs="Times New Roman"/>
                <w:sz w:val="18"/>
                <w:szCs w:val="18"/>
              </w:rPr>
              <w:t xml:space="preserve">835 for Epilepsy, </w:t>
            </w:r>
            <w:r w:rsidRPr="0064128D">
              <w:rPr>
                <w:rFonts w:ascii="Times New Roman" w:hAnsi="Times New Roman" w:cs="Times New Roman"/>
                <w:i/>
                <w:iCs/>
                <w:sz w:val="18"/>
                <w:szCs w:val="18"/>
              </w:rPr>
              <w:t xml:space="preserve">US$ </w:t>
            </w:r>
            <w:r w:rsidRPr="0064128D">
              <w:rPr>
                <w:rFonts w:ascii="Times New Roman" w:hAnsi="Times New Roman" w:cs="Times New Roman"/>
                <w:sz w:val="18"/>
                <w:szCs w:val="18"/>
              </w:rPr>
              <w:t xml:space="preserve">113 for Depression, </w:t>
            </w:r>
            <w:r w:rsidRPr="0064128D">
              <w:rPr>
                <w:rFonts w:ascii="Times New Roman" w:hAnsi="Times New Roman" w:cs="Times New Roman"/>
                <w:i/>
                <w:iCs/>
                <w:sz w:val="18"/>
                <w:szCs w:val="18"/>
              </w:rPr>
              <w:t xml:space="preserve">US$ </w:t>
            </w:r>
            <w:r w:rsidRPr="0064128D">
              <w:rPr>
                <w:rFonts w:ascii="Times New Roman" w:hAnsi="Times New Roman" w:cs="Times New Roman"/>
                <w:sz w:val="18"/>
                <w:szCs w:val="18"/>
              </w:rPr>
              <w:t xml:space="preserve">38 for Bipolar disorder, and </w:t>
            </w:r>
            <w:r w:rsidRPr="0064128D">
              <w:rPr>
                <w:rFonts w:ascii="Times New Roman" w:hAnsi="Times New Roman" w:cs="Times New Roman"/>
                <w:i/>
                <w:iCs/>
                <w:sz w:val="18"/>
                <w:szCs w:val="18"/>
              </w:rPr>
              <w:t xml:space="preserve">US$ </w:t>
            </w:r>
            <w:r w:rsidRPr="0064128D">
              <w:rPr>
                <w:rFonts w:ascii="Times New Roman" w:hAnsi="Times New Roman" w:cs="Times New Roman"/>
                <w:sz w:val="18"/>
                <w:szCs w:val="18"/>
              </w:rPr>
              <w:t xml:space="preserve">0.9 for Schizophrenia. With regards to the poorest income quintile, it was </w:t>
            </w:r>
            <w:r w:rsidRPr="0064128D">
              <w:rPr>
                <w:rFonts w:ascii="Times New Roman" w:hAnsi="Times New Roman" w:cs="Times New Roman"/>
                <w:i/>
                <w:iCs/>
                <w:sz w:val="18"/>
                <w:szCs w:val="18"/>
              </w:rPr>
              <w:t>US$ 42</w:t>
            </w:r>
            <w:r w:rsidRPr="0064128D">
              <w:rPr>
                <w:rFonts w:ascii="Times New Roman" w:hAnsi="Times New Roman" w:cs="Times New Roman"/>
                <w:sz w:val="18"/>
                <w:szCs w:val="18"/>
              </w:rPr>
              <w:t xml:space="preserve"> for Epilepsy, </w:t>
            </w:r>
            <w:r w:rsidRPr="0064128D">
              <w:rPr>
                <w:rFonts w:ascii="Times New Roman" w:hAnsi="Times New Roman" w:cs="Times New Roman"/>
                <w:i/>
                <w:iCs/>
                <w:sz w:val="18"/>
                <w:szCs w:val="18"/>
              </w:rPr>
              <w:t>US$ 9</w:t>
            </w:r>
            <w:r w:rsidRPr="0064128D">
              <w:rPr>
                <w:rFonts w:ascii="Times New Roman" w:hAnsi="Times New Roman" w:cs="Times New Roman"/>
                <w:sz w:val="18"/>
                <w:szCs w:val="18"/>
              </w:rPr>
              <w:t xml:space="preserve"> for Depression, </w:t>
            </w:r>
            <w:r w:rsidRPr="0064128D">
              <w:rPr>
                <w:rFonts w:ascii="Times New Roman" w:hAnsi="Times New Roman" w:cs="Times New Roman"/>
                <w:i/>
                <w:iCs/>
                <w:sz w:val="18"/>
                <w:szCs w:val="18"/>
              </w:rPr>
              <w:t>US$ 3</w:t>
            </w:r>
            <w:r w:rsidRPr="0064128D">
              <w:rPr>
                <w:rFonts w:ascii="Times New Roman" w:hAnsi="Times New Roman" w:cs="Times New Roman"/>
                <w:sz w:val="18"/>
                <w:szCs w:val="18"/>
              </w:rPr>
              <w:t xml:space="preserve"> for Bipolar disorder, and </w:t>
            </w:r>
            <w:r w:rsidRPr="0064128D">
              <w:rPr>
                <w:rFonts w:ascii="Times New Roman" w:hAnsi="Times New Roman" w:cs="Times New Roman"/>
                <w:i/>
                <w:iCs/>
                <w:sz w:val="18"/>
                <w:szCs w:val="18"/>
              </w:rPr>
              <w:t>US$ 0.1</w:t>
            </w:r>
            <w:r w:rsidRPr="0064128D">
              <w:rPr>
                <w:rFonts w:ascii="Times New Roman" w:hAnsi="Times New Roman" w:cs="Times New Roman"/>
                <w:sz w:val="18"/>
                <w:szCs w:val="18"/>
              </w:rPr>
              <w:t xml:space="preserve"> for Schizophrenia.</w:t>
            </w:r>
          </w:p>
        </w:tc>
      </w:tr>
      <w:tr w:rsidR="0064128D" w:rsidRPr="0064128D" w14:paraId="7881C375" w14:textId="77777777" w:rsidTr="00C718F8">
        <w:tc>
          <w:tcPr>
            <w:tcW w:w="540" w:type="dxa"/>
          </w:tcPr>
          <w:p w14:paraId="3B1C2B2A" w14:textId="655DB3A0" w:rsidR="00464DB7" w:rsidRPr="0064128D" w:rsidRDefault="009B108F" w:rsidP="0027259C">
            <w:pPr>
              <w:rPr>
                <w:rFonts w:ascii="Times New Roman" w:hAnsi="Times New Roman" w:cs="Times New Roman"/>
                <w:sz w:val="18"/>
                <w:szCs w:val="18"/>
              </w:rPr>
            </w:pPr>
            <w:r w:rsidRPr="0064128D">
              <w:rPr>
                <w:rFonts w:ascii="Times New Roman" w:hAnsi="Times New Roman" w:cs="Times New Roman"/>
                <w:sz w:val="18"/>
                <w:szCs w:val="18"/>
              </w:rPr>
              <w:t>9</w:t>
            </w:r>
          </w:p>
        </w:tc>
        <w:tc>
          <w:tcPr>
            <w:tcW w:w="1260" w:type="dxa"/>
          </w:tcPr>
          <w:p w14:paraId="4A957581" w14:textId="685FB7D4"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fldChar w:fldCharType="begin" w:fldLock="1"/>
            </w:r>
            <w:r w:rsidRPr="0064128D">
              <w:rPr>
                <w:rFonts w:ascii="Times New Roman" w:hAnsi="Times New Roman" w:cs="Times New Roman"/>
                <w:sz w:val="18"/>
                <w:szCs w:val="18"/>
              </w:rPr>
              <w:instrText>ADDIN CSL_CITATION {"citationItems":[{"id":"ITEM-1","itemData":{"DOI":"10.1111/tmi.12766","ISSN":"13653156","PMID":"27503549","abstract":"Objectives: To evaluate rotavirus vaccination in Malaysia from the household's perspective. The extended cost-effectiveness analysis (ECEA) framework quantifies the broader value of universal vaccination starting with non-health benefits such as financial risk protection and equity. These dimensions better enable decision-makers to evaluate policy on the public finance of health programmes. Methods: The incidence, health service utilisation and household expenditure related to rotavirus gastroenteritis according to national income quintiles were obtained from local data sources. Multiple birth cohorts were distributed into income quintiles and followed from birth over the first five years of life in a multicohort, static model. Results: We found that the rich pay more out of pocket (OOP) than the poor, as the rich use more expensive private care. OOP payments among the poorest although small are high as a proportion of household income. Rotavirus vaccination results in substantial reduction in rotavirus episodes and expenditure and provides financial risk protection to all income groups. Poverty reduction benefits are concentrated amongst the poorest two income quintiles. Conclusion: We propose that universal vaccination complements health financing reforms in strengthening Universal Health Coverage (UHC). ECEA provides an important tool to understand the implications of vaccination for UHC, beyond traditional considerations of economic efficiency.","author":[{"dropping-particle":"","family":"Loganathan","given":"Tharani","non-dropping-particle":"","parse-names":false,"suffix":""},{"dropping-particle":"","family":"Jit","given":"Mark","non-dropping-particle":"","parse-names":false,"suffix":""},{"dropping-particle":"","family":"Hutubessy","given":"Raymond","non-dropping-particle":"","parse-names":false,"suffix":""},{"dropping-particle":"","family":"Ng","given":"Chiu Wan","non-dropping-particle":"","parse-names":false,"suffix":""},{"dropping-particle":"","family":"Lee","given":"Way Seah","non-dropping-particle":"","parse-names":false,"suffix":""},{"dropping-particle":"","family":"Verguet","given":"Stéphane","non-dropping-particle":"","parse-names":false,"suffix":""}],"container-title":"Tropical Medicine and International Health","id":"ITEM-1","issue":"11","issued":{"date-parts":[["2016"]]},"page":"1458-1467","title":"Rotavirus vaccines contribute towards universal health coverage in a mixed public–private healthcare system","type":"article-journal","volume":"21"},"uris":["http://www.mendeley.com/documents/?uuid=017a43df-9533-40cc-8d79-a2d4903d1cc9"]}],"mendeley":{"formattedCitation":"(Loganathan et al., 2016)","manualFormatting":"Loganathan et al. (2016)","plainTextFormattedCitation":"(Loganathan et al., 2016)","previouslyFormattedCitation":"(Loganathan et al., 2016)"},"properties":{"noteIndex":0},"schema":"https://github.com/citation-style-language/schema/raw/master/csl-citation.json"}</w:instrText>
            </w:r>
            <w:r w:rsidRPr="0064128D">
              <w:rPr>
                <w:rFonts w:ascii="Times New Roman" w:hAnsi="Times New Roman" w:cs="Times New Roman"/>
                <w:sz w:val="18"/>
                <w:szCs w:val="18"/>
              </w:rPr>
              <w:fldChar w:fldCharType="separate"/>
            </w:r>
            <w:r w:rsidRPr="0064128D">
              <w:rPr>
                <w:rFonts w:ascii="Times New Roman" w:hAnsi="Times New Roman" w:cs="Times New Roman"/>
                <w:noProof/>
                <w:sz w:val="18"/>
                <w:szCs w:val="18"/>
              </w:rPr>
              <w:t>Loganathan et al. (2016)</w:t>
            </w:r>
            <w:r w:rsidRPr="0064128D">
              <w:rPr>
                <w:rFonts w:ascii="Times New Roman" w:hAnsi="Times New Roman" w:cs="Times New Roman"/>
                <w:sz w:val="18"/>
                <w:szCs w:val="18"/>
              </w:rPr>
              <w:fldChar w:fldCharType="end"/>
            </w:r>
            <w:r w:rsidRPr="0064128D">
              <w:rPr>
                <w:rFonts w:ascii="Times New Roman" w:hAnsi="Times New Roman" w:cs="Times New Roman"/>
                <w:sz w:val="18"/>
                <w:szCs w:val="18"/>
              </w:rPr>
              <w:t xml:space="preserve">, </w:t>
            </w:r>
          </w:p>
          <w:p w14:paraId="0A372AF1" w14:textId="1817228F"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Malaysia</w:t>
            </w:r>
          </w:p>
        </w:tc>
        <w:tc>
          <w:tcPr>
            <w:tcW w:w="3240" w:type="dxa"/>
          </w:tcPr>
          <w:p w14:paraId="4556A819" w14:textId="496B146B"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Evaluated the non-health benefits and</w:t>
            </w:r>
            <w:r w:rsidR="00A6127B" w:rsidRPr="0064128D">
              <w:rPr>
                <w:rFonts w:ascii="Times New Roman" w:hAnsi="Times New Roman" w:cs="Times New Roman"/>
                <w:sz w:val="18"/>
                <w:szCs w:val="18"/>
              </w:rPr>
              <w:t xml:space="preserve"> health impacts of </w:t>
            </w:r>
            <w:r w:rsidRPr="0064128D">
              <w:rPr>
                <w:rFonts w:ascii="Times New Roman" w:hAnsi="Times New Roman" w:cs="Times New Roman"/>
                <w:sz w:val="18"/>
                <w:szCs w:val="18"/>
              </w:rPr>
              <w:t>rotavirus gastroenteritis vaccination in Malaysia.</w:t>
            </w:r>
          </w:p>
          <w:p w14:paraId="2BFB3639" w14:textId="2BA58AA1" w:rsidR="00FD1899" w:rsidRPr="0064128D" w:rsidRDefault="00080DC9" w:rsidP="0027259C">
            <w:pPr>
              <w:rPr>
                <w:rFonts w:ascii="Times New Roman" w:hAnsi="Times New Roman" w:cs="Times New Roman"/>
                <w:sz w:val="18"/>
                <w:szCs w:val="18"/>
              </w:rPr>
            </w:pPr>
            <w:r w:rsidRPr="0064128D">
              <w:rPr>
                <w:rFonts w:ascii="Times New Roman" w:hAnsi="Times New Roman" w:cs="Times New Roman"/>
                <w:b/>
                <w:bCs/>
                <w:sz w:val="18"/>
                <w:szCs w:val="18"/>
              </w:rPr>
              <w:t>Status quo</w:t>
            </w:r>
            <w:r w:rsidR="00E53106" w:rsidRPr="0064128D">
              <w:rPr>
                <w:rFonts w:ascii="Times New Roman" w:hAnsi="Times New Roman" w:cs="Times New Roman"/>
                <w:sz w:val="18"/>
                <w:szCs w:val="18"/>
              </w:rPr>
              <w:t>: No vaccination</w:t>
            </w:r>
          </w:p>
          <w:p w14:paraId="27651D8B" w14:textId="77777777" w:rsidR="00E53106" w:rsidRPr="0064128D" w:rsidRDefault="00E53106" w:rsidP="0027259C">
            <w:pPr>
              <w:rPr>
                <w:rFonts w:ascii="Times New Roman" w:hAnsi="Times New Roman" w:cs="Times New Roman"/>
                <w:sz w:val="18"/>
                <w:szCs w:val="18"/>
              </w:rPr>
            </w:pPr>
          </w:p>
          <w:p w14:paraId="6453EF23" w14:textId="47524F7F" w:rsidR="00FD1899" w:rsidRPr="0064128D" w:rsidRDefault="00FD1899" w:rsidP="0027259C">
            <w:pPr>
              <w:rPr>
                <w:rFonts w:ascii="Times New Roman" w:hAnsi="Times New Roman" w:cs="Times New Roman"/>
                <w:sz w:val="18"/>
                <w:szCs w:val="18"/>
              </w:rPr>
            </w:pPr>
            <w:r w:rsidRPr="0064128D">
              <w:rPr>
                <w:rFonts w:ascii="Times New Roman" w:hAnsi="Times New Roman" w:cs="Times New Roman"/>
                <w:b/>
                <w:bCs/>
                <w:sz w:val="18"/>
                <w:szCs w:val="18"/>
                <w:u w:val="single"/>
              </w:rPr>
              <w:t>Intervention</w:t>
            </w:r>
            <w:r w:rsidRPr="0064128D">
              <w:rPr>
                <w:rFonts w:ascii="Times New Roman" w:hAnsi="Times New Roman" w:cs="Times New Roman"/>
                <w:sz w:val="18"/>
                <w:szCs w:val="18"/>
              </w:rPr>
              <w:t>:</w:t>
            </w:r>
          </w:p>
          <w:p w14:paraId="3BC09AD2" w14:textId="2102062D" w:rsidR="00FD1899" w:rsidRPr="0064128D" w:rsidRDefault="00FD1899" w:rsidP="0027259C">
            <w:pPr>
              <w:rPr>
                <w:rFonts w:ascii="Times New Roman" w:hAnsi="Times New Roman" w:cs="Times New Roman"/>
                <w:sz w:val="18"/>
                <w:szCs w:val="18"/>
              </w:rPr>
            </w:pPr>
            <w:r w:rsidRPr="0064128D">
              <w:rPr>
                <w:rFonts w:ascii="Times New Roman" w:hAnsi="Times New Roman" w:cs="Times New Roman"/>
                <w:sz w:val="18"/>
                <w:szCs w:val="18"/>
              </w:rPr>
              <w:t>97% coverage</w:t>
            </w:r>
            <w:r w:rsidR="00A06F6A" w:rsidRPr="0064128D">
              <w:rPr>
                <w:rFonts w:ascii="Times New Roman" w:hAnsi="Times New Roman" w:cs="Times New Roman"/>
                <w:sz w:val="18"/>
                <w:szCs w:val="18"/>
              </w:rPr>
              <w:t xml:space="preserve"> of the vaccination.</w:t>
            </w:r>
          </w:p>
          <w:p w14:paraId="73C8DA64" w14:textId="77777777" w:rsidR="00F8018C" w:rsidRPr="0064128D" w:rsidRDefault="00F8018C" w:rsidP="0027259C">
            <w:pPr>
              <w:rPr>
                <w:rFonts w:ascii="Times New Roman" w:hAnsi="Times New Roman" w:cs="Times New Roman"/>
                <w:sz w:val="18"/>
                <w:szCs w:val="18"/>
              </w:rPr>
            </w:pPr>
          </w:p>
          <w:p w14:paraId="4E75787C" w14:textId="6063E658" w:rsidR="00233433" w:rsidRPr="0064128D" w:rsidRDefault="00233433" w:rsidP="0027259C">
            <w:pPr>
              <w:rPr>
                <w:rFonts w:ascii="Times New Roman" w:hAnsi="Times New Roman" w:cs="Times New Roman"/>
                <w:sz w:val="18"/>
                <w:szCs w:val="18"/>
              </w:rPr>
            </w:pPr>
            <w:r w:rsidRPr="0064128D">
              <w:rPr>
                <w:rFonts w:ascii="Times New Roman" w:hAnsi="Times New Roman" w:cs="Times New Roman"/>
                <w:sz w:val="18"/>
                <w:szCs w:val="18"/>
              </w:rPr>
              <w:t>It was a UPF program.</w:t>
            </w:r>
          </w:p>
        </w:tc>
        <w:tc>
          <w:tcPr>
            <w:tcW w:w="2936" w:type="dxa"/>
          </w:tcPr>
          <w:p w14:paraId="6AB48F81" w14:textId="6EA0E02F"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 xml:space="preserve">Conducted </w:t>
            </w:r>
            <w:r w:rsidR="00565C75" w:rsidRPr="0064128D">
              <w:rPr>
                <w:rFonts w:ascii="Times New Roman" w:hAnsi="Times New Roman" w:cs="Times New Roman"/>
                <w:sz w:val="18"/>
                <w:szCs w:val="18"/>
              </w:rPr>
              <w:t>ECEA to estimate the HBG, FC, Equity and FRP</w:t>
            </w:r>
            <w:r w:rsidRPr="0064128D">
              <w:rPr>
                <w:rFonts w:ascii="Times New Roman" w:hAnsi="Times New Roman" w:cs="Times New Roman"/>
                <w:sz w:val="18"/>
                <w:szCs w:val="18"/>
              </w:rPr>
              <w:t>.</w:t>
            </w:r>
          </w:p>
          <w:p w14:paraId="2CC559AB" w14:textId="5C119DE9" w:rsidR="006466B8" w:rsidRPr="0064128D" w:rsidRDefault="006466B8" w:rsidP="0027259C">
            <w:pPr>
              <w:rPr>
                <w:rFonts w:ascii="Times New Roman" w:hAnsi="Times New Roman" w:cs="Times New Roman"/>
                <w:sz w:val="18"/>
                <w:szCs w:val="18"/>
              </w:rPr>
            </w:pPr>
            <w:r w:rsidRPr="0064128D">
              <w:rPr>
                <w:rFonts w:ascii="Times New Roman" w:hAnsi="Times New Roman" w:cs="Times New Roman"/>
                <w:sz w:val="18"/>
                <w:szCs w:val="18"/>
              </w:rPr>
              <w:t>Data was collected from empirical literature.</w:t>
            </w:r>
          </w:p>
          <w:p w14:paraId="7BB86FFC" w14:textId="6A7E9BB6" w:rsidR="00220E09" w:rsidRPr="0064128D" w:rsidRDefault="00220E09" w:rsidP="0027259C">
            <w:pPr>
              <w:rPr>
                <w:rFonts w:ascii="Times New Roman" w:hAnsi="Times New Roman" w:cs="Times New Roman"/>
                <w:sz w:val="18"/>
                <w:szCs w:val="18"/>
              </w:rPr>
            </w:pPr>
            <w:r w:rsidRPr="0064128D">
              <w:rPr>
                <w:rFonts w:ascii="Times New Roman" w:hAnsi="Times New Roman" w:cs="Times New Roman"/>
                <w:sz w:val="18"/>
                <w:szCs w:val="18"/>
              </w:rPr>
              <w:t>They took the household perspective</w:t>
            </w:r>
            <w:r w:rsidR="00651778" w:rsidRPr="0064128D">
              <w:rPr>
                <w:rFonts w:ascii="Times New Roman" w:hAnsi="Times New Roman" w:cs="Times New Roman"/>
                <w:sz w:val="18"/>
                <w:szCs w:val="18"/>
              </w:rPr>
              <w:t xml:space="preserve"> in estimating costs</w:t>
            </w:r>
            <w:r w:rsidRPr="0064128D">
              <w:rPr>
                <w:rFonts w:ascii="Times New Roman" w:hAnsi="Times New Roman" w:cs="Times New Roman"/>
                <w:sz w:val="18"/>
                <w:szCs w:val="18"/>
              </w:rPr>
              <w:t>.</w:t>
            </w:r>
          </w:p>
        </w:tc>
        <w:tc>
          <w:tcPr>
            <w:tcW w:w="6964" w:type="dxa"/>
          </w:tcPr>
          <w:p w14:paraId="6BA2B5A0" w14:textId="29AE07A9" w:rsidR="00464DB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HBG</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The Rotavirus vaccination resulted in huge reduction in rotavirus </w:t>
            </w:r>
            <w:r w:rsidR="003F3DC5" w:rsidRPr="0064128D">
              <w:rPr>
                <w:rFonts w:ascii="Times New Roman" w:hAnsi="Times New Roman" w:cs="Times New Roman"/>
                <w:sz w:val="18"/>
                <w:szCs w:val="18"/>
              </w:rPr>
              <w:t xml:space="preserve">gastroenteritis </w:t>
            </w:r>
            <w:r w:rsidR="00464DB7" w:rsidRPr="0064128D">
              <w:rPr>
                <w:rFonts w:ascii="Times New Roman" w:hAnsi="Times New Roman" w:cs="Times New Roman"/>
                <w:sz w:val="18"/>
                <w:szCs w:val="18"/>
              </w:rPr>
              <w:t>episodes.</w:t>
            </w:r>
            <w:r w:rsidR="00E53106" w:rsidRPr="0064128D">
              <w:rPr>
                <w:rFonts w:ascii="Times New Roman" w:hAnsi="Times New Roman" w:cs="Times New Roman"/>
                <w:sz w:val="18"/>
                <w:szCs w:val="18"/>
              </w:rPr>
              <w:t xml:space="preserve"> </w:t>
            </w:r>
          </w:p>
          <w:p w14:paraId="01F5C7CB" w14:textId="579C7E81" w:rsidR="00464DB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FC</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w:t>
            </w:r>
            <w:r w:rsidR="005C1623" w:rsidRPr="0064128D">
              <w:rPr>
                <w:rFonts w:ascii="Times New Roman" w:hAnsi="Times New Roman" w:cs="Times New Roman"/>
                <w:sz w:val="18"/>
                <w:szCs w:val="18"/>
              </w:rPr>
              <w:t>A</w:t>
            </w:r>
            <w:r w:rsidR="00464DB7" w:rsidRPr="0064128D">
              <w:rPr>
                <w:rFonts w:ascii="Times New Roman" w:hAnsi="Times New Roman" w:cs="Times New Roman"/>
                <w:sz w:val="18"/>
                <w:szCs w:val="18"/>
              </w:rPr>
              <w:t xml:space="preserve">bout US$ 6 million savings to households seeking care for rotavirus </w:t>
            </w:r>
            <w:r w:rsidR="003F3DC5" w:rsidRPr="0064128D">
              <w:rPr>
                <w:rFonts w:ascii="Times New Roman" w:hAnsi="Times New Roman" w:cs="Times New Roman"/>
                <w:sz w:val="18"/>
                <w:szCs w:val="18"/>
              </w:rPr>
              <w:t xml:space="preserve">gastroenteritis </w:t>
            </w:r>
            <w:r w:rsidR="00464DB7" w:rsidRPr="0064128D">
              <w:rPr>
                <w:rFonts w:ascii="Times New Roman" w:hAnsi="Times New Roman" w:cs="Times New Roman"/>
                <w:sz w:val="18"/>
                <w:szCs w:val="18"/>
              </w:rPr>
              <w:t>episodes annually.</w:t>
            </w:r>
          </w:p>
          <w:p w14:paraId="6472D5CC" w14:textId="1A1949B0" w:rsidR="00464DB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FRP</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All income groups experienced catastrophic expenditure from rotavirus-related expenditure with 16% and 7% of the poorest experiencing catastrophic payments and impoverishment respectively. About 43% of the richest quintile spent more than 10% of household income on illness-related expenditure but were not impoverished.</w:t>
            </w:r>
          </w:p>
          <w:p w14:paraId="6DAD1AA5" w14:textId="02425A03" w:rsidR="00464DB7" w:rsidRPr="0064128D" w:rsidRDefault="00D82C07" w:rsidP="0027259C">
            <w:pPr>
              <w:rPr>
                <w:rFonts w:ascii="Times New Roman" w:hAnsi="Times New Roman" w:cs="Times New Roman"/>
                <w:sz w:val="18"/>
                <w:szCs w:val="18"/>
              </w:rPr>
            </w:pPr>
            <w:r w:rsidRPr="0064128D">
              <w:rPr>
                <w:rFonts w:ascii="Times New Roman" w:hAnsi="Times New Roman" w:cs="Times New Roman"/>
                <w:b/>
                <w:bCs/>
                <w:i/>
                <w:iCs/>
                <w:sz w:val="18"/>
                <w:szCs w:val="18"/>
              </w:rPr>
              <w:t>Equity</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Found that the richest spend more (US$ 277) on rotavirus-related direct costs relative to all income groups especially the poorest (US$ 24). Meanwhile, the poorest pay (8%) about as much as the richest (11%) as a proportion of monthly income.</w:t>
            </w:r>
            <w:r w:rsidR="005D7C93" w:rsidRPr="0064128D">
              <w:rPr>
                <w:rFonts w:ascii="Times New Roman" w:hAnsi="Times New Roman" w:cs="Times New Roman"/>
                <w:sz w:val="18"/>
                <w:szCs w:val="18"/>
              </w:rPr>
              <w:t xml:space="preserve"> Rotavirus </w:t>
            </w:r>
            <w:r w:rsidR="003F3DC5" w:rsidRPr="0064128D">
              <w:rPr>
                <w:rFonts w:ascii="Times New Roman" w:hAnsi="Times New Roman" w:cs="Times New Roman"/>
                <w:sz w:val="18"/>
                <w:szCs w:val="18"/>
              </w:rPr>
              <w:t>gastroenteritis</w:t>
            </w:r>
            <w:r w:rsidR="003F3DC5">
              <w:rPr>
                <w:rFonts w:ascii="Times New Roman" w:hAnsi="Times New Roman" w:cs="Times New Roman"/>
                <w:sz w:val="18"/>
                <w:szCs w:val="18"/>
              </w:rPr>
              <w:t xml:space="preserve"> </w:t>
            </w:r>
            <w:r w:rsidR="005D7C93" w:rsidRPr="0064128D">
              <w:rPr>
                <w:rFonts w:ascii="Times New Roman" w:hAnsi="Times New Roman" w:cs="Times New Roman"/>
                <w:sz w:val="18"/>
                <w:szCs w:val="18"/>
              </w:rPr>
              <w:t>episodes averted by the vaccination was 3,500 for both the poorest and richest income group</w:t>
            </w:r>
            <w:r w:rsidR="00545163" w:rsidRPr="0064128D">
              <w:rPr>
                <w:rFonts w:ascii="Times New Roman" w:hAnsi="Times New Roman" w:cs="Times New Roman"/>
                <w:sz w:val="18"/>
                <w:szCs w:val="18"/>
              </w:rPr>
              <w:t xml:space="preserve">. </w:t>
            </w:r>
            <w:r w:rsidR="004A7B9F" w:rsidRPr="0064128D">
              <w:rPr>
                <w:rFonts w:ascii="Times New Roman" w:hAnsi="Times New Roman" w:cs="Times New Roman"/>
                <w:sz w:val="18"/>
                <w:szCs w:val="18"/>
              </w:rPr>
              <w:t xml:space="preserve">OOP direct costs averted </w:t>
            </w:r>
            <w:r w:rsidR="00B51B7E" w:rsidRPr="0064128D">
              <w:rPr>
                <w:rFonts w:ascii="Times New Roman" w:hAnsi="Times New Roman" w:cs="Times New Roman"/>
                <w:sz w:val="18"/>
                <w:szCs w:val="18"/>
              </w:rPr>
              <w:t xml:space="preserve">by the vaccination </w:t>
            </w:r>
            <w:r w:rsidR="004A7B9F" w:rsidRPr="0064128D">
              <w:rPr>
                <w:rFonts w:ascii="Times New Roman" w:hAnsi="Times New Roman" w:cs="Times New Roman"/>
                <w:sz w:val="18"/>
                <w:szCs w:val="18"/>
              </w:rPr>
              <w:t>was US$60,000 to the poorest income group and US$640,000 for the richest income group.</w:t>
            </w:r>
            <w:r w:rsidR="00B51B7E" w:rsidRPr="0064128D">
              <w:rPr>
                <w:rFonts w:ascii="Times New Roman" w:hAnsi="Times New Roman" w:cs="Times New Roman"/>
                <w:sz w:val="18"/>
                <w:szCs w:val="18"/>
              </w:rPr>
              <w:t xml:space="preserve"> CHE and impoverishment averted by the vaccination was 2.8% and 1.2% for the poorest income group and 7.1% and zero percent for the richest income group.</w:t>
            </w:r>
          </w:p>
        </w:tc>
      </w:tr>
      <w:tr w:rsidR="0064128D" w:rsidRPr="0064128D" w14:paraId="6F525469" w14:textId="77777777" w:rsidTr="00C718F8">
        <w:tc>
          <w:tcPr>
            <w:tcW w:w="540" w:type="dxa"/>
          </w:tcPr>
          <w:p w14:paraId="10EA1592" w14:textId="54758249" w:rsidR="00464DB7" w:rsidRPr="0064128D" w:rsidRDefault="009B108F" w:rsidP="0027259C">
            <w:pPr>
              <w:rPr>
                <w:rFonts w:ascii="Times New Roman" w:hAnsi="Times New Roman" w:cs="Times New Roman"/>
                <w:sz w:val="18"/>
                <w:szCs w:val="18"/>
              </w:rPr>
            </w:pPr>
            <w:r w:rsidRPr="0064128D">
              <w:rPr>
                <w:rFonts w:ascii="Times New Roman" w:hAnsi="Times New Roman" w:cs="Times New Roman"/>
                <w:sz w:val="18"/>
                <w:szCs w:val="18"/>
              </w:rPr>
              <w:t>10</w:t>
            </w:r>
          </w:p>
        </w:tc>
        <w:tc>
          <w:tcPr>
            <w:tcW w:w="1260" w:type="dxa"/>
          </w:tcPr>
          <w:p w14:paraId="679388CD" w14:textId="42B0BA5B"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fldChar w:fldCharType="begin" w:fldLock="1"/>
            </w:r>
            <w:r w:rsidRPr="0064128D">
              <w:rPr>
                <w:rFonts w:ascii="Times New Roman" w:hAnsi="Times New Roman" w:cs="Times New Roman"/>
                <w:sz w:val="18"/>
                <w:szCs w:val="18"/>
              </w:rPr>
              <w:instrText>ADDIN CSL_CITATION {"citationItems":[{"id":"ITEM-1","itemData":{"DOI":"10.1111/epi.13294","ISSN":"15281167","PMID":"26765291","abstract":"Summary Objective An estimated 6-10 million people in India live with active epilepsy, and less than half are treated. We analyze the health and economic benefits of three scenarios of publicly financed national epilepsy programs that provide: (1) first-line antiepilepsy drugs (AEDs), (2) first- and second-line AEDs, and (3) first- and second-line AEDs and surgery. Methods We model the prevalence and distribution of epilepsy in India using IndiaSim, an agent-based, simulation model of the Indian population. Agents in the model are disease-free or in one of three disease states: untreated with seizures, treated with seizures, and treated without seizures. Outcome measures include the proportion of the population that has epilepsy and is untreated, disability-adjusted life years (DALYs) averted, and cost per DALY averted. Economic benefit measures estimated include out-of-pocket (OOP) expenditure averted and money-metric value of insurance. Results All three scenarios represent a cost-effective use of resources and would avert 800,000-1 million DALYs per year in India relative to the current scenario. However, especially in poor regions and populations, scenario 1 (which publicly finances only first-line therapy) does not decrease the OOP expenditure or provide financial risk protection if we include care-seeking costs. The OOP expenditure averted increases from scenarios 1 through 3, and the money-metric value of insurance follows a similar trend between scenarios and typically decreases with wealth. In the first 10 years of scenarios 2 and 3, households avert on average over US$80 million per year in medical expenditure. Significance Expanding and publicly financing epilepsy treatment in India averts substantial disease burden. A universal public finance policy that covers only first-line AEDs may not provide significant financial risk protection. Covering costs for both first- and second-line therapy and other medical costs alleviates the financial burden from epilepsy and is cost-effective across wealth quintiles and in all Indian states.","author":[{"dropping-particle":"","family":"Megiddo","given":"Itamar","non-dropping-particle":"","parse-names":false,"suffix":""},{"dropping-particle":"","family":"Colson","given":"Abigail","non-dropping-particle":"","parse-names":false,"suffix":""},{"dropping-particle":"","family":"Chisholm","given":"Dan","non-dropping-particle":"","parse-names":false,"suffix":""},{"dropping-particle":"","family":"Dua","given":"Tarun","non-dropping-particle":"","parse-names":false,"suffix":""},{"dropping-particle":"","family":"Nandi","given":"Arindam","non-dropping-particle":"","parse-names":false,"suffix":""},{"dropping-particle":"","family":"Laxminarayan","given":"Ramanan","non-dropping-particle":"","parse-names":false,"suffix":""}],"container-title":"Epilepsia","id":"ITEM-1","issue":"3","issued":{"date-parts":[["2016"]]},"page":"464-474","title":"Health and economic benefits of public financing of epilepsy treatment in India: An agent-based simulation model","type":"article-journal","volume":"57"},"uris":["http://www.mendeley.com/documents/?uuid=591783de-379e-4d44-ac79-81e8d58fe695"]}],"mendeley":{"formattedCitation":"(Megiddo et al., 2016)","manualFormatting":"Megiddo et al. (2016)","plainTextFormattedCitation":"(Megiddo et al., 2016)","previouslyFormattedCitation":"(Megiddo et al., 2016)"},"properties":{"noteIndex":0},"schema":"https://github.com/citation-style-language/schema/raw/master/csl-citation.json"}</w:instrText>
            </w:r>
            <w:r w:rsidRPr="0064128D">
              <w:rPr>
                <w:rFonts w:ascii="Times New Roman" w:hAnsi="Times New Roman" w:cs="Times New Roman"/>
                <w:sz w:val="18"/>
                <w:szCs w:val="18"/>
              </w:rPr>
              <w:fldChar w:fldCharType="separate"/>
            </w:r>
            <w:r w:rsidRPr="0064128D">
              <w:rPr>
                <w:rFonts w:ascii="Times New Roman" w:hAnsi="Times New Roman" w:cs="Times New Roman"/>
                <w:noProof/>
                <w:sz w:val="18"/>
                <w:szCs w:val="18"/>
              </w:rPr>
              <w:t>Megiddo et al. (2016)</w:t>
            </w:r>
            <w:r w:rsidRPr="0064128D">
              <w:rPr>
                <w:rFonts w:ascii="Times New Roman" w:hAnsi="Times New Roman" w:cs="Times New Roman"/>
                <w:sz w:val="18"/>
                <w:szCs w:val="18"/>
              </w:rPr>
              <w:fldChar w:fldCharType="end"/>
            </w:r>
            <w:r w:rsidRPr="0064128D">
              <w:rPr>
                <w:rFonts w:ascii="Times New Roman" w:hAnsi="Times New Roman" w:cs="Times New Roman"/>
                <w:sz w:val="18"/>
                <w:szCs w:val="18"/>
              </w:rPr>
              <w:t>,</w:t>
            </w:r>
          </w:p>
          <w:p w14:paraId="0A0F970A" w14:textId="6D4C2C42"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India</w:t>
            </w:r>
          </w:p>
        </w:tc>
        <w:tc>
          <w:tcPr>
            <w:tcW w:w="3240" w:type="dxa"/>
          </w:tcPr>
          <w:p w14:paraId="57E7660A" w14:textId="69C54019"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Analyzed the health and non-health impacts of national epilepsy programs:</w:t>
            </w:r>
          </w:p>
          <w:p w14:paraId="4F38EB6E" w14:textId="64EA466C" w:rsidR="00F03315" w:rsidRPr="0064128D" w:rsidRDefault="00080DC9" w:rsidP="0027259C">
            <w:pPr>
              <w:rPr>
                <w:rFonts w:ascii="Times New Roman" w:hAnsi="Times New Roman" w:cs="Times New Roman"/>
                <w:sz w:val="18"/>
                <w:szCs w:val="18"/>
              </w:rPr>
            </w:pPr>
            <w:r w:rsidRPr="0064128D">
              <w:rPr>
                <w:rFonts w:ascii="Times New Roman" w:hAnsi="Times New Roman" w:cs="Times New Roman"/>
                <w:b/>
                <w:bCs/>
                <w:sz w:val="18"/>
                <w:szCs w:val="18"/>
              </w:rPr>
              <w:t>Status quo</w:t>
            </w:r>
            <w:r w:rsidR="007D2FDD" w:rsidRPr="0064128D">
              <w:rPr>
                <w:rFonts w:ascii="Times New Roman" w:hAnsi="Times New Roman" w:cs="Times New Roman"/>
                <w:sz w:val="18"/>
                <w:szCs w:val="18"/>
              </w:rPr>
              <w:t>: No treatment</w:t>
            </w:r>
          </w:p>
          <w:p w14:paraId="7CB50908" w14:textId="77777777" w:rsidR="007D2FDD" w:rsidRPr="0064128D" w:rsidRDefault="007D2FDD" w:rsidP="0027259C">
            <w:pPr>
              <w:rPr>
                <w:rFonts w:ascii="Times New Roman" w:hAnsi="Times New Roman" w:cs="Times New Roman"/>
                <w:sz w:val="18"/>
                <w:szCs w:val="18"/>
              </w:rPr>
            </w:pPr>
          </w:p>
          <w:p w14:paraId="5BA1452A" w14:textId="523038CE" w:rsidR="00F03315" w:rsidRPr="0064128D" w:rsidRDefault="00F03315" w:rsidP="0027259C">
            <w:pPr>
              <w:rPr>
                <w:rFonts w:ascii="Times New Roman" w:hAnsi="Times New Roman" w:cs="Times New Roman"/>
                <w:sz w:val="18"/>
                <w:szCs w:val="18"/>
              </w:rPr>
            </w:pPr>
            <w:r w:rsidRPr="0064128D">
              <w:rPr>
                <w:rFonts w:ascii="Times New Roman" w:hAnsi="Times New Roman" w:cs="Times New Roman"/>
                <w:b/>
                <w:bCs/>
                <w:sz w:val="18"/>
                <w:szCs w:val="18"/>
                <w:u w:val="single"/>
              </w:rPr>
              <w:t>Interventions</w:t>
            </w:r>
            <w:r w:rsidRPr="0064128D">
              <w:rPr>
                <w:rFonts w:ascii="Times New Roman" w:hAnsi="Times New Roman" w:cs="Times New Roman"/>
                <w:sz w:val="18"/>
                <w:szCs w:val="18"/>
              </w:rPr>
              <w:t>:</w:t>
            </w:r>
          </w:p>
          <w:p w14:paraId="49AD838B" w14:textId="58502A3E" w:rsidR="00464DB7" w:rsidRPr="0064128D" w:rsidRDefault="00464DB7" w:rsidP="00843320">
            <w:pPr>
              <w:rPr>
                <w:rFonts w:ascii="Times New Roman" w:hAnsi="Times New Roman" w:cs="Times New Roman"/>
                <w:sz w:val="18"/>
                <w:szCs w:val="18"/>
              </w:rPr>
            </w:pPr>
            <w:r w:rsidRPr="0064128D">
              <w:rPr>
                <w:rFonts w:ascii="Times New Roman" w:hAnsi="Times New Roman" w:cs="Times New Roman"/>
                <w:sz w:val="18"/>
                <w:szCs w:val="18"/>
              </w:rPr>
              <w:t>1.First-line anti-epilepsy drugs (AED)</w:t>
            </w:r>
          </w:p>
          <w:p w14:paraId="61CBCFD0" w14:textId="77777777" w:rsidR="00464DB7" w:rsidRPr="0064128D" w:rsidRDefault="00464DB7" w:rsidP="00843320">
            <w:pPr>
              <w:rPr>
                <w:rFonts w:ascii="Times New Roman" w:hAnsi="Times New Roman" w:cs="Times New Roman"/>
                <w:sz w:val="18"/>
                <w:szCs w:val="18"/>
              </w:rPr>
            </w:pPr>
            <w:r w:rsidRPr="0064128D">
              <w:rPr>
                <w:rFonts w:ascii="Times New Roman" w:hAnsi="Times New Roman" w:cs="Times New Roman"/>
                <w:sz w:val="18"/>
                <w:szCs w:val="18"/>
              </w:rPr>
              <w:t>2. First and second-line AEDs</w:t>
            </w:r>
          </w:p>
          <w:p w14:paraId="1F697A78" w14:textId="77777777" w:rsidR="00464DB7" w:rsidRPr="0064128D" w:rsidRDefault="00464DB7" w:rsidP="00843320">
            <w:pPr>
              <w:rPr>
                <w:rFonts w:ascii="Times New Roman" w:hAnsi="Times New Roman" w:cs="Times New Roman"/>
                <w:sz w:val="18"/>
                <w:szCs w:val="18"/>
              </w:rPr>
            </w:pPr>
            <w:r w:rsidRPr="0064128D">
              <w:rPr>
                <w:rFonts w:ascii="Times New Roman" w:hAnsi="Times New Roman" w:cs="Times New Roman"/>
                <w:sz w:val="18"/>
                <w:szCs w:val="18"/>
              </w:rPr>
              <w:t>3. First- and second-line AEDs and surgery</w:t>
            </w:r>
            <w:r w:rsidR="005408DE" w:rsidRPr="0064128D">
              <w:rPr>
                <w:rFonts w:ascii="Times New Roman" w:hAnsi="Times New Roman" w:cs="Times New Roman"/>
                <w:sz w:val="18"/>
                <w:szCs w:val="18"/>
              </w:rPr>
              <w:t>.</w:t>
            </w:r>
          </w:p>
          <w:p w14:paraId="1398CFA0" w14:textId="77777777" w:rsidR="005408DE" w:rsidRPr="0064128D" w:rsidRDefault="005408DE" w:rsidP="00843320">
            <w:pPr>
              <w:rPr>
                <w:rFonts w:ascii="Times New Roman" w:hAnsi="Times New Roman" w:cs="Times New Roman"/>
                <w:sz w:val="18"/>
                <w:szCs w:val="18"/>
              </w:rPr>
            </w:pPr>
          </w:p>
          <w:p w14:paraId="13221AC6" w14:textId="14CBA44F" w:rsidR="005408DE" w:rsidRPr="0064128D" w:rsidRDefault="005408DE" w:rsidP="00843320">
            <w:pPr>
              <w:rPr>
                <w:rFonts w:ascii="Times New Roman" w:hAnsi="Times New Roman" w:cs="Times New Roman"/>
                <w:sz w:val="18"/>
                <w:szCs w:val="18"/>
              </w:rPr>
            </w:pPr>
            <w:r w:rsidRPr="0064128D">
              <w:rPr>
                <w:rFonts w:ascii="Times New Roman" w:hAnsi="Times New Roman" w:cs="Times New Roman"/>
                <w:sz w:val="18"/>
                <w:szCs w:val="18"/>
              </w:rPr>
              <w:t>It was a UPF program.</w:t>
            </w:r>
          </w:p>
        </w:tc>
        <w:tc>
          <w:tcPr>
            <w:tcW w:w="2936" w:type="dxa"/>
          </w:tcPr>
          <w:p w14:paraId="5C5D79CF" w14:textId="77777777"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 xml:space="preserve">Used </w:t>
            </w:r>
            <w:r w:rsidR="009E6ADD" w:rsidRPr="0064128D">
              <w:rPr>
                <w:rFonts w:ascii="Times New Roman" w:hAnsi="Times New Roman" w:cs="Times New Roman"/>
                <w:sz w:val="18"/>
                <w:szCs w:val="18"/>
              </w:rPr>
              <w:t>ECEA to estimate HBG, FC, and FRP</w:t>
            </w:r>
            <w:r w:rsidRPr="0064128D">
              <w:rPr>
                <w:rFonts w:ascii="Times New Roman" w:hAnsi="Times New Roman" w:cs="Times New Roman"/>
                <w:sz w:val="18"/>
                <w:szCs w:val="18"/>
              </w:rPr>
              <w:t>.</w:t>
            </w:r>
          </w:p>
          <w:p w14:paraId="1E69E3FD" w14:textId="0B304C34" w:rsidR="0085045A" w:rsidRPr="0064128D" w:rsidRDefault="0085045A" w:rsidP="0027259C">
            <w:pPr>
              <w:rPr>
                <w:rFonts w:ascii="Times New Roman" w:hAnsi="Times New Roman" w:cs="Times New Roman"/>
                <w:sz w:val="18"/>
                <w:szCs w:val="18"/>
              </w:rPr>
            </w:pPr>
            <w:r w:rsidRPr="0064128D">
              <w:rPr>
                <w:rFonts w:ascii="Times New Roman" w:hAnsi="Times New Roman" w:cs="Times New Roman"/>
                <w:sz w:val="18"/>
                <w:szCs w:val="18"/>
              </w:rPr>
              <w:t>Used data from empirical literature, authors’ assumptions and calculations and International Drug Price Indicator.</w:t>
            </w:r>
          </w:p>
        </w:tc>
        <w:tc>
          <w:tcPr>
            <w:tcW w:w="6964" w:type="dxa"/>
          </w:tcPr>
          <w:p w14:paraId="451570DF" w14:textId="5F89058F" w:rsidR="00464DB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HBG</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w:t>
            </w:r>
            <w:r w:rsidR="00513BE7" w:rsidRPr="0064128D">
              <w:rPr>
                <w:rFonts w:ascii="Times New Roman" w:hAnsi="Times New Roman" w:cs="Times New Roman"/>
                <w:sz w:val="18"/>
                <w:szCs w:val="18"/>
              </w:rPr>
              <w:t>S</w:t>
            </w:r>
            <w:r w:rsidR="00464DB7" w:rsidRPr="0064128D">
              <w:rPr>
                <w:rFonts w:ascii="Times New Roman" w:hAnsi="Times New Roman" w:cs="Times New Roman"/>
                <w:sz w:val="18"/>
                <w:szCs w:val="18"/>
              </w:rPr>
              <w:t>cenarios</w:t>
            </w:r>
            <w:r w:rsidR="00513BE7" w:rsidRPr="0064128D">
              <w:rPr>
                <w:rFonts w:ascii="Times New Roman" w:hAnsi="Times New Roman" w:cs="Times New Roman"/>
                <w:sz w:val="18"/>
                <w:szCs w:val="18"/>
              </w:rPr>
              <w:t xml:space="preserve"> 1 to 3</w:t>
            </w:r>
            <w:r w:rsidR="00464DB7" w:rsidRPr="0064128D">
              <w:rPr>
                <w:rFonts w:ascii="Times New Roman" w:hAnsi="Times New Roman" w:cs="Times New Roman"/>
                <w:sz w:val="18"/>
                <w:szCs w:val="18"/>
              </w:rPr>
              <w:t xml:space="preserve"> would avert </w:t>
            </w:r>
            <w:r w:rsidR="00513BE7" w:rsidRPr="0064128D">
              <w:rPr>
                <w:rFonts w:ascii="Times New Roman" w:hAnsi="Times New Roman" w:cs="Times New Roman"/>
                <w:sz w:val="18"/>
                <w:szCs w:val="18"/>
              </w:rPr>
              <w:t>1.8-2.3</w:t>
            </w:r>
            <w:r w:rsidR="00464DB7" w:rsidRPr="0064128D">
              <w:rPr>
                <w:rFonts w:ascii="Times New Roman" w:hAnsi="Times New Roman" w:cs="Times New Roman"/>
                <w:sz w:val="18"/>
                <w:szCs w:val="18"/>
              </w:rPr>
              <w:t xml:space="preserve"> million DALYs per year and would represent a cost-effective use of resources.</w:t>
            </w:r>
          </w:p>
          <w:p w14:paraId="567549B3" w14:textId="4B8B51BC" w:rsidR="008057EF"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FC</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w:t>
            </w:r>
            <w:r w:rsidR="008057EF" w:rsidRPr="0064128D">
              <w:rPr>
                <w:rFonts w:ascii="Times New Roman" w:hAnsi="Times New Roman" w:cs="Times New Roman"/>
                <w:sz w:val="18"/>
                <w:szCs w:val="18"/>
              </w:rPr>
              <w:t xml:space="preserve">In the first 10 years, the government spent $145 090, $107 590, and $77 720 in scenarios 1, 2 and 3, respectively. </w:t>
            </w:r>
            <w:r w:rsidR="00C93041" w:rsidRPr="0064128D">
              <w:rPr>
                <w:rFonts w:ascii="Times New Roman" w:hAnsi="Times New Roman" w:cs="Times New Roman"/>
                <w:sz w:val="18"/>
                <w:szCs w:val="18"/>
              </w:rPr>
              <w:t xml:space="preserve">The government spent the most money in the first 5 years of the UPF scenarios when surgery </w:t>
            </w:r>
            <w:r w:rsidR="004D51ED" w:rsidRPr="0064128D">
              <w:rPr>
                <w:rFonts w:ascii="Times New Roman" w:hAnsi="Times New Roman" w:cs="Times New Roman"/>
                <w:sz w:val="18"/>
                <w:szCs w:val="18"/>
              </w:rPr>
              <w:t xml:space="preserve">was available and </w:t>
            </w:r>
            <w:r w:rsidR="00C93041" w:rsidRPr="0064128D">
              <w:rPr>
                <w:rFonts w:ascii="Times New Roman" w:hAnsi="Times New Roman" w:cs="Times New Roman"/>
                <w:sz w:val="18"/>
                <w:szCs w:val="18"/>
              </w:rPr>
              <w:t>performed to many new patients and drops afterwards when they no longer have active epilepsy and stop treatment.</w:t>
            </w:r>
          </w:p>
          <w:p w14:paraId="2EA545AC" w14:textId="1C183AA2" w:rsidR="00DB2D0F"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OOP expenditure averted</w:t>
            </w:r>
            <w:r w:rsidR="00DB2D0F" w:rsidRPr="0064128D">
              <w:rPr>
                <w:rFonts w:ascii="Times New Roman" w:hAnsi="Times New Roman" w:cs="Times New Roman"/>
                <w:sz w:val="18"/>
                <w:szCs w:val="18"/>
              </w:rPr>
              <w:t>, on average, was over $80 million per year in both scenarios 2 and 3.</w:t>
            </w:r>
          </w:p>
          <w:p w14:paraId="35B32DBE" w14:textId="2E90ED04" w:rsidR="00DB2D0F" w:rsidRPr="0064128D" w:rsidRDefault="008A57DA" w:rsidP="0027259C">
            <w:pPr>
              <w:rPr>
                <w:rFonts w:ascii="Times New Roman" w:hAnsi="Times New Roman" w:cs="Times New Roman"/>
                <w:sz w:val="18"/>
                <w:szCs w:val="18"/>
              </w:rPr>
            </w:pPr>
            <w:r w:rsidRPr="0064128D">
              <w:rPr>
                <w:rFonts w:ascii="Times New Roman" w:hAnsi="Times New Roman" w:cs="Times New Roman"/>
                <w:sz w:val="18"/>
                <w:szCs w:val="18"/>
              </w:rPr>
              <w:t>OOP expenditures averted in UPF scenario 1</w:t>
            </w:r>
            <w:r w:rsidR="00075AF6" w:rsidRPr="0064128D">
              <w:rPr>
                <w:rFonts w:ascii="Times New Roman" w:hAnsi="Times New Roman" w:cs="Times New Roman"/>
                <w:sz w:val="18"/>
                <w:szCs w:val="18"/>
              </w:rPr>
              <w:t xml:space="preserve"> </w:t>
            </w:r>
            <w:r w:rsidR="003755F1" w:rsidRPr="0064128D">
              <w:rPr>
                <w:rFonts w:ascii="Times New Roman" w:hAnsi="Times New Roman" w:cs="Times New Roman"/>
                <w:sz w:val="18"/>
                <w:szCs w:val="18"/>
              </w:rPr>
              <w:t>were countered by new patients’ care-seeking costs and increase in second-line drug purchases not covered in scenario 1</w:t>
            </w:r>
            <w:r w:rsidR="002A36BB" w:rsidRPr="0064128D">
              <w:rPr>
                <w:rFonts w:ascii="Times New Roman" w:hAnsi="Times New Roman" w:cs="Times New Roman"/>
                <w:sz w:val="18"/>
                <w:szCs w:val="18"/>
              </w:rPr>
              <w:t xml:space="preserve"> when patients do not respond to scenario 1 treatment and choose to continue treatment</w:t>
            </w:r>
            <w:r w:rsidRPr="0064128D">
              <w:rPr>
                <w:rFonts w:ascii="Times New Roman" w:hAnsi="Times New Roman" w:cs="Times New Roman"/>
                <w:sz w:val="18"/>
                <w:szCs w:val="18"/>
              </w:rPr>
              <w:t>.</w:t>
            </w:r>
            <w:r w:rsidR="008A5926" w:rsidRPr="0064128D">
              <w:rPr>
                <w:rFonts w:ascii="Times New Roman" w:hAnsi="Times New Roman" w:cs="Times New Roman"/>
                <w:sz w:val="18"/>
                <w:szCs w:val="18"/>
              </w:rPr>
              <w:t xml:space="preserve"> Hence, there were no OOP savings in scenario 1.</w:t>
            </w:r>
          </w:p>
          <w:p w14:paraId="7F192EE7" w14:textId="77777777" w:rsidR="002A36BB" w:rsidRPr="0064128D" w:rsidRDefault="002A36BB" w:rsidP="0027259C">
            <w:pPr>
              <w:rPr>
                <w:rFonts w:ascii="Times New Roman" w:hAnsi="Times New Roman" w:cs="Times New Roman"/>
                <w:sz w:val="18"/>
                <w:szCs w:val="18"/>
              </w:rPr>
            </w:pPr>
          </w:p>
          <w:p w14:paraId="44660EF6" w14:textId="3008090D" w:rsidR="00464DB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FRP</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The money-metric value of insurance</w:t>
            </w:r>
            <w:r w:rsidR="00BD6CC1" w:rsidRPr="0064128D">
              <w:rPr>
                <w:rFonts w:ascii="Times New Roman" w:hAnsi="Times New Roman" w:cs="Times New Roman"/>
                <w:sz w:val="18"/>
                <w:szCs w:val="18"/>
              </w:rPr>
              <w:t xml:space="preserve"> (FRP metric)</w:t>
            </w:r>
            <w:r w:rsidR="00464DB7" w:rsidRPr="0064128D">
              <w:rPr>
                <w:rFonts w:ascii="Times New Roman" w:hAnsi="Times New Roman" w:cs="Times New Roman"/>
                <w:sz w:val="18"/>
                <w:szCs w:val="18"/>
              </w:rPr>
              <w:t xml:space="preserve"> increases from scenarios 1 through 3.</w:t>
            </w:r>
          </w:p>
          <w:p w14:paraId="3F4FFEE8" w14:textId="2D95EA18" w:rsidR="007E31AB" w:rsidRPr="0064128D" w:rsidRDefault="007E31AB" w:rsidP="0027259C">
            <w:pPr>
              <w:rPr>
                <w:rFonts w:ascii="Times New Roman" w:hAnsi="Times New Roman" w:cs="Times New Roman"/>
                <w:sz w:val="18"/>
                <w:szCs w:val="18"/>
              </w:rPr>
            </w:pPr>
            <w:r w:rsidRPr="0064128D">
              <w:rPr>
                <w:rFonts w:ascii="Times New Roman" w:hAnsi="Times New Roman" w:cs="Times New Roman"/>
                <w:sz w:val="18"/>
                <w:szCs w:val="18"/>
              </w:rPr>
              <w:t>The scenario</w:t>
            </w:r>
            <w:r w:rsidR="001F41F3" w:rsidRPr="0064128D">
              <w:rPr>
                <w:rFonts w:ascii="Times New Roman" w:hAnsi="Times New Roman" w:cs="Times New Roman"/>
                <w:sz w:val="18"/>
                <w:szCs w:val="18"/>
              </w:rPr>
              <w:t xml:space="preserve"> 1</w:t>
            </w:r>
            <w:r w:rsidRPr="0064128D">
              <w:rPr>
                <w:rFonts w:ascii="Times New Roman" w:hAnsi="Times New Roman" w:cs="Times New Roman"/>
                <w:sz w:val="18"/>
                <w:szCs w:val="18"/>
              </w:rPr>
              <w:t xml:space="preserve"> does not offer FRP.</w:t>
            </w:r>
          </w:p>
          <w:p w14:paraId="6B4265DF" w14:textId="77777777" w:rsidR="00127913" w:rsidRPr="0064128D" w:rsidRDefault="00127913" w:rsidP="0027259C">
            <w:pPr>
              <w:rPr>
                <w:rFonts w:ascii="Times New Roman" w:hAnsi="Times New Roman" w:cs="Times New Roman"/>
                <w:sz w:val="18"/>
                <w:szCs w:val="18"/>
              </w:rPr>
            </w:pPr>
          </w:p>
          <w:p w14:paraId="5F5C3461" w14:textId="25A85158" w:rsidR="00464DB7" w:rsidRPr="0064128D" w:rsidRDefault="00D82C07" w:rsidP="0027259C">
            <w:pPr>
              <w:rPr>
                <w:rFonts w:ascii="Times New Roman" w:hAnsi="Times New Roman" w:cs="Times New Roman"/>
                <w:sz w:val="18"/>
                <w:szCs w:val="18"/>
              </w:rPr>
            </w:pPr>
            <w:r w:rsidRPr="0064128D">
              <w:rPr>
                <w:rFonts w:ascii="Times New Roman" w:hAnsi="Times New Roman" w:cs="Times New Roman"/>
                <w:b/>
                <w:bCs/>
                <w:i/>
                <w:iCs/>
                <w:sz w:val="18"/>
                <w:szCs w:val="18"/>
              </w:rPr>
              <w:t>Equity</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w:t>
            </w:r>
            <w:r w:rsidR="00DB2D0F" w:rsidRPr="0064128D">
              <w:rPr>
                <w:rFonts w:ascii="Times New Roman" w:hAnsi="Times New Roman" w:cs="Times New Roman"/>
                <w:sz w:val="18"/>
                <w:szCs w:val="18"/>
              </w:rPr>
              <w:t>Only the top 1% of the population has more OOP expenditure averted as others do not pay for surgeries.</w:t>
            </w:r>
            <w:r w:rsidR="007E31AB" w:rsidRPr="0064128D">
              <w:rPr>
                <w:rFonts w:ascii="Times New Roman" w:hAnsi="Times New Roman" w:cs="Times New Roman"/>
                <w:sz w:val="18"/>
                <w:szCs w:val="18"/>
              </w:rPr>
              <w:t xml:space="preserve"> </w:t>
            </w:r>
            <w:r w:rsidR="00CF054D" w:rsidRPr="0064128D">
              <w:rPr>
                <w:rFonts w:ascii="Times New Roman" w:hAnsi="Times New Roman" w:cs="Times New Roman"/>
                <w:sz w:val="18"/>
                <w:szCs w:val="18"/>
              </w:rPr>
              <w:t xml:space="preserve">The money-metric value of insurance decreases with wealth. Thus, the </w:t>
            </w:r>
            <w:r w:rsidR="00CF054D" w:rsidRPr="0064128D">
              <w:rPr>
                <w:rFonts w:ascii="Times New Roman" w:hAnsi="Times New Roman" w:cs="Times New Roman"/>
                <w:sz w:val="18"/>
                <w:szCs w:val="18"/>
              </w:rPr>
              <w:lastRenderedPageBreak/>
              <w:t xml:space="preserve">poor had the highest FRP and the rich had the least FRP. </w:t>
            </w:r>
            <w:r w:rsidR="007E31AB" w:rsidRPr="0064128D">
              <w:rPr>
                <w:rFonts w:ascii="Times New Roman" w:hAnsi="Times New Roman" w:cs="Times New Roman"/>
                <w:sz w:val="18"/>
                <w:szCs w:val="18"/>
              </w:rPr>
              <w:t>Scenario 1 does not offer FRP but affects the poor the most because they increase their effective coverage and their travel frequency the most.</w:t>
            </w:r>
            <w:r w:rsidR="009008B1" w:rsidRPr="0064128D">
              <w:rPr>
                <w:rFonts w:ascii="Times New Roman" w:hAnsi="Times New Roman" w:cs="Times New Roman"/>
                <w:sz w:val="18"/>
                <w:szCs w:val="18"/>
              </w:rPr>
              <w:t xml:space="preserve"> In scenario 2 and 3, the poor have the highest FRP and the rich has the least protection. </w:t>
            </w:r>
          </w:p>
        </w:tc>
      </w:tr>
      <w:tr w:rsidR="0064128D" w:rsidRPr="0064128D" w14:paraId="7813F7D7" w14:textId="77777777" w:rsidTr="00C718F8">
        <w:tc>
          <w:tcPr>
            <w:tcW w:w="540" w:type="dxa"/>
          </w:tcPr>
          <w:p w14:paraId="5CAEDDBA" w14:textId="0BE398FC" w:rsidR="00C655DF" w:rsidRPr="0064128D" w:rsidRDefault="00C655DF" w:rsidP="00C655DF">
            <w:pPr>
              <w:rPr>
                <w:rFonts w:ascii="Times New Roman" w:hAnsi="Times New Roman" w:cs="Times New Roman"/>
                <w:sz w:val="18"/>
                <w:szCs w:val="18"/>
              </w:rPr>
            </w:pPr>
            <w:r w:rsidRPr="0064128D">
              <w:rPr>
                <w:rFonts w:ascii="Times New Roman" w:hAnsi="Times New Roman" w:cs="Times New Roman"/>
                <w:sz w:val="18"/>
                <w:szCs w:val="18"/>
              </w:rPr>
              <w:t>11</w:t>
            </w:r>
          </w:p>
        </w:tc>
        <w:tc>
          <w:tcPr>
            <w:tcW w:w="1260" w:type="dxa"/>
          </w:tcPr>
          <w:p w14:paraId="142D4E31" w14:textId="7F4A33B7" w:rsidR="00C655DF" w:rsidRPr="0064128D" w:rsidRDefault="00C655DF" w:rsidP="00C655DF">
            <w:pPr>
              <w:rPr>
                <w:rFonts w:ascii="Times New Roman" w:hAnsi="Times New Roman" w:cs="Times New Roman"/>
                <w:sz w:val="18"/>
                <w:szCs w:val="18"/>
              </w:rPr>
            </w:pPr>
            <w:r w:rsidRPr="0064128D">
              <w:rPr>
                <w:rFonts w:ascii="Times New Roman" w:hAnsi="Times New Roman" w:cs="Times New Roman"/>
                <w:sz w:val="18"/>
                <w:szCs w:val="18"/>
              </w:rPr>
              <w:fldChar w:fldCharType="begin" w:fldLock="1"/>
            </w:r>
            <w:r w:rsidRPr="0064128D">
              <w:rPr>
                <w:rFonts w:ascii="Times New Roman" w:hAnsi="Times New Roman" w:cs="Times New Roman"/>
                <w:sz w:val="18"/>
                <w:szCs w:val="18"/>
              </w:rPr>
              <w:instrText>ADDIN CSL_CITATION {"citationItems":[{"id":"ITEM-1","itemData":{"DOI":"10.1186/s12962-016-0058-z","ISBN":"1296201600","ISSN":"14787547","abstract":"Background: Schizophrenia remains a priority condition in mental health policy and service development because of its early onset, severity and consequences for affected individuals and households. Aims and methods: This paper reports on an 'extended' cost-effectiveness analysis (ECEA) for schizophrenia treatment in India, which seeks to evaluate through a modeling approach not only the costs and health effects of intervention but also the consequences of a policy of universal public finance (UPF) on health and financial outcomes across income quintiles. Results: Using plausible values for input parameters, we conclude that health gains from UPF are concentrated among the poorest, whereas the non-health gains in the form of out-of-pocket private expenditures averted due to UPF are concentrated among the richest income quintiles. Value of insurance is the highest for the poorest quintile and declines with income. Conclusions: Universal public finance can play a crucial role in ameliorating the adverse economic and social consequences of schizophrenia and its treatment in resource-constrained settings where health insurance coverage is generally poor. This paper shows the potential distributional and financial risk protection effects of treating schizophrenia.","author":[{"dropping-particle":"","family":"Raykar","given":"Neha","non-dropping-particle":"","parse-names":false,"suffix":""},{"dropping-particle":"","family":"Nigam","given":"Aditi","non-dropping-particle":"","parse-names":false,"suffix":""},{"dropping-particle":"","family":"Chisholm","given":"Dan","non-dropping-particle":"","parse-names":false,"suffix":""}],"container-title":"Cost Effectiveness and Resource Allocation","id":"ITEM-1","issue":"1","issued":{"date-parts":[["2016"]]},"page":"1-11","publisher":"BioMed Central","title":"An extended cost-effectiveness analysis of schizophrenia treatment in India under universal public finance","type":"article-journal","volume":"14"},"uris":["http://www.mendeley.com/documents/?uuid=7a95aeec-314c-4c14-adbb-e011cbab598f"]}],"mendeley":{"formattedCitation":"(Raykar et al., 2016)","manualFormatting":"Raykar et al. (2016)","plainTextFormattedCitation":"(Raykar et al., 2016)","previouslyFormattedCitation":"(Raykar et al., 2016)"},"properties":{"noteIndex":0},"schema":"https://github.com/citation-style-language/schema/raw/master/csl-citation.json"}</w:instrText>
            </w:r>
            <w:r w:rsidRPr="0064128D">
              <w:rPr>
                <w:rFonts w:ascii="Times New Roman" w:hAnsi="Times New Roman" w:cs="Times New Roman"/>
                <w:sz w:val="18"/>
                <w:szCs w:val="18"/>
              </w:rPr>
              <w:fldChar w:fldCharType="separate"/>
            </w:r>
            <w:r w:rsidRPr="0064128D">
              <w:rPr>
                <w:rFonts w:ascii="Times New Roman" w:hAnsi="Times New Roman" w:cs="Times New Roman"/>
                <w:noProof/>
                <w:sz w:val="18"/>
                <w:szCs w:val="18"/>
              </w:rPr>
              <w:t>Raykar et al. (2016)</w:t>
            </w:r>
            <w:r w:rsidRPr="0064128D">
              <w:rPr>
                <w:rFonts w:ascii="Times New Roman" w:hAnsi="Times New Roman" w:cs="Times New Roman"/>
                <w:sz w:val="18"/>
                <w:szCs w:val="18"/>
              </w:rPr>
              <w:fldChar w:fldCharType="end"/>
            </w:r>
            <w:r w:rsidRPr="0064128D">
              <w:rPr>
                <w:rFonts w:ascii="Times New Roman" w:hAnsi="Times New Roman" w:cs="Times New Roman"/>
                <w:sz w:val="18"/>
                <w:szCs w:val="18"/>
              </w:rPr>
              <w:t>,</w:t>
            </w:r>
          </w:p>
          <w:p w14:paraId="30F98D62" w14:textId="1D3C7C82" w:rsidR="00C655DF" w:rsidRPr="0064128D" w:rsidRDefault="00C655DF" w:rsidP="00C655DF">
            <w:pPr>
              <w:rPr>
                <w:rFonts w:ascii="Times New Roman" w:hAnsi="Times New Roman" w:cs="Times New Roman"/>
                <w:sz w:val="18"/>
                <w:szCs w:val="18"/>
              </w:rPr>
            </w:pPr>
            <w:r w:rsidRPr="0064128D">
              <w:rPr>
                <w:rFonts w:ascii="Times New Roman" w:hAnsi="Times New Roman" w:cs="Times New Roman"/>
                <w:sz w:val="18"/>
                <w:szCs w:val="18"/>
              </w:rPr>
              <w:t>India</w:t>
            </w:r>
          </w:p>
        </w:tc>
        <w:tc>
          <w:tcPr>
            <w:tcW w:w="3240" w:type="dxa"/>
          </w:tcPr>
          <w:p w14:paraId="17340C23" w14:textId="3DAC36EE" w:rsidR="00C655DF" w:rsidRPr="0064128D" w:rsidRDefault="00C655DF" w:rsidP="00C655DF">
            <w:pPr>
              <w:rPr>
                <w:rFonts w:ascii="Times New Roman" w:hAnsi="Times New Roman" w:cs="Times New Roman"/>
                <w:sz w:val="18"/>
                <w:szCs w:val="18"/>
              </w:rPr>
            </w:pPr>
            <w:r w:rsidRPr="0064128D">
              <w:rPr>
                <w:rFonts w:ascii="Times New Roman" w:hAnsi="Times New Roman" w:cs="Times New Roman"/>
                <w:sz w:val="18"/>
                <w:szCs w:val="18"/>
              </w:rPr>
              <w:t>Evaluated the health and non-health gains of schizophrenia treatment in India, across income quintiles.</w:t>
            </w:r>
          </w:p>
          <w:p w14:paraId="4182891D" w14:textId="1D2B60B8" w:rsidR="00C655DF" w:rsidRPr="0064128D" w:rsidRDefault="00C655DF" w:rsidP="00C655DF">
            <w:pPr>
              <w:rPr>
                <w:rFonts w:ascii="Times New Roman" w:hAnsi="Times New Roman" w:cs="Times New Roman"/>
                <w:sz w:val="18"/>
                <w:szCs w:val="18"/>
              </w:rPr>
            </w:pPr>
            <w:r w:rsidRPr="0064128D">
              <w:rPr>
                <w:rFonts w:ascii="Times New Roman" w:hAnsi="Times New Roman" w:cs="Times New Roman"/>
                <w:sz w:val="18"/>
                <w:szCs w:val="18"/>
              </w:rPr>
              <w:t>It was a UPF program.</w:t>
            </w:r>
          </w:p>
          <w:p w14:paraId="242A2798" w14:textId="77777777" w:rsidR="00C655DF" w:rsidRPr="0064128D" w:rsidRDefault="00C655DF" w:rsidP="00C655DF">
            <w:pPr>
              <w:rPr>
                <w:rFonts w:ascii="Times New Roman" w:hAnsi="Times New Roman" w:cs="Times New Roman"/>
                <w:sz w:val="18"/>
                <w:szCs w:val="18"/>
              </w:rPr>
            </w:pPr>
          </w:p>
          <w:p w14:paraId="0EFB6AEA" w14:textId="30573CA7" w:rsidR="00C655DF" w:rsidRPr="0064128D" w:rsidRDefault="00080DC9" w:rsidP="00C655DF">
            <w:pPr>
              <w:rPr>
                <w:rFonts w:ascii="Times New Roman" w:hAnsi="Times New Roman" w:cs="Times New Roman"/>
                <w:sz w:val="18"/>
                <w:szCs w:val="18"/>
              </w:rPr>
            </w:pPr>
            <w:r w:rsidRPr="0064128D">
              <w:rPr>
                <w:rFonts w:ascii="Times New Roman" w:hAnsi="Times New Roman" w:cs="Times New Roman"/>
                <w:b/>
                <w:bCs/>
                <w:sz w:val="18"/>
                <w:szCs w:val="18"/>
              </w:rPr>
              <w:t>Status quo</w:t>
            </w:r>
            <w:r w:rsidR="00C655DF" w:rsidRPr="0064128D">
              <w:rPr>
                <w:rFonts w:ascii="Times New Roman" w:hAnsi="Times New Roman" w:cs="Times New Roman"/>
                <w:sz w:val="18"/>
                <w:szCs w:val="18"/>
              </w:rPr>
              <w:t>: 40% average treatment coverage rate (ranges from 30% to 50% across income quintiles) of a combination of first- and second</w:t>
            </w:r>
            <w:r w:rsidR="00BB0F49" w:rsidRPr="0064128D">
              <w:rPr>
                <w:rFonts w:ascii="Times New Roman" w:hAnsi="Times New Roman" w:cs="Times New Roman"/>
                <w:sz w:val="18"/>
                <w:szCs w:val="18"/>
              </w:rPr>
              <w:t>-</w:t>
            </w:r>
            <w:r w:rsidR="00C655DF" w:rsidRPr="0064128D">
              <w:rPr>
                <w:rFonts w:ascii="Times New Roman" w:hAnsi="Times New Roman" w:cs="Times New Roman"/>
                <w:sz w:val="18"/>
                <w:szCs w:val="18"/>
              </w:rPr>
              <w:t>generation antipsychotic medication with basic psychosocial treatment.</w:t>
            </w:r>
          </w:p>
          <w:p w14:paraId="004CB360" w14:textId="77777777" w:rsidR="00C655DF" w:rsidRPr="0064128D" w:rsidRDefault="00C655DF" w:rsidP="00C655DF">
            <w:pPr>
              <w:rPr>
                <w:rFonts w:ascii="Times New Roman" w:hAnsi="Times New Roman" w:cs="Times New Roman"/>
                <w:sz w:val="18"/>
                <w:szCs w:val="18"/>
              </w:rPr>
            </w:pPr>
          </w:p>
          <w:p w14:paraId="67D10767" w14:textId="77777777" w:rsidR="00C655DF" w:rsidRPr="0064128D" w:rsidRDefault="00C655DF" w:rsidP="00C655DF">
            <w:pPr>
              <w:rPr>
                <w:rFonts w:ascii="Times New Roman" w:hAnsi="Times New Roman" w:cs="Times New Roman"/>
                <w:sz w:val="18"/>
                <w:szCs w:val="18"/>
              </w:rPr>
            </w:pPr>
            <w:r w:rsidRPr="0064128D">
              <w:rPr>
                <w:rFonts w:ascii="Times New Roman" w:hAnsi="Times New Roman" w:cs="Times New Roman"/>
                <w:b/>
                <w:bCs/>
                <w:sz w:val="18"/>
                <w:szCs w:val="18"/>
                <w:u w:val="single"/>
              </w:rPr>
              <w:t>Intervention</w:t>
            </w:r>
            <w:r w:rsidRPr="0064128D">
              <w:rPr>
                <w:rFonts w:ascii="Times New Roman" w:hAnsi="Times New Roman" w:cs="Times New Roman"/>
                <w:sz w:val="18"/>
                <w:szCs w:val="18"/>
              </w:rPr>
              <w:t>:</w:t>
            </w:r>
          </w:p>
          <w:p w14:paraId="70B1BF84" w14:textId="253D81BE" w:rsidR="00C655DF" w:rsidRPr="0064128D" w:rsidRDefault="00C655DF" w:rsidP="00C655DF">
            <w:pPr>
              <w:rPr>
                <w:rFonts w:ascii="Times New Roman" w:hAnsi="Times New Roman" w:cs="Times New Roman"/>
                <w:sz w:val="18"/>
                <w:szCs w:val="18"/>
              </w:rPr>
            </w:pPr>
            <w:r w:rsidRPr="0064128D">
              <w:rPr>
                <w:rFonts w:ascii="Times New Roman" w:hAnsi="Times New Roman" w:cs="Times New Roman"/>
                <w:sz w:val="18"/>
                <w:szCs w:val="18"/>
              </w:rPr>
              <w:t>80% coverage of First-generation antipsychotic drugs as well as intensive-psychosocial treatment. First-generation antipsychotic drugs include either tablet doses of haloperidol-chlorpromazine or an injection of fluphenazine, with biperiden administered for side effects.</w:t>
            </w:r>
          </w:p>
        </w:tc>
        <w:tc>
          <w:tcPr>
            <w:tcW w:w="2936" w:type="dxa"/>
          </w:tcPr>
          <w:p w14:paraId="0D25A0C5" w14:textId="36F93F3B" w:rsidR="00C655DF" w:rsidRPr="0064128D" w:rsidRDefault="00C655DF" w:rsidP="00C655DF">
            <w:pPr>
              <w:rPr>
                <w:rFonts w:ascii="Times New Roman" w:hAnsi="Times New Roman" w:cs="Times New Roman"/>
                <w:sz w:val="18"/>
                <w:szCs w:val="18"/>
              </w:rPr>
            </w:pPr>
            <w:r w:rsidRPr="0064128D">
              <w:rPr>
                <w:rFonts w:ascii="Times New Roman" w:hAnsi="Times New Roman" w:cs="Times New Roman"/>
                <w:sz w:val="18"/>
                <w:szCs w:val="18"/>
              </w:rPr>
              <w:t>Conducted ECEA to estimate HBG, FC, FRP and equity.</w:t>
            </w:r>
          </w:p>
          <w:p w14:paraId="6E0D1FC4" w14:textId="59B2B6AB" w:rsidR="00C655DF" w:rsidRPr="0064128D" w:rsidRDefault="00C655DF" w:rsidP="00C655DF">
            <w:pPr>
              <w:rPr>
                <w:rFonts w:ascii="Times New Roman" w:hAnsi="Times New Roman" w:cs="Times New Roman"/>
                <w:sz w:val="18"/>
                <w:szCs w:val="18"/>
              </w:rPr>
            </w:pPr>
            <w:r w:rsidRPr="0064128D">
              <w:rPr>
                <w:rFonts w:ascii="Times New Roman" w:hAnsi="Times New Roman" w:cs="Times New Roman"/>
                <w:sz w:val="18"/>
                <w:szCs w:val="18"/>
              </w:rPr>
              <w:t>Data was from the WHO-CHOICE costing database and authors’ assumptions. Assumed an evenly distributed cohort size of 200,000 individuals in a population of one million, across the income quintiles. Used the District Level Household and Facility Survey (DLHFS-3 in India).</w:t>
            </w:r>
          </w:p>
        </w:tc>
        <w:tc>
          <w:tcPr>
            <w:tcW w:w="6964" w:type="dxa"/>
          </w:tcPr>
          <w:p w14:paraId="3EDC3B00" w14:textId="1C91D7AD" w:rsidR="00C655DF" w:rsidRPr="0064128D" w:rsidRDefault="00C655DF" w:rsidP="00C655DF">
            <w:pPr>
              <w:rPr>
                <w:rFonts w:ascii="Times New Roman" w:hAnsi="Times New Roman" w:cs="Times New Roman"/>
                <w:sz w:val="18"/>
                <w:szCs w:val="18"/>
              </w:rPr>
            </w:pPr>
            <w:r w:rsidRPr="0064128D">
              <w:rPr>
                <w:rFonts w:ascii="Times New Roman" w:hAnsi="Times New Roman" w:cs="Times New Roman"/>
                <w:b/>
                <w:bCs/>
                <w:i/>
                <w:iCs/>
                <w:sz w:val="18"/>
                <w:szCs w:val="18"/>
              </w:rPr>
              <w:t>HBG</w:t>
            </w:r>
            <w:r w:rsidRPr="0064128D">
              <w:rPr>
                <w:rFonts w:ascii="Times New Roman" w:hAnsi="Times New Roman" w:cs="Times New Roman"/>
                <w:sz w:val="18"/>
                <w:szCs w:val="18"/>
              </w:rPr>
              <w:t xml:space="preserve">: 122 DALYs averted per one million population. </w:t>
            </w:r>
          </w:p>
          <w:p w14:paraId="3878391B" w14:textId="77777777" w:rsidR="004E1025" w:rsidRPr="0064128D" w:rsidRDefault="004E1025" w:rsidP="00C655DF">
            <w:pPr>
              <w:rPr>
                <w:rFonts w:ascii="Times New Roman" w:hAnsi="Times New Roman" w:cs="Times New Roman"/>
                <w:b/>
                <w:bCs/>
                <w:i/>
                <w:iCs/>
                <w:sz w:val="18"/>
                <w:szCs w:val="18"/>
              </w:rPr>
            </w:pPr>
          </w:p>
          <w:p w14:paraId="21D03B82" w14:textId="2F38FE15" w:rsidR="00C655DF" w:rsidRPr="0064128D" w:rsidRDefault="00C655DF" w:rsidP="00C655DF">
            <w:pPr>
              <w:rPr>
                <w:rFonts w:ascii="Times New Roman" w:hAnsi="Times New Roman" w:cs="Times New Roman"/>
                <w:sz w:val="18"/>
                <w:szCs w:val="18"/>
              </w:rPr>
            </w:pPr>
            <w:r w:rsidRPr="0064128D">
              <w:rPr>
                <w:rFonts w:ascii="Times New Roman" w:hAnsi="Times New Roman" w:cs="Times New Roman"/>
                <w:b/>
                <w:bCs/>
                <w:i/>
                <w:iCs/>
                <w:sz w:val="18"/>
                <w:szCs w:val="18"/>
              </w:rPr>
              <w:t>FC</w:t>
            </w:r>
            <w:r w:rsidRPr="0064128D">
              <w:rPr>
                <w:rFonts w:ascii="Times New Roman" w:hAnsi="Times New Roman" w:cs="Times New Roman"/>
                <w:sz w:val="18"/>
                <w:szCs w:val="18"/>
              </w:rPr>
              <w:t>: OOP expenses averted summed up to US$276,623</w:t>
            </w:r>
          </w:p>
          <w:p w14:paraId="2CD98110" w14:textId="77777777" w:rsidR="004E1025" w:rsidRPr="0064128D" w:rsidRDefault="004E1025" w:rsidP="00C655DF">
            <w:pPr>
              <w:rPr>
                <w:rFonts w:ascii="Times New Roman" w:hAnsi="Times New Roman" w:cs="Times New Roman"/>
                <w:b/>
                <w:bCs/>
                <w:i/>
                <w:iCs/>
                <w:sz w:val="18"/>
                <w:szCs w:val="18"/>
              </w:rPr>
            </w:pPr>
          </w:p>
          <w:p w14:paraId="4C879FCD" w14:textId="742AE67F" w:rsidR="00C655DF" w:rsidRPr="0064128D" w:rsidRDefault="00C655DF" w:rsidP="00C655DF">
            <w:pPr>
              <w:rPr>
                <w:rFonts w:ascii="Times New Roman" w:hAnsi="Times New Roman" w:cs="Times New Roman"/>
                <w:sz w:val="18"/>
                <w:szCs w:val="18"/>
              </w:rPr>
            </w:pPr>
            <w:r w:rsidRPr="0064128D">
              <w:rPr>
                <w:rFonts w:ascii="Times New Roman" w:hAnsi="Times New Roman" w:cs="Times New Roman"/>
                <w:b/>
                <w:bCs/>
                <w:i/>
                <w:iCs/>
                <w:sz w:val="18"/>
                <w:szCs w:val="18"/>
              </w:rPr>
              <w:t>FRP</w:t>
            </w:r>
            <w:r w:rsidRPr="0064128D">
              <w:rPr>
                <w:rFonts w:ascii="Times New Roman" w:hAnsi="Times New Roman" w:cs="Times New Roman"/>
                <w:sz w:val="18"/>
                <w:szCs w:val="18"/>
              </w:rPr>
              <w:t>: The annual money-metric value of insurance for the entire one million population is US$24,582. The value is highest for the lowest income quintile and decreases as income rises.</w:t>
            </w:r>
          </w:p>
          <w:p w14:paraId="79635E70" w14:textId="77777777" w:rsidR="004E1025" w:rsidRPr="0064128D" w:rsidRDefault="004E1025" w:rsidP="00C655DF">
            <w:pPr>
              <w:rPr>
                <w:rFonts w:ascii="Times New Roman" w:hAnsi="Times New Roman" w:cs="Times New Roman"/>
                <w:b/>
                <w:bCs/>
                <w:i/>
                <w:iCs/>
                <w:sz w:val="18"/>
                <w:szCs w:val="18"/>
              </w:rPr>
            </w:pPr>
          </w:p>
          <w:p w14:paraId="0A0A5072" w14:textId="09220696" w:rsidR="00C655DF" w:rsidRPr="0064128D" w:rsidRDefault="00C655DF" w:rsidP="00C655DF">
            <w:pPr>
              <w:rPr>
                <w:rFonts w:ascii="Times New Roman" w:hAnsi="Times New Roman" w:cs="Times New Roman"/>
                <w:sz w:val="18"/>
                <w:szCs w:val="18"/>
              </w:rPr>
            </w:pPr>
            <w:r w:rsidRPr="0064128D">
              <w:rPr>
                <w:rFonts w:ascii="Times New Roman" w:hAnsi="Times New Roman" w:cs="Times New Roman"/>
                <w:b/>
                <w:bCs/>
                <w:i/>
                <w:iCs/>
                <w:sz w:val="18"/>
                <w:szCs w:val="18"/>
              </w:rPr>
              <w:t>Equity</w:t>
            </w:r>
            <w:r w:rsidRPr="0064128D">
              <w:rPr>
                <w:rFonts w:ascii="Times New Roman" w:hAnsi="Times New Roman" w:cs="Times New Roman"/>
                <w:sz w:val="18"/>
                <w:szCs w:val="18"/>
              </w:rPr>
              <w:t>: Health gains are concentrated among the poorest, whereas the non-health gains such as OOP private expenditures averted are concentrated among the richest income quintiles.</w:t>
            </w:r>
          </w:p>
          <w:p w14:paraId="088882F0" w14:textId="3ED3AC77" w:rsidR="00C655DF" w:rsidRPr="0064128D" w:rsidRDefault="00C655DF" w:rsidP="00C655DF">
            <w:pPr>
              <w:rPr>
                <w:rFonts w:ascii="Times New Roman" w:hAnsi="Times New Roman" w:cs="Times New Roman"/>
                <w:sz w:val="18"/>
                <w:szCs w:val="18"/>
              </w:rPr>
            </w:pPr>
            <w:r w:rsidRPr="0064128D">
              <w:rPr>
                <w:rFonts w:ascii="Times New Roman" w:hAnsi="Times New Roman" w:cs="Times New Roman"/>
                <w:sz w:val="18"/>
                <w:szCs w:val="18"/>
              </w:rPr>
              <w:t>OOP averted ranged from $49,880 for the poorest quintile to $63,906 for the richest income group.</w:t>
            </w:r>
            <w:r w:rsidR="006612C5" w:rsidRPr="0064128D">
              <w:rPr>
                <w:rFonts w:ascii="Times New Roman" w:hAnsi="Times New Roman" w:cs="Times New Roman"/>
                <w:sz w:val="18"/>
                <w:szCs w:val="18"/>
              </w:rPr>
              <w:t xml:space="preserve"> About 28 and 22 DALYs were averted for the poorest and richest income quintiles.</w:t>
            </w:r>
          </w:p>
        </w:tc>
      </w:tr>
      <w:tr w:rsidR="0064128D" w:rsidRPr="0064128D" w14:paraId="367171E1" w14:textId="77777777" w:rsidTr="00C718F8">
        <w:tc>
          <w:tcPr>
            <w:tcW w:w="540" w:type="dxa"/>
          </w:tcPr>
          <w:p w14:paraId="4919A20E" w14:textId="3CC6C412"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1</w:t>
            </w:r>
            <w:r w:rsidR="009B108F" w:rsidRPr="0064128D">
              <w:rPr>
                <w:rFonts w:ascii="Times New Roman" w:hAnsi="Times New Roman" w:cs="Times New Roman"/>
                <w:sz w:val="18"/>
                <w:szCs w:val="18"/>
              </w:rPr>
              <w:t>2</w:t>
            </w:r>
          </w:p>
        </w:tc>
        <w:tc>
          <w:tcPr>
            <w:tcW w:w="1260" w:type="dxa"/>
          </w:tcPr>
          <w:p w14:paraId="33132577" w14:textId="3B7D184A"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fldChar w:fldCharType="begin" w:fldLock="1"/>
            </w:r>
            <w:r w:rsidRPr="0064128D">
              <w:rPr>
                <w:rFonts w:ascii="Times New Roman" w:hAnsi="Times New Roman" w:cs="Times New Roman"/>
                <w:sz w:val="18"/>
                <w:szCs w:val="18"/>
              </w:rPr>
              <w:instrText>ADDIN CSL_CITATION {"citationItems":[{"id":"ITEM-1","itemData":{"DOI":"10.1016/j.socscimed.2016.10.020","ISSN":"18735347","PMID":"27792922","abstract":"Tobacco use is a significant risk factor for the leading causes of death worldwide, including cancer, heart disease and stroke. Most of these deaths occur in low- and middle-income countries, where tobacco-related deaths are also rising rapidly. Taxation is one of the most effective tobacco control measures, yet evidence on the distributional impact of tobacco taxation in low- and middle-income countries remains scant. This paper considers the financial and health effects, by socio-economic class, of increasing tobacco taxes in Lebanon, a middle-income country. An Almost Ideal Demand System is used to estimate price elasticities of demand for tobacco products. Extended cost-effectiveness analysis (ECEA) methods are applied to quantify, across quintiles of socio-economic status, the health benefits gained, the additional tax revenues raised, and the net financial consequences for households from a 50% increase in the price of tobacco through excise taxes. We find that demand for tobacco is price inelastic with elasticities ranging from −0.32 for the poorest quintile to −0.22 for the richest quintile. The increase in tobacco tax is estimated to result in 65,000 (95% CI: 37,000–93,000) premature deaths averted, 25% of them in the poorest quintile, $300M ($256–340M) of additional tax revenues, 12% borne by the poorest quintile, $23M ($13–33M) of out-of-pocket spending on healthcare averted, 36% of which accrue to the poorest quintile, 9% to the richest. These savings would be associated with 23,000 (13,000–33,000) poverty cases averted (63% in the poorest quintile). Increasing tobacco taxes would lead to large financial and health benefits, and would be pro-poor in health gains, savings on healthcare, and poverty reduction.","author":[{"dropping-particle":"","family":"Salti","given":"Nisreen","non-dropping-particle":"","parse-names":false,"suffix":""},{"dropping-particle":"","family":"Brouwer","given":"Elizabeth","non-dropping-particle":"","parse-names":false,"suffix":""},{"dropping-particle":"","family":"Verguet","given":"Stéphane","non-dropping-particle":"","parse-names":false,"suffix":""}],"container-title":"Social Science and Medicine","id":"ITEM-1","issued":{"date-parts":[["2016"]]},"page":"161-169","title":"The health, financial and distributional consequences of increases in the tobacco excise tax among smokers in Lebanon","type":"article-journal","volume":"170"},"uris":["http://www.mendeley.com/documents/?uuid=0f3e5b71-bfb7-4586-9bb5-ddc2cf3b822d"]}],"mendeley":{"formattedCitation":"(Salti et al., 2016)","manualFormatting":"Salti et al. (2016)","plainTextFormattedCitation":"(Salti et al., 2016)","previouslyFormattedCitation":"(Salti et al., 2016)"},"properties":{"noteIndex":0},"schema":"https://github.com/citation-style-language/schema/raw/master/csl-citation.json"}</w:instrText>
            </w:r>
            <w:r w:rsidRPr="0064128D">
              <w:rPr>
                <w:rFonts w:ascii="Times New Roman" w:hAnsi="Times New Roman" w:cs="Times New Roman"/>
                <w:sz w:val="18"/>
                <w:szCs w:val="18"/>
              </w:rPr>
              <w:fldChar w:fldCharType="separate"/>
            </w:r>
            <w:r w:rsidRPr="0064128D">
              <w:rPr>
                <w:rFonts w:ascii="Times New Roman" w:hAnsi="Times New Roman" w:cs="Times New Roman"/>
                <w:noProof/>
                <w:sz w:val="18"/>
                <w:szCs w:val="18"/>
              </w:rPr>
              <w:t>Salti et al. (2016)</w:t>
            </w:r>
            <w:r w:rsidRPr="0064128D">
              <w:rPr>
                <w:rFonts w:ascii="Times New Roman" w:hAnsi="Times New Roman" w:cs="Times New Roman"/>
                <w:sz w:val="18"/>
                <w:szCs w:val="18"/>
              </w:rPr>
              <w:fldChar w:fldCharType="end"/>
            </w:r>
            <w:r w:rsidRPr="0064128D">
              <w:rPr>
                <w:rFonts w:ascii="Times New Roman" w:hAnsi="Times New Roman" w:cs="Times New Roman"/>
                <w:sz w:val="18"/>
                <w:szCs w:val="18"/>
              </w:rPr>
              <w:t xml:space="preserve">, </w:t>
            </w:r>
          </w:p>
          <w:p w14:paraId="2D311B5D" w14:textId="1C8280CF"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Lebanon</w:t>
            </w:r>
          </w:p>
        </w:tc>
        <w:tc>
          <w:tcPr>
            <w:tcW w:w="3240" w:type="dxa"/>
          </w:tcPr>
          <w:p w14:paraId="5784E319" w14:textId="77777777"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 xml:space="preserve">Examined the </w:t>
            </w:r>
            <w:r w:rsidR="00283CA0" w:rsidRPr="0064128D">
              <w:rPr>
                <w:rFonts w:ascii="Times New Roman" w:hAnsi="Times New Roman" w:cs="Times New Roman"/>
                <w:sz w:val="18"/>
                <w:szCs w:val="18"/>
              </w:rPr>
              <w:t>non-health</w:t>
            </w:r>
            <w:r w:rsidRPr="0064128D">
              <w:rPr>
                <w:rFonts w:ascii="Times New Roman" w:hAnsi="Times New Roman" w:cs="Times New Roman"/>
                <w:sz w:val="18"/>
                <w:szCs w:val="18"/>
              </w:rPr>
              <w:t xml:space="preserve"> and health effects</w:t>
            </w:r>
            <w:r w:rsidR="00283CA0" w:rsidRPr="0064128D">
              <w:rPr>
                <w:rFonts w:ascii="Times New Roman" w:hAnsi="Times New Roman" w:cs="Times New Roman"/>
                <w:sz w:val="18"/>
                <w:szCs w:val="18"/>
              </w:rPr>
              <w:t xml:space="preserve">, by socio-economic status, </w:t>
            </w:r>
            <w:r w:rsidRPr="0064128D">
              <w:rPr>
                <w:rFonts w:ascii="Times New Roman" w:hAnsi="Times New Roman" w:cs="Times New Roman"/>
                <w:sz w:val="18"/>
                <w:szCs w:val="18"/>
              </w:rPr>
              <w:t>of</w:t>
            </w:r>
            <w:r w:rsidR="00927FD6" w:rsidRPr="0064128D">
              <w:rPr>
                <w:rFonts w:ascii="Times New Roman" w:hAnsi="Times New Roman" w:cs="Times New Roman"/>
                <w:sz w:val="18"/>
                <w:szCs w:val="18"/>
              </w:rPr>
              <w:t xml:space="preserve"> </w:t>
            </w:r>
            <w:r w:rsidRPr="0064128D">
              <w:rPr>
                <w:rFonts w:ascii="Times New Roman" w:hAnsi="Times New Roman" w:cs="Times New Roman"/>
                <w:sz w:val="18"/>
                <w:szCs w:val="18"/>
              </w:rPr>
              <w:t>increasing tobacco taxes in Lebanon.</w:t>
            </w:r>
          </w:p>
          <w:p w14:paraId="16DFC078" w14:textId="77777777" w:rsidR="00AF1EBA" w:rsidRPr="0064128D" w:rsidRDefault="00AF1EBA" w:rsidP="0027259C">
            <w:pPr>
              <w:rPr>
                <w:rFonts w:ascii="Times New Roman" w:hAnsi="Times New Roman" w:cs="Times New Roman"/>
                <w:sz w:val="18"/>
                <w:szCs w:val="18"/>
              </w:rPr>
            </w:pPr>
          </w:p>
          <w:p w14:paraId="22DFFD9D" w14:textId="77777777" w:rsidR="00AF1EBA" w:rsidRPr="0064128D" w:rsidRDefault="00AF1EBA" w:rsidP="0027259C">
            <w:pPr>
              <w:rPr>
                <w:rFonts w:ascii="Times New Roman" w:hAnsi="Times New Roman" w:cs="Times New Roman"/>
                <w:b/>
                <w:bCs/>
                <w:sz w:val="18"/>
                <w:szCs w:val="18"/>
                <w:u w:val="single"/>
              </w:rPr>
            </w:pPr>
            <w:r w:rsidRPr="0064128D">
              <w:rPr>
                <w:rFonts w:ascii="Times New Roman" w:hAnsi="Times New Roman" w:cs="Times New Roman"/>
                <w:b/>
                <w:bCs/>
                <w:sz w:val="18"/>
                <w:szCs w:val="18"/>
                <w:u w:val="single"/>
              </w:rPr>
              <w:t>Intervention:</w:t>
            </w:r>
          </w:p>
          <w:p w14:paraId="4FF39CBF" w14:textId="652526E5" w:rsidR="00AF1EBA" w:rsidRPr="0064128D" w:rsidRDefault="003B1528" w:rsidP="0027259C">
            <w:pPr>
              <w:rPr>
                <w:rFonts w:ascii="Times New Roman" w:hAnsi="Times New Roman" w:cs="Times New Roman"/>
                <w:sz w:val="18"/>
                <w:szCs w:val="18"/>
              </w:rPr>
            </w:pPr>
            <w:r w:rsidRPr="0064128D">
              <w:rPr>
                <w:rFonts w:ascii="Times New Roman" w:hAnsi="Times New Roman" w:cs="Times New Roman"/>
                <w:sz w:val="18"/>
                <w:szCs w:val="18"/>
              </w:rPr>
              <w:t>50% increase in the price of imported cigarettes.</w:t>
            </w:r>
          </w:p>
        </w:tc>
        <w:tc>
          <w:tcPr>
            <w:tcW w:w="2936" w:type="dxa"/>
          </w:tcPr>
          <w:p w14:paraId="463FC949" w14:textId="7D1F55EA"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Conducted</w:t>
            </w:r>
            <w:r w:rsidR="008B3B6F" w:rsidRPr="0064128D">
              <w:rPr>
                <w:rFonts w:ascii="Times New Roman" w:hAnsi="Times New Roman" w:cs="Times New Roman"/>
                <w:sz w:val="18"/>
                <w:szCs w:val="18"/>
              </w:rPr>
              <w:t xml:space="preserve"> ECEA</w:t>
            </w:r>
            <w:r w:rsidR="00FC0203" w:rsidRPr="0064128D">
              <w:rPr>
                <w:rFonts w:ascii="Times New Roman" w:hAnsi="Times New Roman" w:cs="Times New Roman"/>
                <w:sz w:val="18"/>
                <w:szCs w:val="18"/>
              </w:rPr>
              <w:t xml:space="preserve"> to estimate HBG, FRP, FC and equity</w:t>
            </w:r>
            <w:r w:rsidRPr="0064128D">
              <w:rPr>
                <w:rFonts w:ascii="Times New Roman" w:hAnsi="Times New Roman" w:cs="Times New Roman"/>
                <w:sz w:val="18"/>
                <w:szCs w:val="18"/>
              </w:rPr>
              <w:t>.</w:t>
            </w:r>
          </w:p>
          <w:p w14:paraId="4FD11CAF" w14:textId="1819BD4E" w:rsidR="002D6665" w:rsidRPr="0064128D" w:rsidRDefault="002D6665" w:rsidP="0027259C">
            <w:pPr>
              <w:rPr>
                <w:rFonts w:ascii="Times New Roman" w:hAnsi="Times New Roman" w:cs="Times New Roman"/>
                <w:sz w:val="18"/>
                <w:szCs w:val="18"/>
              </w:rPr>
            </w:pPr>
            <w:r w:rsidRPr="0064128D">
              <w:rPr>
                <w:rFonts w:ascii="Times New Roman" w:hAnsi="Times New Roman" w:cs="Times New Roman"/>
                <w:sz w:val="18"/>
                <w:szCs w:val="18"/>
              </w:rPr>
              <w:t>They employed data from the 1999 National Household Health Expenditures and Use Survey (NHHEUS), WDI, Global Youth Tobacco Survey (GYTS) Country Factsheet for Lebanon (2011), data from Institute for Health Metrics and Evaluation (IHME), Household living conditions survey (2005) and Authors’ calculation and assumptions.</w:t>
            </w:r>
          </w:p>
        </w:tc>
        <w:tc>
          <w:tcPr>
            <w:tcW w:w="6964" w:type="dxa"/>
          </w:tcPr>
          <w:p w14:paraId="2E90A5F3" w14:textId="5C23780C" w:rsidR="00464DB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HBG</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About 65,000 premature deaths would be averted by the tax increase.</w:t>
            </w:r>
          </w:p>
          <w:p w14:paraId="3602541E" w14:textId="01ED04E7" w:rsidR="00464DB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FC</w:t>
            </w:r>
            <w:r w:rsidRPr="0064128D">
              <w:rPr>
                <w:rFonts w:ascii="Times New Roman" w:hAnsi="Times New Roman" w:cs="Times New Roman"/>
                <w:sz w:val="18"/>
                <w:szCs w:val="18"/>
              </w:rPr>
              <w:t>:</w:t>
            </w:r>
            <w:r w:rsidR="00100EFE" w:rsidRPr="0064128D">
              <w:rPr>
                <w:rFonts w:ascii="Times New Roman" w:hAnsi="Times New Roman" w:cs="Times New Roman"/>
                <w:sz w:val="18"/>
                <w:szCs w:val="18"/>
              </w:rPr>
              <w:t xml:space="preserve"> </w:t>
            </w:r>
            <w:r w:rsidR="00464DB7" w:rsidRPr="0064128D">
              <w:rPr>
                <w:rFonts w:ascii="Times New Roman" w:hAnsi="Times New Roman" w:cs="Times New Roman"/>
                <w:sz w:val="18"/>
                <w:szCs w:val="18"/>
              </w:rPr>
              <w:t>US$300 million of additional tax revenues.</w:t>
            </w:r>
            <w:r w:rsidR="003211C0">
              <w:rPr>
                <w:rFonts w:ascii="Times New Roman" w:hAnsi="Times New Roman" w:cs="Times New Roman"/>
                <w:sz w:val="18"/>
                <w:szCs w:val="18"/>
              </w:rPr>
              <w:t xml:space="preserve"> </w:t>
            </w:r>
            <w:r w:rsidR="003211C0" w:rsidRPr="0064128D">
              <w:rPr>
                <w:rFonts w:ascii="Times New Roman" w:hAnsi="Times New Roman" w:cs="Times New Roman"/>
                <w:sz w:val="18"/>
                <w:szCs w:val="18"/>
              </w:rPr>
              <w:t>US$22 million of OOP spending on healthcare would be averted. Expenditure on tobacco-related disease treatment averted was US$ 37 million.</w:t>
            </w:r>
          </w:p>
          <w:p w14:paraId="1BE23EF5" w14:textId="588B6580" w:rsidR="00464DB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FRP</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Around 2</w:t>
            </w:r>
            <w:r w:rsidR="003B1528" w:rsidRPr="0064128D">
              <w:rPr>
                <w:rFonts w:ascii="Times New Roman" w:hAnsi="Times New Roman" w:cs="Times New Roman"/>
                <w:sz w:val="18"/>
                <w:szCs w:val="18"/>
              </w:rPr>
              <w:t>6</w:t>
            </w:r>
            <w:r w:rsidR="00464DB7" w:rsidRPr="0064128D">
              <w:rPr>
                <w:rFonts w:ascii="Times New Roman" w:hAnsi="Times New Roman" w:cs="Times New Roman"/>
                <w:sz w:val="18"/>
                <w:szCs w:val="18"/>
              </w:rPr>
              <w:t>,</w:t>
            </w:r>
            <w:r w:rsidR="003B1528" w:rsidRPr="0064128D">
              <w:rPr>
                <w:rFonts w:ascii="Times New Roman" w:hAnsi="Times New Roman" w:cs="Times New Roman"/>
                <w:sz w:val="18"/>
                <w:szCs w:val="18"/>
              </w:rPr>
              <w:t>8</w:t>
            </w:r>
            <w:r w:rsidR="00464DB7" w:rsidRPr="0064128D">
              <w:rPr>
                <w:rFonts w:ascii="Times New Roman" w:hAnsi="Times New Roman" w:cs="Times New Roman"/>
                <w:sz w:val="18"/>
                <w:szCs w:val="18"/>
              </w:rPr>
              <w:t xml:space="preserve">00 poverty cases </w:t>
            </w:r>
            <w:r w:rsidR="00192B7E" w:rsidRPr="0064128D">
              <w:rPr>
                <w:rFonts w:ascii="Times New Roman" w:hAnsi="Times New Roman" w:cs="Times New Roman"/>
                <w:sz w:val="18"/>
                <w:szCs w:val="18"/>
              </w:rPr>
              <w:t>were</w:t>
            </w:r>
            <w:r w:rsidR="00464DB7" w:rsidRPr="0064128D">
              <w:rPr>
                <w:rFonts w:ascii="Times New Roman" w:hAnsi="Times New Roman" w:cs="Times New Roman"/>
                <w:sz w:val="18"/>
                <w:szCs w:val="18"/>
              </w:rPr>
              <w:t xml:space="preserve"> averted. </w:t>
            </w:r>
          </w:p>
          <w:p w14:paraId="2446427D" w14:textId="749B84E2" w:rsidR="00464DB7" w:rsidRPr="0064128D" w:rsidRDefault="00D82C07" w:rsidP="0027259C">
            <w:pPr>
              <w:rPr>
                <w:rFonts w:ascii="Times New Roman" w:hAnsi="Times New Roman" w:cs="Times New Roman"/>
                <w:sz w:val="18"/>
                <w:szCs w:val="18"/>
              </w:rPr>
            </w:pPr>
            <w:r w:rsidRPr="0064128D">
              <w:rPr>
                <w:rFonts w:ascii="Times New Roman" w:hAnsi="Times New Roman" w:cs="Times New Roman"/>
                <w:b/>
                <w:bCs/>
                <w:i/>
                <w:iCs/>
                <w:sz w:val="18"/>
                <w:szCs w:val="18"/>
              </w:rPr>
              <w:t>Equity</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The tax increase would be pro-poor in health gains, savings on healthcare and poverty reduction.</w:t>
            </w:r>
            <w:r w:rsidR="001507A7" w:rsidRPr="0064128D">
              <w:rPr>
                <w:rFonts w:ascii="Times New Roman" w:hAnsi="Times New Roman" w:cs="Times New Roman"/>
                <w:sz w:val="18"/>
                <w:szCs w:val="18"/>
              </w:rPr>
              <w:t xml:space="preserve"> Premature deaths averted was 17,000 for the poorest income quintile and 9,000 for the richest income quintile. OOP expenditures averted was US$ 8 million for the poorest income quintiles and US$ 2 million for the richest income quintile.</w:t>
            </w:r>
            <w:r w:rsidR="00463F20" w:rsidRPr="0064128D">
              <w:rPr>
                <w:rFonts w:ascii="Times New Roman" w:hAnsi="Times New Roman" w:cs="Times New Roman"/>
                <w:sz w:val="18"/>
                <w:szCs w:val="18"/>
              </w:rPr>
              <w:t xml:space="preserve"> Poverty cases averted was 17,000 for the poorest income quintile and zero or no cases for the richest income quintile.</w:t>
            </w:r>
          </w:p>
        </w:tc>
      </w:tr>
      <w:tr w:rsidR="0064128D" w:rsidRPr="0064128D" w14:paraId="79E7E0D5" w14:textId="77777777" w:rsidTr="00C718F8">
        <w:tc>
          <w:tcPr>
            <w:tcW w:w="540" w:type="dxa"/>
          </w:tcPr>
          <w:p w14:paraId="5516CADC" w14:textId="70EE3F2D"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1</w:t>
            </w:r>
            <w:r w:rsidR="009B108F" w:rsidRPr="0064128D">
              <w:rPr>
                <w:rFonts w:ascii="Times New Roman" w:hAnsi="Times New Roman" w:cs="Times New Roman"/>
                <w:sz w:val="18"/>
                <w:szCs w:val="18"/>
              </w:rPr>
              <w:t>3</w:t>
            </w:r>
          </w:p>
        </w:tc>
        <w:tc>
          <w:tcPr>
            <w:tcW w:w="1260" w:type="dxa"/>
          </w:tcPr>
          <w:p w14:paraId="63CA9616" w14:textId="776ABE63"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fldChar w:fldCharType="begin" w:fldLock="1"/>
            </w:r>
            <w:r w:rsidRPr="0064128D">
              <w:rPr>
                <w:rFonts w:ascii="Times New Roman" w:hAnsi="Times New Roman" w:cs="Times New Roman"/>
                <w:sz w:val="18"/>
                <w:szCs w:val="18"/>
              </w:rPr>
              <w:instrText>ADDIN CSL_CITATION {"citationItems":[{"id":"ITEM-1","itemData":{"DOI":"10.1093/heapol/czv023","ISSN":"14602237","PMID":"25841771","abstract":"The South African Government recently set targets to reduce cardiovascular disease (CVD) by lowering salt consumption. We conducted an extended cost-effectiveness analysis (ECEA) to model the potential health and economic impacts of this salt policy. We used surveys and epidemiologic studies to estimate reductions in CVD resulting from lower salt intake. We calculated the average out-of-pocket (OOP) cost of CVD care, using facility fee schedules and drug prices. We estimated the reduction in OOP expenditures and government subsidies due to the policy. We estimated public and private sector costs of policy implementation. We estimated financial risk protection (FRP) from the policy as (1) cases of catastrophic health expenditure (CHE) averted or (2) cases of poverty averted. We also performed a sensitivity analysis. We found that the salt policy could reduce CVD deaths by 11%, with similar health gains across income quintiles. The policy could save households US$ 4.06 million (2012) in OOP expenditures (US$ 0.29 per capita) and save the government US$ 51.25 million in healthcare subsidies (US$ 2.52 per capita) each year. The cost to the government would be only US$ 0.01 per capita; hence, the policy would be cost saving. If the private sector food reformulation costs were passed on to consumers, food expenditures would increase by &lt;0.2% across all income quintiles. Preventing CVD could avert 2400 cases of CHE or 2000 cases of poverty yearly. Our results were sensitive to baseline CVD mortality rates and the cost of treatment. We conclude that, in addition to health gains, population salt reduction can have positive economic impacts - substantially reducing OOP expenditures and providing FRP, particularly for the middle class. The policy could also provide large government savings on health care.","author":[{"dropping-particle":"","family":"Watkins","given":"David A.","non-dropping-particle":"","parse-names":false,"suffix":""},{"dropping-particle":"","family":"Olson","given":"Zachary D.","non-dropping-particle":"","parse-names":false,"suffix":""},{"dropping-particle":"","family":"Verguet","given":"Stéphane","non-dropping-particle":"","parse-names":false,"suffix":""},{"dropping-particle":"","family":"Nugent","given":"Rachel A.","non-dropping-particle":"","parse-names":false,"suffix":""},{"dropping-particle":"","family":"Jamison","given":"Dean T.","non-dropping-particle":"","parse-names":false,"suffix":""}],"container-title":"Health Policy and Planning","id":"ITEM-1","issue":"1","issued":{"date-parts":[["2016"]]},"page":"75-82","title":"Cardiovascular disease and impoverishment averted due to a salt reduction policy in South Africa: An extended cost-effectiveness analysis","type":"article-journal","volume":"31"},"uris":["http://www.mendeley.com/documents/?uuid=d679fbf4-82d3-45e6-be72-67eba9fe64ae"]}],"mendeley":{"formattedCitation":"(Watkins et al., 2016)","manualFormatting":"Watkins et al. (2016)","plainTextFormattedCitation":"(Watkins et al., 2016)","previouslyFormattedCitation":"(Watkins et al., 2016)"},"properties":{"noteIndex":0},"schema":"https://github.com/citation-style-language/schema/raw/master/csl-citation.json"}</w:instrText>
            </w:r>
            <w:r w:rsidRPr="0064128D">
              <w:rPr>
                <w:rFonts w:ascii="Times New Roman" w:hAnsi="Times New Roman" w:cs="Times New Roman"/>
                <w:sz w:val="18"/>
                <w:szCs w:val="18"/>
              </w:rPr>
              <w:fldChar w:fldCharType="separate"/>
            </w:r>
            <w:r w:rsidRPr="0064128D">
              <w:rPr>
                <w:rFonts w:ascii="Times New Roman" w:hAnsi="Times New Roman" w:cs="Times New Roman"/>
                <w:noProof/>
                <w:sz w:val="18"/>
                <w:szCs w:val="18"/>
              </w:rPr>
              <w:t>Watkins et al. (2016)</w:t>
            </w:r>
            <w:r w:rsidRPr="0064128D">
              <w:rPr>
                <w:rFonts w:ascii="Times New Roman" w:hAnsi="Times New Roman" w:cs="Times New Roman"/>
                <w:sz w:val="18"/>
                <w:szCs w:val="18"/>
              </w:rPr>
              <w:fldChar w:fldCharType="end"/>
            </w:r>
            <w:r w:rsidRPr="0064128D">
              <w:rPr>
                <w:rFonts w:ascii="Times New Roman" w:hAnsi="Times New Roman" w:cs="Times New Roman"/>
                <w:sz w:val="18"/>
                <w:szCs w:val="18"/>
              </w:rPr>
              <w:t>,</w:t>
            </w:r>
          </w:p>
          <w:p w14:paraId="11628369" w14:textId="6740826F"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South Africa</w:t>
            </w:r>
          </w:p>
        </w:tc>
        <w:tc>
          <w:tcPr>
            <w:tcW w:w="3240" w:type="dxa"/>
          </w:tcPr>
          <w:p w14:paraId="519BAEB2" w14:textId="347C09DD"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 xml:space="preserve">Estimated the </w:t>
            </w:r>
            <w:r w:rsidR="00AB1A0D" w:rsidRPr="0064128D">
              <w:rPr>
                <w:rFonts w:ascii="Times New Roman" w:hAnsi="Times New Roman" w:cs="Times New Roman"/>
                <w:sz w:val="18"/>
                <w:szCs w:val="18"/>
              </w:rPr>
              <w:t>health and non-health impacts</w:t>
            </w:r>
            <w:r w:rsidRPr="0064128D">
              <w:rPr>
                <w:rFonts w:ascii="Times New Roman" w:hAnsi="Times New Roman" w:cs="Times New Roman"/>
                <w:sz w:val="18"/>
                <w:szCs w:val="18"/>
              </w:rPr>
              <w:t xml:space="preserve"> of a salt reduction policy on cardiovascular diseases (CVD) in South Africa</w:t>
            </w:r>
            <w:r w:rsidR="00134E2F" w:rsidRPr="0064128D">
              <w:rPr>
                <w:rFonts w:ascii="Times New Roman" w:hAnsi="Times New Roman" w:cs="Times New Roman"/>
                <w:sz w:val="18"/>
                <w:szCs w:val="18"/>
              </w:rPr>
              <w:t>, across income quintiles</w:t>
            </w:r>
            <w:r w:rsidRPr="0064128D">
              <w:rPr>
                <w:rFonts w:ascii="Times New Roman" w:hAnsi="Times New Roman" w:cs="Times New Roman"/>
                <w:sz w:val="18"/>
                <w:szCs w:val="18"/>
              </w:rPr>
              <w:t>.</w:t>
            </w:r>
          </w:p>
          <w:p w14:paraId="159341B3" w14:textId="4CD9BF3C" w:rsidR="0061688A" w:rsidRPr="0064128D" w:rsidRDefault="0061688A" w:rsidP="0027259C">
            <w:pPr>
              <w:rPr>
                <w:rFonts w:ascii="Times New Roman" w:hAnsi="Times New Roman" w:cs="Times New Roman"/>
                <w:sz w:val="18"/>
                <w:szCs w:val="18"/>
              </w:rPr>
            </w:pPr>
            <w:r w:rsidRPr="0064128D">
              <w:rPr>
                <w:rFonts w:ascii="Times New Roman" w:hAnsi="Times New Roman" w:cs="Times New Roman"/>
                <w:sz w:val="18"/>
                <w:szCs w:val="18"/>
              </w:rPr>
              <w:t>CVD included stroke, ischemic heart disease</w:t>
            </w:r>
            <w:r w:rsidR="00F53B06" w:rsidRPr="0064128D">
              <w:rPr>
                <w:rFonts w:ascii="Times New Roman" w:hAnsi="Times New Roman" w:cs="Times New Roman"/>
                <w:sz w:val="18"/>
                <w:szCs w:val="18"/>
              </w:rPr>
              <w:t xml:space="preserve"> (IHD)</w:t>
            </w:r>
            <w:r w:rsidRPr="0064128D">
              <w:rPr>
                <w:rFonts w:ascii="Times New Roman" w:hAnsi="Times New Roman" w:cs="Times New Roman"/>
                <w:sz w:val="18"/>
                <w:szCs w:val="18"/>
              </w:rPr>
              <w:t xml:space="preserve">, hypertensive heart failure </w:t>
            </w:r>
            <w:r w:rsidR="00F53B06" w:rsidRPr="0064128D">
              <w:rPr>
                <w:rFonts w:ascii="Times New Roman" w:hAnsi="Times New Roman" w:cs="Times New Roman"/>
                <w:sz w:val="18"/>
                <w:szCs w:val="18"/>
              </w:rPr>
              <w:lastRenderedPageBreak/>
              <w:t xml:space="preserve">(HHF) </w:t>
            </w:r>
            <w:r w:rsidRPr="0064128D">
              <w:rPr>
                <w:rFonts w:ascii="Times New Roman" w:hAnsi="Times New Roman" w:cs="Times New Roman"/>
                <w:sz w:val="18"/>
                <w:szCs w:val="18"/>
              </w:rPr>
              <w:t>and end-stage renal disease due to hypertension</w:t>
            </w:r>
            <w:r w:rsidR="00F53B06" w:rsidRPr="0064128D">
              <w:rPr>
                <w:rFonts w:ascii="Times New Roman" w:hAnsi="Times New Roman" w:cs="Times New Roman"/>
                <w:sz w:val="18"/>
                <w:szCs w:val="18"/>
              </w:rPr>
              <w:t xml:space="preserve"> (ESRD)</w:t>
            </w:r>
            <w:r w:rsidRPr="0064128D">
              <w:rPr>
                <w:rFonts w:ascii="Times New Roman" w:hAnsi="Times New Roman" w:cs="Times New Roman"/>
                <w:sz w:val="18"/>
                <w:szCs w:val="18"/>
              </w:rPr>
              <w:t>.</w:t>
            </w:r>
          </w:p>
          <w:p w14:paraId="2A25BD24" w14:textId="4944BA40" w:rsidR="00413603" w:rsidRPr="0064128D" w:rsidRDefault="00413603" w:rsidP="0027259C">
            <w:pPr>
              <w:rPr>
                <w:rFonts w:ascii="Times New Roman" w:hAnsi="Times New Roman" w:cs="Times New Roman"/>
                <w:sz w:val="18"/>
                <w:szCs w:val="18"/>
              </w:rPr>
            </w:pPr>
          </w:p>
          <w:p w14:paraId="6CAA058F" w14:textId="347D04F7" w:rsidR="007940C0" w:rsidRPr="0064128D" w:rsidRDefault="00080DC9" w:rsidP="0027259C">
            <w:pPr>
              <w:rPr>
                <w:rFonts w:ascii="Times New Roman" w:hAnsi="Times New Roman" w:cs="Times New Roman"/>
                <w:sz w:val="18"/>
                <w:szCs w:val="18"/>
              </w:rPr>
            </w:pPr>
            <w:r w:rsidRPr="0064128D">
              <w:rPr>
                <w:rFonts w:ascii="Times New Roman" w:hAnsi="Times New Roman" w:cs="Times New Roman"/>
                <w:b/>
                <w:bCs/>
                <w:sz w:val="18"/>
                <w:szCs w:val="18"/>
              </w:rPr>
              <w:t>Status quo</w:t>
            </w:r>
            <w:r w:rsidR="007940C0" w:rsidRPr="0064128D">
              <w:rPr>
                <w:rFonts w:ascii="Times New Roman" w:hAnsi="Times New Roman" w:cs="Times New Roman"/>
                <w:sz w:val="18"/>
                <w:szCs w:val="18"/>
              </w:rPr>
              <w:t xml:space="preserve">: The existing salt consumption was 8 g per person daily. </w:t>
            </w:r>
          </w:p>
          <w:p w14:paraId="6D6EE55E" w14:textId="77777777" w:rsidR="00413603" w:rsidRPr="0064128D" w:rsidRDefault="00413603" w:rsidP="0027259C">
            <w:pPr>
              <w:rPr>
                <w:rFonts w:ascii="Times New Roman" w:hAnsi="Times New Roman" w:cs="Times New Roman"/>
                <w:sz w:val="18"/>
                <w:szCs w:val="18"/>
              </w:rPr>
            </w:pPr>
          </w:p>
          <w:p w14:paraId="7E0C1FB3" w14:textId="77777777" w:rsidR="00413603" w:rsidRPr="0064128D" w:rsidRDefault="00413603" w:rsidP="0027259C">
            <w:pPr>
              <w:rPr>
                <w:rFonts w:ascii="Times New Roman" w:hAnsi="Times New Roman" w:cs="Times New Roman"/>
                <w:sz w:val="18"/>
                <w:szCs w:val="18"/>
              </w:rPr>
            </w:pPr>
            <w:r w:rsidRPr="0064128D">
              <w:rPr>
                <w:rFonts w:ascii="Times New Roman" w:hAnsi="Times New Roman" w:cs="Times New Roman"/>
                <w:b/>
                <w:bCs/>
                <w:sz w:val="18"/>
                <w:szCs w:val="18"/>
                <w:u w:val="single"/>
              </w:rPr>
              <w:t>Intervention</w:t>
            </w:r>
            <w:r w:rsidRPr="0064128D">
              <w:rPr>
                <w:rFonts w:ascii="Times New Roman" w:hAnsi="Times New Roman" w:cs="Times New Roman"/>
                <w:sz w:val="18"/>
                <w:szCs w:val="18"/>
              </w:rPr>
              <w:t>:</w:t>
            </w:r>
          </w:p>
          <w:p w14:paraId="0B57FF48" w14:textId="7558A895" w:rsidR="00413603" w:rsidRPr="0064128D" w:rsidRDefault="0061688A" w:rsidP="0027259C">
            <w:pPr>
              <w:rPr>
                <w:rFonts w:ascii="Times New Roman" w:hAnsi="Times New Roman" w:cs="Times New Roman"/>
                <w:sz w:val="18"/>
                <w:szCs w:val="18"/>
              </w:rPr>
            </w:pPr>
            <w:r w:rsidRPr="0064128D">
              <w:rPr>
                <w:rFonts w:ascii="Times New Roman" w:hAnsi="Times New Roman" w:cs="Times New Roman"/>
                <w:sz w:val="18"/>
                <w:szCs w:val="18"/>
              </w:rPr>
              <w:t>Government’s target in salt consumption is</w:t>
            </w:r>
            <w:r w:rsidR="007940C0" w:rsidRPr="0064128D">
              <w:rPr>
                <w:rFonts w:ascii="Times New Roman" w:hAnsi="Times New Roman" w:cs="Times New Roman"/>
                <w:sz w:val="18"/>
                <w:szCs w:val="18"/>
              </w:rPr>
              <w:t xml:space="preserve"> 38% reduction to</w:t>
            </w:r>
            <w:r w:rsidRPr="0064128D">
              <w:rPr>
                <w:rFonts w:ascii="Times New Roman" w:hAnsi="Times New Roman" w:cs="Times New Roman"/>
                <w:sz w:val="18"/>
                <w:szCs w:val="18"/>
              </w:rPr>
              <w:t xml:space="preserve"> 5 g per day.</w:t>
            </w:r>
          </w:p>
        </w:tc>
        <w:tc>
          <w:tcPr>
            <w:tcW w:w="2936" w:type="dxa"/>
          </w:tcPr>
          <w:p w14:paraId="1CE14260" w14:textId="3C9BEBC5"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lastRenderedPageBreak/>
              <w:t xml:space="preserve">Used </w:t>
            </w:r>
            <w:r w:rsidR="0097299D" w:rsidRPr="0064128D">
              <w:rPr>
                <w:rFonts w:ascii="Times New Roman" w:hAnsi="Times New Roman" w:cs="Times New Roman"/>
                <w:sz w:val="18"/>
                <w:szCs w:val="18"/>
              </w:rPr>
              <w:t>ECEA</w:t>
            </w:r>
            <w:r w:rsidR="002E73F9" w:rsidRPr="0064128D">
              <w:rPr>
                <w:rFonts w:ascii="Times New Roman" w:hAnsi="Times New Roman" w:cs="Times New Roman"/>
                <w:sz w:val="18"/>
                <w:szCs w:val="18"/>
              </w:rPr>
              <w:t xml:space="preserve"> to estimate HBG, and FC</w:t>
            </w:r>
            <w:r w:rsidR="00CD56E5" w:rsidRPr="0064128D">
              <w:rPr>
                <w:rFonts w:ascii="Times New Roman" w:hAnsi="Times New Roman" w:cs="Times New Roman"/>
                <w:sz w:val="18"/>
                <w:szCs w:val="18"/>
              </w:rPr>
              <w:t>, FRP and equity</w:t>
            </w:r>
            <w:r w:rsidRPr="0064128D">
              <w:rPr>
                <w:rFonts w:ascii="Times New Roman" w:hAnsi="Times New Roman" w:cs="Times New Roman"/>
                <w:sz w:val="18"/>
                <w:szCs w:val="18"/>
              </w:rPr>
              <w:t>.</w:t>
            </w:r>
          </w:p>
          <w:p w14:paraId="12A589D9" w14:textId="1C61EC92" w:rsidR="002E73F9" w:rsidRPr="0064128D" w:rsidRDefault="002E73F9" w:rsidP="0027259C">
            <w:pPr>
              <w:rPr>
                <w:rFonts w:ascii="Times New Roman" w:hAnsi="Times New Roman" w:cs="Times New Roman"/>
                <w:sz w:val="18"/>
                <w:szCs w:val="18"/>
              </w:rPr>
            </w:pPr>
            <w:r w:rsidRPr="0064128D">
              <w:rPr>
                <w:rFonts w:ascii="Times New Roman" w:hAnsi="Times New Roman" w:cs="Times New Roman"/>
                <w:sz w:val="18"/>
                <w:szCs w:val="18"/>
              </w:rPr>
              <w:t>Costs were estimated from the societal perspective.</w:t>
            </w:r>
            <w:r w:rsidR="007971D8" w:rsidRPr="0064128D">
              <w:rPr>
                <w:rFonts w:ascii="Times New Roman" w:hAnsi="Times New Roman" w:cs="Times New Roman"/>
                <w:sz w:val="18"/>
                <w:szCs w:val="18"/>
              </w:rPr>
              <w:t xml:space="preserve"> Data was taken from </w:t>
            </w:r>
            <w:r w:rsidR="00134E2F" w:rsidRPr="0064128D">
              <w:rPr>
                <w:rFonts w:ascii="Times New Roman" w:hAnsi="Times New Roman" w:cs="Times New Roman"/>
                <w:sz w:val="18"/>
                <w:szCs w:val="18"/>
              </w:rPr>
              <w:t xml:space="preserve">National Income Dynamics Study (NiDS), </w:t>
            </w:r>
            <w:r w:rsidR="007971D8" w:rsidRPr="0064128D">
              <w:rPr>
                <w:rFonts w:ascii="Times New Roman" w:hAnsi="Times New Roman" w:cs="Times New Roman"/>
                <w:sz w:val="18"/>
                <w:szCs w:val="18"/>
              </w:rPr>
              <w:t xml:space="preserve">IHME and empirical </w:t>
            </w:r>
            <w:r w:rsidR="007971D8" w:rsidRPr="0064128D">
              <w:rPr>
                <w:rFonts w:ascii="Times New Roman" w:hAnsi="Times New Roman" w:cs="Times New Roman"/>
                <w:sz w:val="18"/>
                <w:szCs w:val="18"/>
              </w:rPr>
              <w:lastRenderedPageBreak/>
              <w:t>literature.</w:t>
            </w:r>
            <w:r w:rsidR="0080199E" w:rsidRPr="0064128D">
              <w:rPr>
                <w:rFonts w:ascii="Times New Roman" w:hAnsi="Times New Roman" w:cs="Times New Roman"/>
                <w:sz w:val="18"/>
                <w:szCs w:val="18"/>
              </w:rPr>
              <w:t xml:space="preserve"> A cohort of 1 million adults 40 years or older were used.</w:t>
            </w:r>
          </w:p>
          <w:p w14:paraId="49E9201B" w14:textId="6B6EE2F9" w:rsidR="005B717F" w:rsidRPr="0064128D" w:rsidRDefault="005B717F" w:rsidP="0027259C">
            <w:pPr>
              <w:rPr>
                <w:rFonts w:ascii="Times New Roman" w:hAnsi="Times New Roman" w:cs="Times New Roman"/>
                <w:sz w:val="18"/>
                <w:szCs w:val="18"/>
              </w:rPr>
            </w:pPr>
          </w:p>
        </w:tc>
        <w:tc>
          <w:tcPr>
            <w:tcW w:w="6964" w:type="dxa"/>
          </w:tcPr>
          <w:p w14:paraId="1C3C32A3" w14:textId="1AEFF39F" w:rsidR="00464DB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lastRenderedPageBreak/>
              <w:t>HBG</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w:t>
            </w:r>
            <w:r w:rsidR="00333088" w:rsidRPr="0064128D">
              <w:rPr>
                <w:rFonts w:ascii="Times New Roman" w:hAnsi="Times New Roman" w:cs="Times New Roman"/>
                <w:sz w:val="18"/>
                <w:szCs w:val="18"/>
              </w:rPr>
              <w:t>403 CVD deaths averted.</w:t>
            </w:r>
          </w:p>
          <w:p w14:paraId="7D3D4B50" w14:textId="44383FA7" w:rsidR="00333088"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FC</w:t>
            </w:r>
            <w:r w:rsidRPr="0064128D">
              <w:rPr>
                <w:rFonts w:ascii="Times New Roman" w:hAnsi="Times New Roman" w:cs="Times New Roman"/>
                <w:sz w:val="18"/>
                <w:szCs w:val="18"/>
              </w:rPr>
              <w:t>:</w:t>
            </w:r>
            <w:r w:rsidR="000E26E5" w:rsidRPr="0064128D">
              <w:rPr>
                <w:rFonts w:ascii="Times New Roman" w:hAnsi="Times New Roman" w:cs="Times New Roman"/>
                <w:sz w:val="18"/>
                <w:szCs w:val="18"/>
              </w:rPr>
              <w:t xml:space="preserve"> Total OOP savings and government savings were $294,860 and $2,523,850, respectively.</w:t>
            </w:r>
          </w:p>
          <w:p w14:paraId="0943C52B" w14:textId="6BB5A514" w:rsidR="00464DB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FRP</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w:t>
            </w:r>
            <w:r w:rsidR="00850B64" w:rsidRPr="0064128D">
              <w:rPr>
                <w:rFonts w:ascii="Times New Roman" w:hAnsi="Times New Roman" w:cs="Times New Roman"/>
                <w:sz w:val="18"/>
                <w:szCs w:val="18"/>
              </w:rPr>
              <w:t>CHE cases averted was 175. Poverty cases averted was 145</w:t>
            </w:r>
            <w:r w:rsidR="0088627F">
              <w:rPr>
                <w:rFonts w:ascii="Times New Roman" w:hAnsi="Times New Roman" w:cs="Times New Roman"/>
                <w:sz w:val="18"/>
                <w:szCs w:val="18"/>
              </w:rPr>
              <w:t>.</w:t>
            </w:r>
          </w:p>
          <w:p w14:paraId="2CAFD38A" w14:textId="31B68FF4" w:rsidR="00D422D9" w:rsidRPr="0064128D" w:rsidRDefault="00D82C07" w:rsidP="0027259C">
            <w:pPr>
              <w:rPr>
                <w:rFonts w:ascii="Times New Roman" w:hAnsi="Times New Roman" w:cs="Times New Roman"/>
                <w:sz w:val="18"/>
                <w:szCs w:val="18"/>
              </w:rPr>
            </w:pPr>
            <w:r w:rsidRPr="0064128D">
              <w:rPr>
                <w:rFonts w:ascii="Times New Roman" w:hAnsi="Times New Roman" w:cs="Times New Roman"/>
                <w:b/>
                <w:bCs/>
                <w:i/>
                <w:iCs/>
                <w:sz w:val="18"/>
                <w:szCs w:val="18"/>
              </w:rPr>
              <w:t>Equity</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More CHE cases were averted in the upper income quintiles driven by more expensive care accesses by the wealthy. </w:t>
            </w:r>
            <w:r w:rsidR="00D422D9" w:rsidRPr="0064128D">
              <w:rPr>
                <w:rFonts w:ascii="Times New Roman" w:hAnsi="Times New Roman" w:cs="Times New Roman"/>
                <w:sz w:val="18"/>
                <w:szCs w:val="18"/>
              </w:rPr>
              <w:t xml:space="preserve">Thus, 6 and 80 cases were averted for the poorest </w:t>
            </w:r>
            <w:r w:rsidR="00D422D9" w:rsidRPr="0064128D">
              <w:rPr>
                <w:rFonts w:ascii="Times New Roman" w:hAnsi="Times New Roman" w:cs="Times New Roman"/>
                <w:sz w:val="18"/>
                <w:szCs w:val="18"/>
              </w:rPr>
              <w:lastRenderedPageBreak/>
              <w:t>and richest income quintile</w:t>
            </w:r>
            <w:r w:rsidR="00A97BA3" w:rsidRPr="0064128D">
              <w:rPr>
                <w:rFonts w:ascii="Times New Roman" w:hAnsi="Times New Roman" w:cs="Times New Roman"/>
                <w:sz w:val="18"/>
                <w:szCs w:val="18"/>
              </w:rPr>
              <w:t>s</w:t>
            </w:r>
            <w:r w:rsidR="00D422D9" w:rsidRPr="0064128D">
              <w:rPr>
                <w:rFonts w:ascii="Times New Roman" w:hAnsi="Times New Roman" w:cs="Times New Roman"/>
                <w:sz w:val="18"/>
                <w:szCs w:val="18"/>
              </w:rPr>
              <w:t xml:space="preserve">, respectively. </w:t>
            </w:r>
            <w:r w:rsidR="0077566C" w:rsidRPr="0064128D">
              <w:rPr>
                <w:rFonts w:ascii="Times New Roman" w:hAnsi="Times New Roman" w:cs="Times New Roman"/>
                <w:sz w:val="18"/>
                <w:szCs w:val="18"/>
              </w:rPr>
              <w:t>Poverty cases averted was zero and 2 for the poorest and richest income quintile</w:t>
            </w:r>
            <w:r w:rsidR="00A97BA3" w:rsidRPr="0064128D">
              <w:rPr>
                <w:rFonts w:ascii="Times New Roman" w:hAnsi="Times New Roman" w:cs="Times New Roman"/>
                <w:sz w:val="18"/>
                <w:szCs w:val="18"/>
              </w:rPr>
              <w:t>s</w:t>
            </w:r>
            <w:r w:rsidR="0077566C" w:rsidRPr="0064128D">
              <w:rPr>
                <w:rFonts w:ascii="Times New Roman" w:hAnsi="Times New Roman" w:cs="Times New Roman"/>
                <w:sz w:val="18"/>
                <w:szCs w:val="18"/>
              </w:rPr>
              <w:t>, respectively.</w:t>
            </w:r>
          </w:p>
          <w:p w14:paraId="0F81996F" w14:textId="00D29FE2"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However, health gains were (fairly) evenly distributed, except for a slightly lower impact in the poorest quintile.</w:t>
            </w:r>
            <w:r w:rsidR="002C38A7" w:rsidRPr="0064128D">
              <w:rPr>
                <w:rFonts w:ascii="Times New Roman" w:hAnsi="Times New Roman" w:cs="Times New Roman"/>
                <w:sz w:val="18"/>
                <w:szCs w:val="18"/>
              </w:rPr>
              <w:t xml:space="preserve"> CVD deaths averted w</w:t>
            </w:r>
            <w:r w:rsidR="004B3770" w:rsidRPr="0064128D">
              <w:rPr>
                <w:rFonts w:ascii="Times New Roman" w:hAnsi="Times New Roman" w:cs="Times New Roman"/>
                <w:sz w:val="18"/>
                <w:szCs w:val="18"/>
              </w:rPr>
              <w:t>ere</w:t>
            </w:r>
            <w:r w:rsidR="002C38A7" w:rsidRPr="0064128D">
              <w:rPr>
                <w:rFonts w:ascii="Times New Roman" w:hAnsi="Times New Roman" w:cs="Times New Roman"/>
                <w:sz w:val="18"/>
                <w:szCs w:val="18"/>
              </w:rPr>
              <w:t xml:space="preserve"> 69, 86, 79, 86 and 83 for the poorest, poorer, middle, richer</w:t>
            </w:r>
            <w:r w:rsidR="00A67FBE">
              <w:rPr>
                <w:rFonts w:ascii="Times New Roman" w:hAnsi="Times New Roman" w:cs="Times New Roman"/>
                <w:sz w:val="18"/>
                <w:szCs w:val="18"/>
              </w:rPr>
              <w:t>,</w:t>
            </w:r>
            <w:r w:rsidR="002C38A7" w:rsidRPr="0064128D">
              <w:rPr>
                <w:rFonts w:ascii="Times New Roman" w:hAnsi="Times New Roman" w:cs="Times New Roman"/>
                <w:sz w:val="18"/>
                <w:szCs w:val="18"/>
              </w:rPr>
              <w:t xml:space="preserve"> and richest income quintile, respectively.</w:t>
            </w:r>
          </w:p>
        </w:tc>
      </w:tr>
      <w:tr w:rsidR="0064128D" w:rsidRPr="0064128D" w14:paraId="09EBD7D9" w14:textId="77777777" w:rsidTr="00C718F8">
        <w:tc>
          <w:tcPr>
            <w:tcW w:w="540" w:type="dxa"/>
          </w:tcPr>
          <w:p w14:paraId="1EDE9CE5" w14:textId="6D656ECD"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1</w:t>
            </w:r>
            <w:r w:rsidR="009B108F" w:rsidRPr="0064128D">
              <w:rPr>
                <w:rFonts w:ascii="Times New Roman" w:hAnsi="Times New Roman" w:cs="Times New Roman"/>
                <w:sz w:val="18"/>
                <w:szCs w:val="18"/>
              </w:rPr>
              <w:t>4</w:t>
            </w:r>
          </w:p>
        </w:tc>
        <w:tc>
          <w:tcPr>
            <w:tcW w:w="1260" w:type="dxa"/>
          </w:tcPr>
          <w:p w14:paraId="70EA4117" w14:textId="66712D2A"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fldChar w:fldCharType="begin" w:fldLock="1"/>
            </w:r>
            <w:r w:rsidRPr="0064128D">
              <w:rPr>
                <w:rFonts w:ascii="Times New Roman" w:hAnsi="Times New Roman" w:cs="Times New Roman"/>
                <w:sz w:val="18"/>
                <w:szCs w:val="18"/>
              </w:rPr>
              <w:instrText>ADDIN CSL_CITATION {"citationItems":[{"id":"ITEM-1","itemData":{"DOI":"10.1371/journal.pone.0142691","ISSN":"19326203","PMID":"26650078","abstract":"Background Pneumonia and pneumococcal disease cause a large disease burden in resource-constrained settings. We pursue an extended cost-effectiveness analysis (ECEA) of two fully publicly financed interventions in Ethiopia: pneumococcal vaccination for newborns and pneumonia treatment for under-five children in Ethiopia. Methods We apply ECEA methods and estimate the program impact on: (1) government program costs; (2) pneumonia and pneumococcal deaths averted; (3) household expenses related to pneumonia/pneumococcal disease treatment averted; (4) prevention of household medical impoverishment measured by an imputed money-metric value of financial risk protection; and (5) distributional consequences across the wealth strata of the country population. Available epidemiological and cost data from Ethiopia are applied and the two interventions are assessed separately at various incremental coverage levels. Results Scaling-up pneumococcal vaccines at around 40% coverage would cost about $11.5 million and avert about 2090 child deaths annually, while a 10% increase of pneumonia treatment to all children under 5 years of age would cost about $13.9 million and avert 2610 deaths annually. Health benefits of the two interventions publicly financed would be concentrated among the bottom income quintile, where 3040% of all deaths averted would be expected to occur in the poorest quintile. In sum, the two interventions would eliminate a total of $2.4 million of private household expenditures annually, where the richest quintile benefits from around 30% of the total private expenditures averted. The financial risk protection benefits would be largely concentrated among the bottom income quintile. The results are most sensitive to variations in vaccine price, population size, number of deaths due to pneumonia, efficacy of interventions and out-of-pocket copayment share. Conclusions Vaccine and treatment interventions for children, as shown with the illustrative examples of pneumococcal vaccine and pneumonia treatment, can bring large health and financial benefits to households in Ethiopia, most particularly among the poorest socio-economic groups.","author":[{"dropping-particle":"","family":"Johansson","given":"Kjell Arne","non-dropping-particle":"","parse-names":false,"suffix":""},{"dropping-particle":"","family":"Memirie","given":"Solomon Tessema","non-dropping-particle":"","parse-names":false,"suffix":""},{"dropping-particle":"","family":"Pecenka","given":"Clint","non-dropping-particle":"","parse-names":false,"suffix":""},{"dropping-particle":"","family":"Jamison","given":"Dean T.","non-dropping-particle":"","parse-names":false,"suffix":""},{"dropping-particle":"","family":"Verguet","given":"Stéphane","non-dropping-particle":"","parse-names":false,"suffix":""}],"container-title":"PLoS ONE","id":"ITEM-1","issue":"12","issued":{"date-parts":[["2015"]]},"page":"1-16","title":"Health Gains and Financial Protection from Pneumococcal Vaccination and Pneumonia Treatment in Ethiopia: Results from an Extended Cost-Effectiveness Analysis","type":"article-journal","volume":"10"},"uris":["http://www.mendeley.com/documents/?uuid=94edce7c-522a-4086-a11e-1a21d1ee8380"]}],"mendeley":{"formattedCitation":"(Johansson et al., 2015)","manualFormatting":"Johansson et al. (2015)","plainTextFormattedCitation":"(Johansson et al., 2015)","previouslyFormattedCitation":"(Johansson et al., 2015)"},"properties":{"noteIndex":0},"schema":"https://github.com/citation-style-language/schema/raw/master/csl-citation.json"}</w:instrText>
            </w:r>
            <w:r w:rsidRPr="0064128D">
              <w:rPr>
                <w:rFonts w:ascii="Times New Roman" w:hAnsi="Times New Roman" w:cs="Times New Roman"/>
                <w:sz w:val="18"/>
                <w:szCs w:val="18"/>
              </w:rPr>
              <w:fldChar w:fldCharType="separate"/>
            </w:r>
            <w:r w:rsidRPr="0064128D">
              <w:rPr>
                <w:rFonts w:ascii="Times New Roman" w:hAnsi="Times New Roman" w:cs="Times New Roman"/>
                <w:noProof/>
                <w:sz w:val="18"/>
                <w:szCs w:val="18"/>
              </w:rPr>
              <w:t>Johansson et al. (2015)</w:t>
            </w:r>
            <w:r w:rsidRPr="0064128D">
              <w:rPr>
                <w:rFonts w:ascii="Times New Roman" w:hAnsi="Times New Roman" w:cs="Times New Roman"/>
                <w:sz w:val="18"/>
                <w:szCs w:val="18"/>
              </w:rPr>
              <w:fldChar w:fldCharType="end"/>
            </w:r>
            <w:r w:rsidRPr="0064128D">
              <w:rPr>
                <w:rFonts w:ascii="Times New Roman" w:hAnsi="Times New Roman" w:cs="Times New Roman"/>
                <w:sz w:val="18"/>
                <w:szCs w:val="18"/>
              </w:rPr>
              <w:t xml:space="preserve">, </w:t>
            </w:r>
          </w:p>
          <w:p w14:paraId="3C124578" w14:textId="77777777" w:rsidR="00464DB7"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Ethiopia</w:t>
            </w:r>
          </w:p>
          <w:p w14:paraId="2534634E" w14:textId="6785E626" w:rsidR="00E775B0" w:rsidRPr="0064128D" w:rsidRDefault="00E775B0" w:rsidP="0027259C">
            <w:pPr>
              <w:rPr>
                <w:rFonts w:ascii="Times New Roman" w:hAnsi="Times New Roman" w:cs="Times New Roman"/>
                <w:sz w:val="18"/>
                <w:szCs w:val="18"/>
              </w:rPr>
            </w:pPr>
            <w:r w:rsidRPr="0064128D">
              <w:rPr>
                <w:rFonts w:ascii="Times New Roman" w:hAnsi="Times New Roman" w:cs="Times New Roman"/>
                <w:sz w:val="18"/>
                <w:szCs w:val="18"/>
              </w:rPr>
              <w:t xml:space="preserve"> </w:t>
            </w:r>
          </w:p>
        </w:tc>
        <w:tc>
          <w:tcPr>
            <w:tcW w:w="3240" w:type="dxa"/>
          </w:tcPr>
          <w:p w14:paraId="3B32C4D0" w14:textId="070BC40E"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Estimated the health and non-health impacts of pneumonia treatment for under-five children and pneumococcal vaccination</w:t>
            </w:r>
            <w:r w:rsidR="007E2B01" w:rsidRPr="0064128D">
              <w:rPr>
                <w:rFonts w:ascii="Times New Roman" w:hAnsi="Times New Roman" w:cs="Times New Roman"/>
                <w:sz w:val="18"/>
                <w:szCs w:val="18"/>
              </w:rPr>
              <w:t xml:space="preserve"> (PCV-13)</w:t>
            </w:r>
            <w:r w:rsidRPr="0064128D">
              <w:rPr>
                <w:rFonts w:ascii="Times New Roman" w:hAnsi="Times New Roman" w:cs="Times New Roman"/>
                <w:sz w:val="18"/>
                <w:szCs w:val="18"/>
              </w:rPr>
              <w:t xml:space="preserve"> for newborns in Ethiopia. </w:t>
            </w:r>
          </w:p>
          <w:p w14:paraId="00DC696D" w14:textId="77777777" w:rsidR="00080DC9" w:rsidRPr="0064128D" w:rsidRDefault="00080DC9" w:rsidP="0037656C">
            <w:pPr>
              <w:rPr>
                <w:rFonts w:ascii="Times New Roman" w:hAnsi="Times New Roman" w:cs="Times New Roman"/>
                <w:b/>
                <w:bCs/>
                <w:sz w:val="18"/>
                <w:szCs w:val="18"/>
              </w:rPr>
            </w:pPr>
          </w:p>
          <w:p w14:paraId="658CC7FC" w14:textId="57E6226C" w:rsidR="0037656C" w:rsidRPr="0064128D" w:rsidRDefault="00080DC9" w:rsidP="0037656C">
            <w:pPr>
              <w:rPr>
                <w:rFonts w:ascii="Times New Roman" w:hAnsi="Times New Roman" w:cs="Times New Roman"/>
                <w:sz w:val="18"/>
                <w:szCs w:val="18"/>
              </w:rPr>
            </w:pPr>
            <w:r w:rsidRPr="0064128D">
              <w:rPr>
                <w:rFonts w:ascii="Times New Roman" w:hAnsi="Times New Roman" w:cs="Times New Roman"/>
                <w:b/>
                <w:bCs/>
                <w:sz w:val="18"/>
                <w:szCs w:val="18"/>
              </w:rPr>
              <w:t>Status quo:</w:t>
            </w:r>
            <w:r w:rsidRPr="0064128D">
              <w:rPr>
                <w:rFonts w:ascii="Times New Roman" w:hAnsi="Times New Roman" w:cs="Times New Roman"/>
                <w:sz w:val="18"/>
                <w:szCs w:val="18"/>
              </w:rPr>
              <w:t xml:space="preserve"> </w:t>
            </w:r>
            <w:r w:rsidR="0037656C" w:rsidRPr="0064128D">
              <w:rPr>
                <w:rFonts w:ascii="Times New Roman" w:hAnsi="Times New Roman" w:cs="Times New Roman"/>
                <w:sz w:val="18"/>
                <w:szCs w:val="18"/>
              </w:rPr>
              <w:t>Baseline average coverage was 27% for pneumonia treatment before the UPF.</w:t>
            </w:r>
            <w:r w:rsidR="00B7267B" w:rsidRPr="0064128D">
              <w:rPr>
                <w:rFonts w:ascii="Times New Roman" w:hAnsi="Times New Roman" w:cs="Times New Roman"/>
                <w:sz w:val="18"/>
                <w:szCs w:val="18"/>
              </w:rPr>
              <w:t xml:space="preserve"> The pneumococcal vaccines coverage was 0%.</w:t>
            </w:r>
          </w:p>
          <w:p w14:paraId="32C36F37" w14:textId="77777777" w:rsidR="00467FCB" w:rsidRPr="0064128D" w:rsidRDefault="00467FCB" w:rsidP="0037656C">
            <w:pPr>
              <w:rPr>
                <w:rFonts w:ascii="Times New Roman" w:hAnsi="Times New Roman" w:cs="Times New Roman"/>
                <w:sz w:val="18"/>
                <w:szCs w:val="18"/>
              </w:rPr>
            </w:pPr>
          </w:p>
          <w:p w14:paraId="6F68361E" w14:textId="77777777" w:rsidR="00080DC9" w:rsidRPr="0064128D" w:rsidRDefault="00080DC9" w:rsidP="00080DC9">
            <w:pPr>
              <w:rPr>
                <w:rFonts w:ascii="Times New Roman" w:hAnsi="Times New Roman" w:cs="Times New Roman"/>
                <w:b/>
                <w:bCs/>
                <w:sz w:val="18"/>
                <w:szCs w:val="18"/>
                <w:u w:val="single"/>
              </w:rPr>
            </w:pPr>
            <w:r w:rsidRPr="0064128D">
              <w:rPr>
                <w:rFonts w:ascii="Times New Roman" w:hAnsi="Times New Roman" w:cs="Times New Roman"/>
                <w:b/>
                <w:bCs/>
                <w:sz w:val="18"/>
                <w:szCs w:val="18"/>
                <w:u w:val="single"/>
              </w:rPr>
              <w:t>Interventions</w:t>
            </w:r>
          </w:p>
          <w:p w14:paraId="235F8E37" w14:textId="0C810746" w:rsidR="0002554E" w:rsidRPr="0064128D" w:rsidRDefault="003140A3" w:rsidP="0027259C">
            <w:pPr>
              <w:rPr>
                <w:rFonts w:ascii="Times New Roman" w:hAnsi="Times New Roman" w:cs="Times New Roman"/>
                <w:sz w:val="18"/>
                <w:szCs w:val="18"/>
              </w:rPr>
            </w:pPr>
            <w:r w:rsidRPr="0064128D">
              <w:rPr>
                <w:rFonts w:ascii="Times New Roman" w:hAnsi="Times New Roman" w:cs="Times New Roman"/>
                <w:sz w:val="18"/>
                <w:szCs w:val="18"/>
              </w:rPr>
              <w:t>S</w:t>
            </w:r>
            <w:r w:rsidR="00B458C8" w:rsidRPr="0064128D">
              <w:rPr>
                <w:rFonts w:ascii="Times New Roman" w:hAnsi="Times New Roman" w:cs="Times New Roman"/>
                <w:sz w:val="18"/>
                <w:szCs w:val="18"/>
              </w:rPr>
              <w:t>caled-up pneumonia treatment by 10%</w:t>
            </w:r>
            <w:r w:rsidR="003C1E66" w:rsidRPr="0064128D">
              <w:rPr>
                <w:rFonts w:ascii="Times New Roman" w:hAnsi="Times New Roman" w:cs="Times New Roman"/>
                <w:sz w:val="18"/>
                <w:szCs w:val="18"/>
              </w:rPr>
              <w:t xml:space="preserve"> to a 37% average coverage</w:t>
            </w:r>
            <w:r w:rsidR="00B458C8" w:rsidRPr="0064128D">
              <w:rPr>
                <w:rFonts w:ascii="Times New Roman" w:hAnsi="Times New Roman" w:cs="Times New Roman"/>
                <w:sz w:val="18"/>
                <w:szCs w:val="18"/>
              </w:rPr>
              <w:t>.</w:t>
            </w:r>
          </w:p>
          <w:p w14:paraId="6155E338" w14:textId="77777777" w:rsidR="0037656C" w:rsidRPr="0064128D" w:rsidRDefault="0037656C" w:rsidP="0027259C">
            <w:pPr>
              <w:rPr>
                <w:rFonts w:ascii="Times New Roman" w:hAnsi="Times New Roman" w:cs="Times New Roman"/>
                <w:sz w:val="18"/>
                <w:szCs w:val="18"/>
              </w:rPr>
            </w:pPr>
            <w:r w:rsidRPr="0064128D">
              <w:rPr>
                <w:rFonts w:ascii="Times New Roman" w:hAnsi="Times New Roman" w:cs="Times New Roman"/>
                <w:sz w:val="18"/>
                <w:szCs w:val="18"/>
              </w:rPr>
              <w:t xml:space="preserve">The </w:t>
            </w:r>
            <w:r w:rsidR="003140A3" w:rsidRPr="0064128D">
              <w:rPr>
                <w:rFonts w:ascii="Times New Roman" w:hAnsi="Times New Roman" w:cs="Times New Roman"/>
                <w:sz w:val="18"/>
                <w:szCs w:val="18"/>
              </w:rPr>
              <w:t xml:space="preserve">pneumococcal vaccines coverage or the </w:t>
            </w:r>
            <w:r w:rsidRPr="0064128D">
              <w:rPr>
                <w:rFonts w:ascii="Times New Roman" w:hAnsi="Times New Roman" w:cs="Times New Roman"/>
                <w:sz w:val="18"/>
                <w:szCs w:val="18"/>
              </w:rPr>
              <w:t xml:space="preserve">PCV-13 base case is scaled up from 0% coverage </w:t>
            </w:r>
            <w:r w:rsidR="007E2B01" w:rsidRPr="0064128D">
              <w:rPr>
                <w:rFonts w:ascii="Times New Roman" w:hAnsi="Times New Roman" w:cs="Times New Roman"/>
                <w:sz w:val="18"/>
                <w:szCs w:val="18"/>
              </w:rPr>
              <w:t xml:space="preserve">to </w:t>
            </w:r>
            <w:r w:rsidRPr="0064128D">
              <w:rPr>
                <w:rFonts w:ascii="Times New Roman" w:hAnsi="Times New Roman" w:cs="Times New Roman"/>
                <w:sz w:val="18"/>
                <w:szCs w:val="18"/>
              </w:rPr>
              <w:t xml:space="preserve">38% </w:t>
            </w:r>
            <w:r w:rsidR="007E2B01" w:rsidRPr="0064128D">
              <w:rPr>
                <w:rFonts w:ascii="Times New Roman" w:hAnsi="Times New Roman" w:cs="Times New Roman"/>
                <w:sz w:val="18"/>
                <w:szCs w:val="18"/>
              </w:rPr>
              <w:t xml:space="preserve">coverage </w:t>
            </w:r>
            <w:r w:rsidRPr="0064128D">
              <w:rPr>
                <w:rFonts w:ascii="Times New Roman" w:hAnsi="Times New Roman" w:cs="Times New Roman"/>
                <w:sz w:val="18"/>
                <w:szCs w:val="18"/>
              </w:rPr>
              <w:t>on average.</w:t>
            </w:r>
          </w:p>
          <w:p w14:paraId="4CD748CB" w14:textId="77777777" w:rsidR="00080DC9" w:rsidRPr="0064128D" w:rsidRDefault="00080DC9" w:rsidP="0027259C">
            <w:pPr>
              <w:rPr>
                <w:rFonts w:ascii="Times New Roman" w:hAnsi="Times New Roman" w:cs="Times New Roman"/>
                <w:sz w:val="18"/>
                <w:szCs w:val="18"/>
              </w:rPr>
            </w:pPr>
          </w:p>
          <w:p w14:paraId="7A10840F" w14:textId="77777777" w:rsidR="00080DC9" w:rsidRPr="0064128D" w:rsidRDefault="00080DC9" w:rsidP="00080DC9">
            <w:pPr>
              <w:rPr>
                <w:rFonts w:ascii="Times New Roman" w:hAnsi="Times New Roman" w:cs="Times New Roman"/>
                <w:sz w:val="18"/>
                <w:szCs w:val="18"/>
              </w:rPr>
            </w:pPr>
            <w:r w:rsidRPr="0064128D">
              <w:rPr>
                <w:rFonts w:ascii="Times New Roman" w:hAnsi="Times New Roman" w:cs="Times New Roman"/>
                <w:sz w:val="18"/>
                <w:szCs w:val="18"/>
              </w:rPr>
              <w:t>They were UPF interventions.</w:t>
            </w:r>
          </w:p>
          <w:p w14:paraId="54DE0D9C" w14:textId="36FAC152" w:rsidR="00080DC9" w:rsidRPr="0064128D" w:rsidRDefault="00080DC9" w:rsidP="0027259C">
            <w:pPr>
              <w:rPr>
                <w:rFonts w:ascii="Times New Roman" w:hAnsi="Times New Roman" w:cs="Times New Roman"/>
                <w:sz w:val="18"/>
                <w:szCs w:val="18"/>
              </w:rPr>
            </w:pPr>
          </w:p>
        </w:tc>
        <w:tc>
          <w:tcPr>
            <w:tcW w:w="2936" w:type="dxa"/>
          </w:tcPr>
          <w:p w14:paraId="2175E13B" w14:textId="6826E2AF"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 xml:space="preserve">Used </w:t>
            </w:r>
            <w:r w:rsidR="00330A7F" w:rsidRPr="0064128D">
              <w:rPr>
                <w:rFonts w:ascii="Times New Roman" w:hAnsi="Times New Roman" w:cs="Times New Roman"/>
                <w:sz w:val="18"/>
                <w:szCs w:val="18"/>
              </w:rPr>
              <w:t>ECEA to estimate the HBG, FRP and FC</w:t>
            </w:r>
            <w:r w:rsidR="00997661" w:rsidRPr="0064128D">
              <w:rPr>
                <w:rFonts w:ascii="Times New Roman" w:hAnsi="Times New Roman" w:cs="Times New Roman"/>
                <w:sz w:val="18"/>
                <w:szCs w:val="18"/>
              </w:rPr>
              <w:t>.</w:t>
            </w:r>
          </w:p>
          <w:p w14:paraId="7BB53A8F" w14:textId="77777777" w:rsidR="006A335A" w:rsidRPr="0064128D" w:rsidRDefault="00997661" w:rsidP="0027259C">
            <w:pPr>
              <w:rPr>
                <w:rFonts w:ascii="Times New Roman" w:hAnsi="Times New Roman" w:cs="Times New Roman"/>
                <w:sz w:val="18"/>
                <w:szCs w:val="18"/>
              </w:rPr>
            </w:pPr>
            <w:r w:rsidRPr="0064128D">
              <w:rPr>
                <w:rFonts w:ascii="Times New Roman" w:hAnsi="Times New Roman" w:cs="Times New Roman"/>
                <w:sz w:val="18"/>
                <w:szCs w:val="18"/>
              </w:rPr>
              <w:t>Both interventions represent cost savings from the household perspective</w:t>
            </w:r>
            <w:r w:rsidR="00B45EF1" w:rsidRPr="0064128D">
              <w:rPr>
                <w:rFonts w:ascii="Times New Roman" w:hAnsi="Times New Roman" w:cs="Times New Roman"/>
                <w:sz w:val="18"/>
                <w:szCs w:val="18"/>
              </w:rPr>
              <w:t xml:space="preserve"> when assessing FRP and private household expenditures averted</w:t>
            </w:r>
            <w:r w:rsidRPr="0064128D">
              <w:rPr>
                <w:rFonts w:ascii="Times New Roman" w:hAnsi="Times New Roman" w:cs="Times New Roman"/>
                <w:sz w:val="18"/>
                <w:szCs w:val="18"/>
              </w:rPr>
              <w:t>.</w:t>
            </w:r>
            <w:r w:rsidR="00B45EF1" w:rsidRPr="0064128D">
              <w:rPr>
                <w:rFonts w:ascii="Times New Roman" w:hAnsi="Times New Roman" w:cs="Times New Roman"/>
                <w:sz w:val="18"/>
                <w:szCs w:val="18"/>
              </w:rPr>
              <w:t xml:space="preserve"> However, when estimating the governmental cost of both interventions, they undertook a health system perspective.</w:t>
            </w:r>
            <w:r w:rsidR="00150FB7" w:rsidRPr="0064128D">
              <w:rPr>
                <w:rFonts w:ascii="Times New Roman" w:hAnsi="Times New Roman" w:cs="Times New Roman"/>
                <w:sz w:val="18"/>
                <w:szCs w:val="18"/>
              </w:rPr>
              <w:t xml:space="preserve"> </w:t>
            </w:r>
          </w:p>
          <w:p w14:paraId="1D2CF662" w14:textId="32BC4524" w:rsidR="00997661" w:rsidRPr="0064128D" w:rsidRDefault="00150FB7" w:rsidP="0027259C">
            <w:pPr>
              <w:rPr>
                <w:rFonts w:ascii="Times New Roman" w:hAnsi="Times New Roman" w:cs="Times New Roman"/>
                <w:sz w:val="18"/>
                <w:szCs w:val="18"/>
              </w:rPr>
            </w:pPr>
            <w:r w:rsidRPr="0064128D">
              <w:rPr>
                <w:rFonts w:ascii="Times New Roman" w:hAnsi="Times New Roman" w:cs="Times New Roman"/>
                <w:sz w:val="18"/>
                <w:szCs w:val="18"/>
              </w:rPr>
              <w:t>They used data from empirical literature and authors’ assumptions.</w:t>
            </w:r>
          </w:p>
        </w:tc>
        <w:tc>
          <w:tcPr>
            <w:tcW w:w="6964" w:type="dxa"/>
          </w:tcPr>
          <w:p w14:paraId="4A18DF66" w14:textId="77C4E539" w:rsidR="00464DB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HBG</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w:t>
            </w:r>
            <w:r w:rsidR="00871FD3" w:rsidRPr="0064128D">
              <w:rPr>
                <w:rFonts w:ascii="Times New Roman" w:hAnsi="Times New Roman" w:cs="Times New Roman"/>
                <w:sz w:val="18"/>
                <w:szCs w:val="18"/>
              </w:rPr>
              <w:t>A</w:t>
            </w:r>
            <w:r w:rsidR="00464DB7" w:rsidRPr="0064128D">
              <w:rPr>
                <w:rFonts w:ascii="Times New Roman" w:hAnsi="Times New Roman" w:cs="Times New Roman"/>
                <w:sz w:val="18"/>
                <w:szCs w:val="18"/>
              </w:rPr>
              <w:t xml:space="preserve"> </w:t>
            </w:r>
            <w:r w:rsidR="00F13D83" w:rsidRPr="0064128D">
              <w:rPr>
                <w:rFonts w:ascii="Times New Roman" w:hAnsi="Times New Roman" w:cs="Times New Roman"/>
                <w:sz w:val="18"/>
                <w:szCs w:val="18"/>
              </w:rPr>
              <w:t>38</w:t>
            </w:r>
            <w:r w:rsidR="00464DB7" w:rsidRPr="0064128D">
              <w:rPr>
                <w:rFonts w:ascii="Times New Roman" w:hAnsi="Times New Roman" w:cs="Times New Roman"/>
                <w:sz w:val="18"/>
                <w:szCs w:val="18"/>
              </w:rPr>
              <w:t xml:space="preserve">% </w:t>
            </w:r>
            <w:r w:rsidR="00871FD3" w:rsidRPr="0064128D">
              <w:rPr>
                <w:rFonts w:ascii="Times New Roman" w:hAnsi="Times New Roman" w:cs="Times New Roman"/>
                <w:sz w:val="18"/>
                <w:szCs w:val="18"/>
              </w:rPr>
              <w:t xml:space="preserve">PCV-13 </w:t>
            </w:r>
            <w:r w:rsidR="00464DB7" w:rsidRPr="0064128D">
              <w:rPr>
                <w:rFonts w:ascii="Times New Roman" w:hAnsi="Times New Roman" w:cs="Times New Roman"/>
                <w:sz w:val="18"/>
                <w:szCs w:val="18"/>
              </w:rPr>
              <w:t>coverage would avert about 2</w:t>
            </w:r>
            <w:r w:rsidR="00DD1182" w:rsidRPr="0064128D">
              <w:rPr>
                <w:rFonts w:ascii="Times New Roman" w:hAnsi="Times New Roman" w:cs="Times New Roman"/>
                <w:sz w:val="18"/>
                <w:szCs w:val="18"/>
              </w:rPr>
              <w:t>,</w:t>
            </w:r>
            <w:r w:rsidR="00871FD3" w:rsidRPr="0064128D">
              <w:rPr>
                <w:rFonts w:ascii="Times New Roman" w:hAnsi="Times New Roman" w:cs="Times New Roman"/>
                <w:sz w:val="18"/>
                <w:szCs w:val="18"/>
              </w:rPr>
              <w:t>96</w:t>
            </w:r>
            <w:r w:rsidR="00464DB7" w:rsidRPr="0064128D">
              <w:rPr>
                <w:rFonts w:ascii="Times New Roman" w:hAnsi="Times New Roman" w:cs="Times New Roman"/>
                <w:sz w:val="18"/>
                <w:szCs w:val="18"/>
              </w:rPr>
              <w:t xml:space="preserve">0 </w:t>
            </w:r>
            <w:r w:rsidR="00871FD3" w:rsidRPr="0064128D">
              <w:rPr>
                <w:rFonts w:ascii="Times New Roman" w:hAnsi="Times New Roman" w:cs="Times New Roman"/>
                <w:sz w:val="18"/>
                <w:szCs w:val="18"/>
              </w:rPr>
              <w:t>newborns deaths</w:t>
            </w:r>
            <w:r w:rsidR="00464DB7" w:rsidRPr="0064128D">
              <w:rPr>
                <w:rFonts w:ascii="Times New Roman" w:hAnsi="Times New Roman" w:cs="Times New Roman"/>
                <w:sz w:val="18"/>
                <w:szCs w:val="18"/>
              </w:rPr>
              <w:t xml:space="preserve"> annually. A </w:t>
            </w:r>
            <w:r w:rsidR="00871FD3" w:rsidRPr="0064128D">
              <w:rPr>
                <w:rFonts w:ascii="Times New Roman" w:hAnsi="Times New Roman" w:cs="Times New Roman"/>
                <w:sz w:val="18"/>
                <w:szCs w:val="18"/>
              </w:rPr>
              <w:t>4</w:t>
            </w:r>
            <w:r w:rsidR="00464DB7" w:rsidRPr="0064128D">
              <w:rPr>
                <w:rFonts w:ascii="Times New Roman" w:hAnsi="Times New Roman" w:cs="Times New Roman"/>
                <w:sz w:val="18"/>
                <w:szCs w:val="18"/>
              </w:rPr>
              <w:t xml:space="preserve">0% pneumonia treatment </w:t>
            </w:r>
            <w:r w:rsidR="00871FD3" w:rsidRPr="0064128D">
              <w:rPr>
                <w:rFonts w:ascii="Times New Roman" w:hAnsi="Times New Roman" w:cs="Times New Roman"/>
                <w:sz w:val="18"/>
                <w:szCs w:val="18"/>
              </w:rPr>
              <w:t xml:space="preserve">coverage </w:t>
            </w:r>
            <w:r w:rsidR="00464DB7" w:rsidRPr="0064128D">
              <w:rPr>
                <w:rFonts w:ascii="Times New Roman" w:hAnsi="Times New Roman" w:cs="Times New Roman"/>
                <w:sz w:val="18"/>
                <w:szCs w:val="18"/>
              </w:rPr>
              <w:t>would avert 2610 under-five deaths annually.</w:t>
            </w:r>
          </w:p>
          <w:p w14:paraId="41EDB5EB" w14:textId="15B948F8" w:rsidR="00464DB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FC</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A total of $2.4 million of private household expenditures would be averted by the two interventions annually.</w:t>
            </w:r>
            <w:r w:rsidR="00871FD3" w:rsidRPr="0064128D">
              <w:rPr>
                <w:rFonts w:ascii="Times New Roman" w:hAnsi="Times New Roman" w:cs="Times New Roman"/>
                <w:sz w:val="18"/>
                <w:szCs w:val="18"/>
              </w:rPr>
              <w:t xml:space="preserve"> </w:t>
            </w:r>
          </w:p>
          <w:p w14:paraId="1ACD0F3E" w14:textId="3CBB48FC" w:rsidR="00464DB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FRP</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Using a money-metric value of insurance (or risk premium) provided by the program, they estimated that both interventions offer between 50% and 60% of the </w:t>
            </w:r>
            <w:r w:rsidR="006F7347" w:rsidRPr="0064128D">
              <w:rPr>
                <w:rFonts w:ascii="Times New Roman" w:hAnsi="Times New Roman" w:cs="Times New Roman"/>
                <w:sz w:val="18"/>
                <w:szCs w:val="18"/>
              </w:rPr>
              <w:t>FRP</w:t>
            </w:r>
            <w:r w:rsidR="00464DB7" w:rsidRPr="0064128D">
              <w:rPr>
                <w:rFonts w:ascii="Times New Roman" w:hAnsi="Times New Roman" w:cs="Times New Roman"/>
                <w:sz w:val="18"/>
                <w:szCs w:val="18"/>
              </w:rPr>
              <w:t xml:space="preserve"> to the poorest quintile.</w:t>
            </w:r>
          </w:p>
          <w:p w14:paraId="48519BC8" w14:textId="77777777" w:rsidR="003B08D3" w:rsidRPr="0064128D" w:rsidRDefault="003B08D3" w:rsidP="0027259C">
            <w:pPr>
              <w:rPr>
                <w:rFonts w:ascii="Times New Roman" w:hAnsi="Times New Roman" w:cs="Times New Roman"/>
                <w:b/>
                <w:bCs/>
                <w:i/>
                <w:iCs/>
                <w:sz w:val="18"/>
                <w:szCs w:val="18"/>
                <w:u w:val="single"/>
              </w:rPr>
            </w:pPr>
          </w:p>
          <w:p w14:paraId="6AAC6D65" w14:textId="1BEC0391" w:rsidR="003B08D3" w:rsidRPr="0064128D" w:rsidRDefault="00D82C07" w:rsidP="0027259C">
            <w:pPr>
              <w:rPr>
                <w:rFonts w:ascii="Times New Roman" w:hAnsi="Times New Roman" w:cs="Times New Roman"/>
                <w:sz w:val="18"/>
                <w:szCs w:val="18"/>
              </w:rPr>
            </w:pPr>
            <w:r w:rsidRPr="0064128D">
              <w:rPr>
                <w:rFonts w:ascii="Times New Roman" w:hAnsi="Times New Roman" w:cs="Times New Roman"/>
                <w:b/>
                <w:bCs/>
                <w:i/>
                <w:iCs/>
                <w:sz w:val="18"/>
                <w:szCs w:val="18"/>
                <w:u w:val="single"/>
              </w:rPr>
              <w:t>Equity</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w:t>
            </w:r>
          </w:p>
          <w:p w14:paraId="3504A24A" w14:textId="2EF1F869" w:rsidR="003B08D3" w:rsidRPr="0064128D" w:rsidRDefault="003B08D3" w:rsidP="0027259C">
            <w:pPr>
              <w:rPr>
                <w:rFonts w:ascii="Times New Roman" w:hAnsi="Times New Roman" w:cs="Times New Roman"/>
                <w:sz w:val="18"/>
                <w:szCs w:val="18"/>
              </w:rPr>
            </w:pPr>
            <w:r w:rsidRPr="0064128D">
              <w:rPr>
                <w:rFonts w:ascii="Times New Roman" w:hAnsi="Times New Roman" w:cs="Times New Roman"/>
                <w:i/>
                <w:iCs/>
                <w:sz w:val="18"/>
                <w:szCs w:val="18"/>
              </w:rPr>
              <w:t>HBG</w:t>
            </w:r>
            <w:r w:rsidRPr="0064128D">
              <w:rPr>
                <w:rFonts w:ascii="Times New Roman" w:hAnsi="Times New Roman" w:cs="Times New Roman"/>
                <w:sz w:val="18"/>
                <w:szCs w:val="18"/>
              </w:rPr>
              <w:t xml:space="preserve">: </w:t>
            </w:r>
            <w:r w:rsidR="00491745" w:rsidRPr="0064128D">
              <w:rPr>
                <w:rFonts w:ascii="Times New Roman" w:hAnsi="Times New Roman" w:cs="Times New Roman"/>
                <w:sz w:val="18"/>
                <w:szCs w:val="18"/>
              </w:rPr>
              <w:t xml:space="preserve">Both interventions save more lives among the poorest groups due to higher disease burden in that population. About 30 to 40% of all deaths averted by the two interventions would be expected to occur in the poorest quintile. </w:t>
            </w:r>
            <w:r w:rsidR="00B20B01" w:rsidRPr="0064128D">
              <w:rPr>
                <w:rFonts w:ascii="Times New Roman" w:hAnsi="Times New Roman" w:cs="Times New Roman"/>
                <w:sz w:val="18"/>
                <w:szCs w:val="18"/>
              </w:rPr>
              <w:t xml:space="preserve">1004 and 886 lives were saved in the poorest income quintile </w:t>
            </w:r>
            <w:r w:rsidR="00B720AE" w:rsidRPr="0064128D">
              <w:rPr>
                <w:rFonts w:ascii="Times New Roman" w:hAnsi="Times New Roman" w:cs="Times New Roman"/>
                <w:sz w:val="18"/>
                <w:szCs w:val="18"/>
              </w:rPr>
              <w:t>through</w:t>
            </w:r>
            <w:r w:rsidR="00B20B01" w:rsidRPr="0064128D">
              <w:rPr>
                <w:rFonts w:ascii="Times New Roman" w:hAnsi="Times New Roman" w:cs="Times New Roman"/>
                <w:sz w:val="18"/>
                <w:szCs w:val="18"/>
              </w:rPr>
              <w:t xml:space="preserve"> pneumococcal vaccine and pneumonia treatment, respectively. </w:t>
            </w:r>
            <w:r w:rsidR="00B720AE" w:rsidRPr="0064128D">
              <w:rPr>
                <w:rFonts w:ascii="Times New Roman" w:hAnsi="Times New Roman" w:cs="Times New Roman"/>
                <w:sz w:val="18"/>
                <w:szCs w:val="18"/>
              </w:rPr>
              <w:t>Meanwhile, only 152 and 134 lives were saved in the richest income quintile through pneumococcal vaccine and pneumonia treatment, respectively</w:t>
            </w:r>
            <w:r w:rsidR="00DE4B44" w:rsidRPr="0064128D">
              <w:rPr>
                <w:rFonts w:ascii="Times New Roman" w:hAnsi="Times New Roman" w:cs="Times New Roman"/>
                <w:sz w:val="18"/>
                <w:szCs w:val="18"/>
              </w:rPr>
              <w:t>.</w:t>
            </w:r>
          </w:p>
          <w:p w14:paraId="2F6C9CFB" w14:textId="45DA0A0B" w:rsidR="00464DB7" w:rsidRPr="0064128D" w:rsidRDefault="00030E8F" w:rsidP="0027259C">
            <w:pPr>
              <w:rPr>
                <w:rFonts w:ascii="Times New Roman" w:hAnsi="Times New Roman" w:cs="Times New Roman"/>
                <w:sz w:val="18"/>
                <w:szCs w:val="18"/>
              </w:rPr>
            </w:pPr>
            <w:r w:rsidRPr="0064128D">
              <w:rPr>
                <w:rFonts w:ascii="Times New Roman" w:hAnsi="Times New Roman" w:cs="Times New Roman"/>
                <w:i/>
                <w:iCs/>
                <w:sz w:val="18"/>
                <w:szCs w:val="18"/>
              </w:rPr>
              <w:t>FC</w:t>
            </w:r>
            <w:r w:rsidR="00491745" w:rsidRPr="0064128D">
              <w:rPr>
                <w:rFonts w:ascii="Times New Roman" w:hAnsi="Times New Roman" w:cs="Times New Roman"/>
                <w:i/>
                <w:iCs/>
                <w:sz w:val="18"/>
                <w:szCs w:val="18"/>
              </w:rPr>
              <w:t xml:space="preserve"> (US$’ 000)</w:t>
            </w:r>
            <w:r w:rsidRPr="0064128D">
              <w:rPr>
                <w:rFonts w:ascii="Times New Roman" w:hAnsi="Times New Roman" w:cs="Times New Roman"/>
                <w:sz w:val="18"/>
                <w:szCs w:val="18"/>
              </w:rPr>
              <w:t>:</w:t>
            </w:r>
            <w:r w:rsidR="00491745" w:rsidRPr="0064128D">
              <w:rPr>
                <w:rFonts w:ascii="Times New Roman" w:hAnsi="Times New Roman" w:cs="Times New Roman"/>
                <w:sz w:val="18"/>
                <w:szCs w:val="18"/>
              </w:rPr>
              <w:t xml:space="preserve"> </w:t>
            </w:r>
            <w:r w:rsidRPr="0064128D">
              <w:rPr>
                <w:rFonts w:ascii="Times New Roman" w:hAnsi="Times New Roman" w:cs="Times New Roman"/>
                <w:sz w:val="18"/>
                <w:szCs w:val="18"/>
              </w:rPr>
              <w:t xml:space="preserve"> </w:t>
            </w:r>
            <w:r w:rsidR="00491745" w:rsidRPr="0064128D">
              <w:rPr>
                <w:rFonts w:ascii="Times New Roman" w:hAnsi="Times New Roman" w:cs="Times New Roman"/>
                <w:sz w:val="18"/>
                <w:szCs w:val="18"/>
              </w:rPr>
              <w:t>US$ 122 and US$ 207 OOP payments were averted in the poorest income quintile through pneumococcal vaccine and pneumonia treatment, respectively. Meanwhile, US$ 71 and US$ 480 OOP payments were averted in the richest income quintile through pneumococcal vaccine and pneumonia treatment, respectively.</w:t>
            </w:r>
            <w:r w:rsidR="00E42A99" w:rsidRPr="0064128D">
              <w:rPr>
                <w:rFonts w:ascii="Times New Roman" w:hAnsi="Times New Roman" w:cs="Times New Roman"/>
                <w:sz w:val="18"/>
                <w:szCs w:val="18"/>
              </w:rPr>
              <w:t xml:space="preserve"> </w:t>
            </w:r>
            <w:r w:rsidR="00464DB7" w:rsidRPr="0064128D">
              <w:rPr>
                <w:rFonts w:ascii="Times New Roman" w:hAnsi="Times New Roman" w:cs="Times New Roman"/>
                <w:sz w:val="18"/>
                <w:szCs w:val="18"/>
              </w:rPr>
              <w:t>The richest quintile benefits from about 30% of the total private expenditures averted.</w:t>
            </w:r>
          </w:p>
          <w:p w14:paraId="58C02A00" w14:textId="4E5E572F" w:rsidR="00034466" w:rsidRPr="0064128D" w:rsidRDefault="00034466" w:rsidP="0027259C">
            <w:pPr>
              <w:rPr>
                <w:rFonts w:ascii="Times New Roman" w:hAnsi="Times New Roman" w:cs="Times New Roman"/>
                <w:sz w:val="18"/>
                <w:szCs w:val="18"/>
              </w:rPr>
            </w:pPr>
            <w:r w:rsidRPr="0064128D">
              <w:rPr>
                <w:rFonts w:ascii="Times New Roman" w:hAnsi="Times New Roman" w:cs="Times New Roman"/>
                <w:i/>
                <w:iCs/>
                <w:sz w:val="18"/>
                <w:szCs w:val="18"/>
              </w:rPr>
              <w:t>FRP</w:t>
            </w:r>
            <w:r w:rsidRPr="0064128D">
              <w:rPr>
                <w:rFonts w:ascii="Times New Roman" w:hAnsi="Times New Roman" w:cs="Times New Roman"/>
                <w:sz w:val="18"/>
                <w:szCs w:val="18"/>
              </w:rPr>
              <w:t xml:space="preserve">: The poorest income </w:t>
            </w:r>
            <w:r w:rsidR="006B169D" w:rsidRPr="0064128D">
              <w:rPr>
                <w:rFonts w:ascii="Times New Roman" w:hAnsi="Times New Roman" w:cs="Times New Roman"/>
                <w:sz w:val="18"/>
                <w:szCs w:val="18"/>
              </w:rPr>
              <w:t>benefited more from</w:t>
            </w:r>
            <w:r w:rsidRPr="0064128D">
              <w:rPr>
                <w:rFonts w:ascii="Times New Roman" w:hAnsi="Times New Roman" w:cs="Times New Roman"/>
                <w:sz w:val="18"/>
                <w:szCs w:val="18"/>
              </w:rPr>
              <w:t xml:space="preserve"> FRP than the richest income quintile.</w:t>
            </w:r>
          </w:p>
          <w:p w14:paraId="60F4DE73" w14:textId="67AB3DBE" w:rsidR="00464DB7" w:rsidRPr="0064128D" w:rsidRDefault="00464DB7" w:rsidP="0027259C">
            <w:pPr>
              <w:rPr>
                <w:rFonts w:ascii="Times New Roman" w:hAnsi="Times New Roman" w:cs="Times New Roman"/>
                <w:sz w:val="18"/>
                <w:szCs w:val="18"/>
              </w:rPr>
            </w:pPr>
          </w:p>
        </w:tc>
      </w:tr>
      <w:tr w:rsidR="0064128D" w:rsidRPr="0064128D" w14:paraId="3179189D" w14:textId="77777777" w:rsidTr="00C718F8">
        <w:tc>
          <w:tcPr>
            <w:tcW w:w="540" w:type="dxa"/>
          </w:tcPr>
          <w:p w14:paraId="72510490" w14:textId="4E438AD7"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1</w:t>
            </w:r>
            <w:r w:rsidR="009B108F" w:rsidRPr="0064128D">
              <w:rPr>
                <w:rFonts w:ascii="Times New Roman" w:hAnsi="Times New Roman" w:cs="Times New Roman"/>
                <w:sz w:val="18"/>
                <w:szCs w:val="18"/>
              </w:rPr>
              <w:t>5</w:t>
            </w:r>
          </w:p>
        </w:tc>
        <w:tc>
          <w:tcPr>
            <w:tcW w:w="1260" w:type="dxa"/>
          </w:tcPr>
          <w:p w14:paraId="1601D5AD" w14:textId="5D35C199"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fldChar w:fldCharType="begin" w:fldLock="1"/>
            </w:r>
            <w:r w:rsidRPr="0064128D">
              <w:rPr>
                <w:rFonts w:ascii="Times New Roman" w:hAnsi="Times New Roman" w:cs="Times New Roman"/>
                <w:sz w:val="18"/>
                <w:szCs w:val="18"/>
              </w:rPr>
              <w:instrText>ADDIN CSL_CITATION {"citationItems":[{"id":"ITEM-1","itemData":{"DOI":"10.1016/j.vaccine.2015.02.052","ISBN":"9781464803499","ISSN":"18732518","PMID":"25770785","abstract":"Introduction: Cervical cancer screening and existing health insurance schemes in China fall short of reaching women with prevention and treatment services, especially in rural areas where the disease burden is greatest. We conducted an extended cost-effectiveness analysis (ECEA) to evaluate public financing of HPV vaccination to prevent cervical cancer, adding new dimensions to conventional cost-effectiveness analysis through an explicit inclusion of equity and impact on financial risk protection. Methods: We synthesized available epidemiological, clinical, and economic data from China using an individual-based Monte Carlo simulation model of cervical cancer to estimate the distribution of deaths averted by income quintile, comparing vaccination plus screening against current practice. We also estimated reductions in cervical cancer incidence, net costs to the government (HPV vaccination costs minus cervical cancer treatment costs averted), and patient cost savings, as well as the incremental government health care costs per death averted. Results: HPV vaccination is cost-effective across all income groups when the cost is less than US $50 per vaccinated girl. Compared to screening alone, adding preadolescent HPV vaccination followed by cervical cancer screening in adulthood could reduce cancer by 44 percent across all income groups, while providing relatively higher financial protection to the poorest women. The absolute numbers of cervical cancer deaths averted and the financial risk protection from HPV vaccination are highest among women in the lowest quintile women in the bottom income quintiles received higher benefits than those in the upper wealth quintiles. Patient cost savings represent a large proportion of poor women's average per capita income, reaching 60 percent among women in the bottom income quintile and declining to 15 percent among women in the wealthiest quintile.","author":[{"dropping-particle":"","family":"Levin","given":"Carol E.","non-dropping-particle":"","parse-names":false,"suffix":""},{"dropping-particle":"","family":"Sharma","given":"Monisha","non-dropping-particle":"","parse-names":false,"suffix":""},{"dropping-particle":"","family":"Olson","given":"Zachary","non-dropping-particle":"","parse-names":false,"suffix":""},{"dropping-particle":"","family":"Verguet","given":"Stéphane","non-dropping-particle":"","parse-names":false,"suffix":""},{"dropping-particle":"","family":"Shi","given":"Ju Fang","non-dropping-particle":"","parse-names":false,"suffix":""},{"dropping-particle":"","family":"Wang","given":"Shao Ming","non-dropping-particle":"","parse-names":false,"suffix":""},{"dropping-particle":"","family":"Qiao","given":"You Lin","non-dropping-particle":"","parse-names":false,"suffix":""},{"dropping-particle":"","family":"Jamison","given":"Dean T.","non-dropping-particle":"","parse-names":false,"suffix":""},{"dropping-particle":"","family":"Kim","given":"Jane J.","non-dropping-particle":"","parse-names":false,"suffix":""}],"container-title":"Vaccine","id":"ITEM-1","issue":"24","issued":{"date-parts":[["2015"]]},"page":"2830-2841","publisher":"Elsevier Ltd","title":"An extended cost-effectiveness analysis of publicly financed HPV vaccination to prevent cervical cancer in China","type":"article-journal","volume":"33"},"uris":["http://www.mendeley.com/documents/?uuid=176dd89d-c055-4911-9274-b26fef46f9e5"]}],"mendeley":{"formattedCitation":"(Levin et al., 2015)","manualFormatting":"Levin et al. (2015)","plainTextFormattedCitation":"(Levin et al., 2015)","previouslyFormattedCitation":"(Levin et al., 2015)"},"properties":{"noteIndex":0},"schema":"https://github.com/citation-style-language/schema/raw/master/csl-citation.json"}</w:instrText>
            </w:r>
            <w:r w:rsidRPr="0064128D">
              <w:rPr>
                <w:rFonts w:ascii="Times New Roman" w:hAnsi="Times New Roman" w:cs="Times New Roman"/>
                <w:sz w:val="18"/>
                <w:szCs w:val="18"/>
              </w:rPr>
              <w:fldChar w:fldCharType="separate"/>
            </w:r>
            <w:r w:rsidRPr="0064128D">
              <w:rPr>
                <w:rFonts w:ascii="Times New Roman" w:hAnsi="Times New Roman" w:cs="Times New Roman"/>
                <w:noProof/>
                <w:sz w:val="18"/>
                <w:szCs w:val="18"/>
              </w:rPr>
              <w:t>Levin et al. (2015)</w:t>
            </w:r>
            <w:r w:rsidRPr="0064128D">
              <w:rPr>
                <w:rFonts w:ascii="Times New Roman" w:hAnsi="Times New Roman" w:cs="Times New Roman"/>
                <w:sz w:val="18"/>
                <w:szCs w:val="18"/>
              </w:rPr>
              <w:fldChar w:fldCharType="end"/>
            </w:r>
            <w:r w:rsidRPr="0064128D">
              <w:rPr>
                <w:rFonts w:ascii="Times New Roman" w:hAnsi="Times New Roman" w:cs="Times New Roman"/>
                <w:sz w:val="18"/>
                <w:szCs w:val="18"/>
              </w:rPr>
              <w:t>,</w:t>
            </w:r>
          </w:p>
          <w:p w14:paraId="3241537D" w14:textId="5F6F133B"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China</w:t>
            </w:r>
          </w:p>
        </w:tc>
        <w:tc>
          <w:tcPr>
            <w:tcW w:w="3240" w:type="dxa"/>
          </w:tcPr>
          <w:p w14:paraId="19424558" w14:textId="23074FB8" w:rsidR="00464DB7" w:rsidRPr="0064128D" w:rsidRDefault="00723A52" w:rsidP="0027259C">
            <w:pPr>
              <w:rPr>
                <w:rFonts w:ascii="Times New Roman" w:hAnsi="Times New Roman" w:cs="Times New Roman"/>
                <w:sz w:val="18"/>
                <w:szCs w:val="18"/>
              </w:rPr>
            </w:pPr>
            <w:r w:rsidRPr="0064128D">
              <w:rPr>
                <w:rFonts w:ascii="Times New Roman" w:hAnsi="Times New Roman" w:cs="Times New Roman"/>
                <w:sz w:val="18"/>
                <w:szCs w:val="18"/>
              </w:rPr>
              <w:t>Estimated</w:t>
            </w:r>
            <w:r w:rsidR="008D01B6" w:rsidRPr="0064128D">
              <w:rPr>
                <w:rFonts w:ascii="Times New Roman" w:hAnsi="Times New Roman" w:cs="Times New Roman"/>
                <w:sz w:val="18"/>
                <w:szCs w:val="18"/>
              </w:rPr>
              <w:t xml:space="preserve"> the health and non-health impacts</w:t>
            </w:r>
            <w:r w:rsidRPr="0064128D">
              <w:rPr>
                <w:rFonts w:ascii="Times New Roman" w:hAnsi="Times New Roman" w:cs="Times New Roman"/>
                <w:sz w:val="18"/>
                <w:szCs w:val="18"/>
              </w:rPr>
              <w:t xml:space="preserve"> </w:t>
            </w:r>
            <w:r w:rsidR="00464DB7" w:rsidRPr="0064128D">
              <w:rPr>
                <w:rFonts w:ascii="Times New Roman" w:hAnsi="Times New Roman" w:cs="Times New Roman"/>
                <w:sz w:val="18"/>
                <w:szCs w:val="18"/>
              </w:rPr>
              <w:t>of HPV vaccination plus screening</w:t>
            </w:r>
            <w:r w:rsidR="00367423" w:rsidRPr="0064128D">
              <w:rPr>
                <w:rFonts w:ascii="Times New Roman" w:hAnsi="Times New Roman" w:cs="Times New Roman"/>
                <w:sz w:val="18"/>
                <w:szCs w:val="18"/>
              </w:rPr>
              <w:t xml:space="preserve"> to prevent cervical cancer</w:t>
            </w:r>
            <w:r w:rsidR="00464DB7" w:rsidRPr="0064128D">
              <w:rPr>
                <w:rFonts w:ascii="Times New Roman" w:hAnsi="Times New Roman" w:cs="Times New Roman"/>
                <w:sz w:val="18"/>
                <w:szCs w:val="18"/>
              </w:rPr>
              <w:t xml:space="preserve"> in China.</w:t>
            </w:r>
          </w:p>
          <w:p w14:paraId="0983BBD4" w14:textId="77777777" w:rsidR="00FF2BC5" w:rsidRPr="0064128D" w:rsidRDefault="00FF2BC5" w:rsidP="0027259C">
            <w:pPr>
              <w:rPr>
                <w:rFonts w:ascii="Times New Roman" w:hAnsi="Times New Roman" w:cs="Times New Roman"/>
                <w:sz w:val="18"/>
                <w:szCs w:val="18"/>
              </w:rPr>
            </w:pPr>
          </w:p>
          <w:p w14:paraId="546009C1" w14:textId="0E6C779D" w:rsidR="00FF2BC5" w:rsidRPr="0064128D" w:rsidRDefault="004E0C68" w:rsidP="0027259C">
            <w:pPr>
              <w:rPr>
                <w:rFonts w:ascii="Times New Roman" w:hAnsi="Times New Roman" w:cs="Times New Roman"/>
                <w:sz w:val="18"/>
                <w:szCs w:val="18"/>
              </w:rPr>
            </w:pPr>
            <w:r w:rsidRPr="0064128D">
              <w:rPr>
                <w:rFonts w:ascii="Times New Roman" w:hAnsi="Times New Roman" w:cs="Times New Roman"/>
                <w:b/>
                <w:bCs/>
                <w:sz w:val="18"/>
                <w:szCs w:val="18"/>
              </w:rPr>
              <w:t>Status quo</w:t>
            </w:r>
            <w:r w:rsidR="00FF2BC5" w:rsidRPr="0064128D">
              <w:rPr>
                <w:rFonts w:ascii="Times New Roman" w:hAnsi="Times New Roman" w:cs="Times New Roman"/>
                <w:sz w:val="18"/>
                <w:szCs w:val="18"/>
              </w:rPr>
              <w:t>:</w:t>
            </w:r>
          </w:p>
          <w:p w14:paraId="0679315A" w14:textId="4B04EDA0" w:rsidR="002C63E5" w:rsidRPr="0064128D" w:rsidRDefault="00723A52" w:rsidP="0027259C">
            <w:pPr>
              <w:rPr>
                <w:rFonts w:ascii="Times New Roman" w:hAnsi="Times New Roman" w:cs="Times New Roman"/>
                <w:sz w:val="18"/>
                <w:szCs w:val="18"/>
              </w:rPr>
            </w:pPr>
            <w:r w:rsidRPr="0064128D">
              <w:rPr>
                <w:rFonts w:ascii="Times New Roman" w:hAnsi="Times New Roman" w:cs="Times New Roman"/>
                <w:sz w:val="18"/>
                <w:szCs w:val="18"/>
              </w:rPr>
              <w:t>Screening alone</w:t>
            </w:r>
          </w:p>
          <w:p w14:paraId="171D00E6" w14:textId="77777777" w:rsidR="00B77F6D" w:rsidRPr="0064128D" w:rsidRDefault="00B77F6D" w:rsidP="0027259C">
            <w:pPr>
              <w:rPr>
                <w:rFonts w:ascii="Times New Roman" w:hAnsi="Times New Roman" w:cs="Times New Roman"/>
                <w:sz w:val="18"/>
                <w:szCs w:val="18"/>
              </w:rPr>
            </w:pPr>
          </w:p>
          <w:p w14:paraId="3BE2E18A" w14:textId="77777777" w:rsidR="00FF2BC5" w:rsidRPr="0064128D" w:rsidRDefault="00FF2BC5" w:rsidP="0027259C">
            <w:pPr>
              <w:rPr>
                <w:rFonts w:ascii="Times New Roman" w:hAnsi="Times New Roman" w:cs="Times New Roman"/>
                <w:sz w:val="18"/>
                <w:szCs w:val="18"/>
              </w:rPr>
            </w:pPr>
            <w:r w:rsidRPr="0064128D">
              <w:rPr>
                <w:rFonts w:ascii="Times New Roman" w:hAnsi="Times New Roman" w:cs="Times New Roman"/>
                <w:b/>
                <w:bCs/>
                <w:sz w:val="18"/>
                <w:szCs w:val="18"/>
                <w:u w:val="single"/>
              </w:rPr>
              <w:t>Intervention</w:t>
            </w:r>
            <w:r w:rsidRPr="0064128D">
              <w:rPr>
                <w:rFonts w:ascii="Times New Roman" w:hAnsi="Times New Roman" w:cs="Times New Roman"/>
                <w:sz w:val="18"/>
                <w:szCs w:val="18"/>
              </w:rPr>
              <w:t>:</w:t>
            </w:r>
          </w:p>
          <w:p w14:paraId="1BD2293D" w14:textId="77777777" w:rsidR="00723A52" w:rsidRPr="0064128D" w:rsidRDefault="00723A52" w:rsidP="0027259C">
            <w:pPr>
              <w:rPr>
                <w:rFonts w:ascii="Times New Roman" w:hAnsi="Times New Roman" w:cs="Times New Roman"/>
                <w:sz w:val="18"/>
                <w:szCs w:val="18"/>
              </w:rPr>
            </w:pPr>
            <w:r w:rsidRPr="0064128D">
              <w:rPr>
                <w:rFonts w:ascii="Times New Roman" w:hAnsi="Times New Roman" w:cs="Times New Roman"/>
                <w:sz w:val="18"/>
                <w:szCs w:val="18"/>
              </w:rPr>
              <w:t>HPV vaccination plus screening.</w:t>
            </w:r>
          </w:p>
          <w:p w14:paraId="48A15B3D" w14:textId="77777777" w:rsidR="00723A52" w:rsidRPr="0064128D" w:rsidRDefault="00723A52" w:rsidP="0027259C">
            <w:pPr>
              <w:rPr>
                <w:rFonts w:ascii="Times New Roman" w:hAnsi="Times New Roman" w:cs="Times New Roman"/>
                <w:sz w:val="18"/>
                <w:szCs w:val="18"/>
              </w:rPr>
            </w:pPr>
          </w:p>
          <w:p w14:paraId="0F2CB057" w14:textId="41BC901B" w:rsidR="00723A52" w:rsidRPr="0064128D" w:rsidRDefault="00723A52" w:rsidP="0027259C">
            <w:pPr>
              <w:rPr>
                <w:rFonts w:ascii="Times New Roman" w:hAnsi="Times New Roman" w:cs="Times New Roman"/>
                <w:sz w:val="18"/>
                <w:szCs w:val="18"/>
              </w:rPr>
            </w:pPr>
            <w:r w:rsidRPr="0064128D">
              <w:rPr>
                <w:rFonts w:ascii="Times New Roman" w:hAnsi="Times New Roman" w:cs="Times New Roman"/>
                <w:sz w:val="18"/>
                <w:szCs w:val="18"/>
              </w:rPr>
              <w:t>It was a UPF program.</w:t>
            </w:r>
          </w:p>
        </w:tc>
        <w:tc>
          <w:tcPr>
            <w:tcW w:w="2936" w:type="dxa"/>
          </w:tcPr>
          <w:p w14:paraId="4E779F71" w14:textId="77777777"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 xml:space="preserve">Conducted </w:t>
            </w:r>
            <w:r w:rsidR="009E1515" w:rsidRPr="0064128D">
              <w:rPr>
                <w:rFonts w:ascii="Times New Roman" w:hAnsi="Times New Roman" w:cs="Times New Roman"/>
                <w:sz w:val="18"/>
                <w:szCs w:val="18"/>
              </w:rPr>
              <w:t>ECEA to estimate the HBG, FC, FRP and equity</w:t>
            </w:r>
            <w:r w:rsidRPr="0064128D">
              <w:rPr>
                <w:rFonts w:ascii="Times New Roman" w:hAnsi="Times New Roman" w:cs="Times New Roman"/>
                <w:sz w:val="18"/>
                <w:szCs w:val="18"/>
              </w:rPr>
              <w:t>.</w:t>
            </w:r>
          </w:p>
          <w:p w14:paraId="7CC04056" w14:textId="77777777" w:rsidR="000C6CA2" w:rsidRPr="0064128D" w:rsidRDefault="000C6CA2" w:rsidP="0027259C">
            <w:pPr>
              <w:rPr>
                <w:rFonts w:ascii="Times New Roman" w:hAnsi="Times New Roman" w:cs="Times New Roman"/>
                <w:sz w:val="18"/>
                <w:szCs w:val="18"/>
              </w:rPr>
            </w:pPr>
            <w:r w:rsidRPr="0064128D">
              <w:rPr>
                <w:rFonts w:ascii="Times New Roman" w:hAnsi="Times New Roman" w:cs="Times New Roman"/>
                <w:sz w:val="18"/>
                <w:szCs w:val="18"/>
              </w:rPr>
              <w:t>Costs were estimated from the governmental perspective.</w:t>
            </w:r>
          </w:p>
          <w:p w14:paraId="4075A97C" w14:textId="3D01959C" w:rsidR="00A0236E" w:rsidRPr="0064128D" w:rsidRDefault="00A0236E" w:rsidP="0027259C">
            <w:pPr>
              <w:rPr>
                <w:rFonts w:ascii="Times New Roman" w:hAnsi="Times New Roman" w:cs="Times New Roman"/>
                <w:sz w:val="18"/>
                <w:szCs w:val="18"/>
              </w:rPr>
            </w:pPr>
            <w:r w:rsidRPr="0064128D">
              <w:rPr>
                <w:rFonts w:ascii="Times New Roman" w:hAnsi="Times New Roman" w:cs="Times New Roman"/>
                <w:sz w:val="18"/>
                <w:szCs w:val="18"/>
              </w:rPr>
              <w:t>Used published data and authors’ assumptions.</w:t>
            </w:r>
          </w:p>
        </w:tc>
        <w:tc>
          <w:tcPr>
            <w:tcW w:w="6964" w:type="dxa"/>
          </w:tcPr>
          <w:p w14:paraId="396986F9" w14:textId="44F9DF6A" w:rsidR="00464DB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HBG</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w:t>
            </w:r>
            <w:r w:rsidR="00222ABD" w:rsidRPr="0064128D">
              <w:rPr>
                <w:rFonts w:ascii="Times New Roman" w:hAnsi="Times New Roman" w:cs="Times New Roman"/>
                <w:sz w:val="18"/>
                <w:szCs w:val="18"/>
              </w:rPr>
              <w:t>The vaccination policy would avert many deaths.</w:t>
            </w:r>
          </w:p>
          <w:p w14:paraId="3B95EA79" w14:textId="31C37D2D" w:rsidR="00464DB7" w:rsidRPr="0064128D" w:rsidRDefault="00F16FE5" w:rsidP="00AD3C5D">
            <w:pPr>
              <w:rPr>
                <w:rFonts w:ascii="Times New Roman" w:hAnsi="Times New Roman" w:cs="Times New Roman"/>
                <w:sz w:val="18"/>
                <w:szCs w:val="18"/>
              </w:rPr>
            </w:pPr>
            <w:r w:rsidRPr="0064128D">
              <w:rPr>
                <w:rFonts w:ascii="Times New Roman" w:hAnsi="Times New Roman" w:cs="Times New Roman"/>
                <w:b/>
                <w:bCs/>
                <w:i/>
                <w:iCs/>
                <w:sz w:val="18"/>
                <w:szCs w:val="18"/>
              </w:rPr>
              <w:t>FC</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w:t>
            </w:r>
            <w:r w:rsidR="00913056" w:rsidRPr="0064128D">
              <w:rPr>
                <w:rFonts w:ascii="Times New Roman" w:hAnsi="Times New Roman" w:cs="Times New Roman"/>
                <w:sz w:val="18"/>
                <w:szCs w:val="18"/>
              </w:rPr>
              <w:t>The policy will also hugely cost the government and avert treatment seeking cases of cancer.</w:t>
            </w:r>
          </w:p>
          <w:p w14:paraId="06986C10" w14:textId="4092722B" w:rsidR="00464DB7" w:rsidRDefault="00F16FE5" w:rsidP="00586839">
            <w:pPr>
              <w:rPr>
                <w:rFonts w:ascii="Times New Roman" w:hAnsi="Times New Roman" w:cs="Times New Roman"/>
                <w:sz w:val="18"/>
                <w:szCs w:val="18"/>
              </w:rPr>
            </w:pPr>
            <w:r w:rsidRPr="0064128D">
              <w:rPr>
                <w:rFonts w:ascii="Times New Roman" w:hAnsi="Times New Roman" w:cs="Times New Roman"/>
                <w:b/>
                <w:bCs/>
                <w:i/>
                <w:iCs/>
                <w:sz w:val="18"/>
                <w:szCs w:val="18"/>
              </w:rPr>
              <w:t>FRP</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Treatment seeking cases of cancer averted (per million women) is 3540, 3511, 3312, 3256 and 2999 of the poorest, poor, middle, </w:t>
            </w:r>
            <w:r w:rsidR="00FA44FF" w:rsidRPr="0064128D">
              <w:rPr>
                <w:rFonts w:ascii="Times New Roman" w:hAnsi="Times New Roman" w:cs="Times New Roman"/>
                <w:sz w:val="18"/>
                <w:szCs w:val="18"/>
              </w:rPr>
              <w:t>richer,</w:t>
            </w:r>
            <w:r w:rsidR="00464DB7" w:rsidRPr="0064128D">
              <w:rPr>
                <w:rFonts w:ascii="Times New Roman" w:hAnsi="Times New Roman" w:cs="Times New Roman"/>
                <w:sz w:val="18"/>
                <w:szCs w:val="18"/>
              </w:rPr>
              <w:t xml:space="preserve"> and richest quintiles, respectively. </w:t>
            </w:r>
          </w:p>
          <w:p w14:paraId="4D32BCBA" w14:textId="77777777" w:rsidR="005B7894" w:rsidRPr="0064128D" w:rsidRDefault="005B7894" w:rsidP="00586839">
            <w:pPr>
              <w:rPr>
                <w:rFonts w:ascii="Times New Roman" w:hAnsi="Times New Roman" w:cs="Times New Roman"/>
                <w:sz w:val="18"/>
                <w:szCs w:val="18"/>
              </w:rPr>
            </w:pPr>
          </w:p>
          <w:p w14:paraId="4F7056C3" w14:textId="6F25891E" w:rsidR="00AD3C5D" w:rsidRPr="0064128D" w:rsidRDefault="00D82C07" w:rsidP="00AD3C5D">
            <w:pPr>
              <w:rPr>
                <w:rFonts w:ascii="Times New Roman" w:hAnsi="Times New Roman" w:cs="Times New Roman"/>
                <w:sz w:val="18"/>
                <w:szCs w:val="18"/>
              </w:rPr>
            </w:pPr>
            <w:r w:rsidRPr="0064128D">
              <w:rPr>
                <w:rFonts w:ascii="Times New Roman" w:hAnsi="Times New Roman" w:cs="Times New Roman"/>
                <w:b/>
                <w:bCs/>
                <w:i/>
                <w:iCs/>
                <w:sz w:val="18"/>
                <w:szCs w:val="18"/>
              </w:rPr>
              <w:t>Equity</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The </w:t>
            </w:r>
            <w:r w:rsidR="00F16FE5" w:rsidRPr="0064128D">
              <w:rPr>
                <w:rFonts w:ascii="Times New Roman" w:hAnsi="Times New Roman" w:cs="Times New Roman"/>
                <w:sz w:val="18"/>
                <w:szCs w:val="18"/>
              </w:rPr>
              <w:t>HB</w:t>
            </w:r>
            <w:r w:rsidR="002D0AEE" w:rsidRPr="0064128D">
              <w:rPr>
                <w:rFonts w:ascii="Times New Roman" w:hAnsi="Times New Roman" w:cs="Times New Roman"/>
                <w:sz w:val="18"/>
                <w:szCs w:val="18"/>
              </w:rPr>
              <w:t>G</w:t>
            </w:r>
            <w:r w:rsidR="00464DB7" w:rsidRPr="0064128D">
              <w:rPr>
                <w:rFonts w:ascii="Times New Roman" w:hAnsi="Times New Roman" w:cs="Times New Roman"/>
                <w:sz w:val="18"/>
                <w:szCs w:val="18"/>
              </w:rPr>
              <w:t xml:space="preserve"> and </w:t>
            </w:r>
            <w:r w:rsidR="002D0AEE" w:rsidRPr="0064128D">
              <w:rPr>
                <w:rFonts w:ascii="Times New Roman" w:hAnsi="Times New Roman" w:cs="Times New Roman"/>
                <w:sz w:val="18"/>
                <w:szCs w:val="18"/>
              </w:rPr>
              <w:t>FRP</w:t>
            </w:r>
            <w:r w:rsidR="00464DB7" w:rsidRPr="0064128D">
              <w:rPr>
                <w:rFonts w:ascii="Times New Roman" w:hAnsi="Times New Roman" w:cs="Times New Roman"/>
                <w:sz w:val="18"/>
                <w:szCs w:val="18"/>
              </w:rPr>
              <w:t xml:space="preserve"> favored women in the lowest quintile. </w:t>
            </w:r>
            <w:r w:rsidR="00860CD7" w:rsidRPr="0064128D">
              <w:rPr>
                <w:rFonts w:ascii="Times New Roman" w:hAnsi="Times New Roman" w:cs="Times New Roman"/>
                <w:sz w:val="18"/>
                <w:szCs w:val="18"/>
              </w:rPr>
              <w:t>The vaccination policy would avert 2877, 2854, 2667, 2604 and 2362 deaths</w:t>
            </w:r>
            <w:r w:rsidR="0010184B" w:rsidRPr="0064128D">
              <w:rPr>
                <w:rFonts w:ascii="Times New Roman" w:hAnsi="Times New Roman" w:cs="Times New Roman"/>
                <w:sz w:val="18"/>
                <w:szCs w:val="18"/>
              </w:rPr>
              <w:t xml:space="preserve"> (per million women)</w:t>
            </w:r>
            <w:r w:rsidR="00860CD7" w:rsidRPr="0064128D">
              <w:rPr>
                <w:rFonts w:ascii="Times New Roman" w:hAnsi="Times New Roman" w:cs="Times New Roman"/>
                <w:sz w:val="18"/>
                <w:szCs w:val="18"/>
              </w:rPr>
              <w:t xml:space="preserve"> of the poorest, poor, middle, </w:t>
            </w:r>
            <w:r w:rsidR="00222ABD" w:rsidRPr="0064128D">
              <w:rPr>
                <w:rFonts w:ascii="Times New Roman" w:hAnsi="Times New Roman" w:cs="Times New Roman"/>
                <w:sz w:val="18"/>
                <w:szCs w:val="18"/>
              </w:rPr>
              <w:t>richer,</w:t>
            </w:r>
            <w:r w:rsidR="00860CD7" w:rsidRPr="0064128D">
              <w:rPr>
                <w:rFonts w:ascii="Times New Roman" w:hAnsi="Times New Roman" w:cs="Times New Roman"/>
                <w:sz w:val="18"/>
                <w:szCs w:val="18"/>
              </w:rPr>
              <w:t xml:space="preserve"> and richest quintiles, respectively.</w:t>
            </w:r>
            <w:r w:rsidR="00EB4511" w:rsidRPr="0064128D">
              <w:rPr>
                <w:rFonts w:ascii="Times New Roman" w:hAnsi="Times New Roman" w:cs="Times New Roman"/>
                <w:sz w:val="18"/>
                <w:szCs w:val="18"/>
              </w:rPr>
              <w:t xml:space="preserve"> Treatment seeking cases of cancer averted </w:t>
            </w:r>
            <w:r w:rsidR="00A550A3" w:rsidRPr="0064128D">
              <w:rPr>
                <w:rFonts w:ascii="Times New Roman" w:hAnsi="Times New Roman" w:cs="Times New Roman"/>
                <w:sz w:val="18"/>
                <w:szCs w:val="18"/>
              </w:rPr>
              <w:t xml:space="preserve">was 3540 and 2999 </w:t>
            </w:r>
            <w:r w:rsidR="00C47DF9" w:rsidRPr="0064128D">
              <w:rPr>
                <w:rFonts w:ascii="Times New Roman" w:hAnsi="Times New Roman" w:cs="Times New Roman"/>
                <w:sz w:val="18"/>
                <w:szCs w:val="18"/>
              </w:rPr>
              <w:t xml:space="preserve">(per million women) </w:t>
            </w:r>
            <w:r w:rsidR="00A550A3" w:rsidRPr="0064128D">
              <w:rPr>
                <w:rFonts w:ascii="Times New Roman" w:hAnsi="Times New Roman" w:cs="Times New Roman"/>
                <w:sz w:val="18"/>
                <w:szCs w:val="18"/>
              </w:rPr>
              <w:t>for the poorest and richest income groups, respectively.</w:t>
            </w:r>
            <w:r w:rsidR="00AD3C5D" w:rsidRPr="0064128D">
              <w:rPr>
                <w:rFonts w:ascii="Times New Roman" w:hAnsi="Times New Roman" w:cs="Times New Roman"/>
                <w:sz w:val="18"/>
                <w:szCs w:val="18"/>
              </w:rPr>
              <w:t xml:space="preserve"> The patient cost savings (per million women) from the vaccination policy would be US$1,633,160 for the poorest, US$2,240,688 for the poor, US$2,785,626 for the middle, US$4,417,303 for the richer and US$ 7,041,335 for the richest quintiles. </w:t>
            </w:r>
          </w:p>
          <w:p w14:paraId="23BD6489" w14:textId="77777777" w:rsidR="00AD3C5D" w:rsidRPr="0064128D" w:rsidRDefault="00AD3C5D" w:rsidP="00AD3C5D">
            <w:pPr>
              <w:rPr>
                <w:rFonts w:ascii="Times New Roman" w:hAnsi="Times New Roman" w:cs="Times New Roman"/>
                <w:sz w:val="18"/>
                <w:szCs w:val="18"/>
              </w:rPr>
            </w:pPr>
            <w:r w:rsidRPr="0064128D">
              <w:rPr>
                <w:rFonts w:ascii="Times New Roman" w:hAnsi="Times New Roman" w:cs="Times New Roman"/>
                <w:sz w:val="18"/>
                <w:szCs w:val="18"/>
              </w:rPr>
              <w:lastRenderedPageBreak/>
              <w:t>The government cost per death averted from the vaccination policy would be US$10,920 for the poorest, US$11,009 for the poor, US$11,789 for the middle, US$12,076 for the richer and US$ 13,277 for the richest quintiles.</w:t>
            </w:r>
          </w:p>
          <w:p w14:paraId="7B27C0DE" w14:textId="33C6B29D" w:rsidR="00464DB7" w:rsidRPr="0064128D" w:rsidRDefault="00464DB7" w:rsidP="00586839">
            <w:pPr>
              <w:rPr>
                <w:rFonts w:ascii="Times New Roman" w:hAnsi="Times New Roman" w:cs="Times New Roman"/>
                <w:sz w:val="18"/>
                <w:szCs w:val="18"/>
              </w:rPr>
            </w:pPr>
          </w:p>
          <w:p w14:paraId="7CF3D681" w14:textId="20765E35" w:rsidR="00464DB7" w:rsidRPr="0064128D" w:rsidRDefault="00464DB7" w:rsidP="0027259C">
            <w:pPr>
              <w:rPr>
                <w:rFonts w:ascii="Times New Roman" w:hAnsi="Times New Roman" w:cs="Times New Roman"/>
                <w:sz w:val="18"/>
                <w:szCs w:val="18"/>
              </w:rPr>
            </w:pPr>
          </w:p>
        </w:tc>
      </w:tr>
      <w:tr w:rsidR="0064128D" w:rsidRPr="0064128D" w14:paraId="4E198B02" w14:textId="77777777" w:rsidTr="00C718F8">
        <w:tc>
          <w:tcPr>
            <w:tcW w:w="540" w:type="dxa"/>
          </w:tcPr>
          <w:p w14:paraId="248F14D8" w14:textId="6EF753FE"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1</w:t>
            </w:r>
            <w:r w:rsidR="009B108F" w:rsidRPr="0064128D">
              <w:rPr>
                <w:rFonts w:ascii="Times New Roman" w:hAnsi="Times New Roman" w:cs="Times New Roman"/>
                <w:sz w:val="18"/>
                <w:szCs w:val="18"/>
              </w:rPr>
              <w:t>6</w:t>
            </w:r>
          </w:p>
        </w:tc>
        <w:tc>
          <w:tcPr>
            <w:tcW w:w="1260" w:type="dxa"/>
          </w:tcPr>
          <w:p w14:paraId="6EBFEF08" w14:textId="2928FD6D"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fldChar w:fldCharType="begin" w:fldLock="1"/>
            </w:r>
            <w:r w:rsidRPr="0064128D">
              <w:rPr>
                <w:rFonts w:ascii="Times New Roman" w:hAnsi="Times New Roman" w:cs="Times New Roman"/>
                <w:sz w:val="18"/>
                <w:szCs w:val="18"/>
              </w:rPr>
              <w:instrText>ADDIN CSL_CITATION {"citationItems":[{"id":"ITEM-1","itemData":{"DOI":"10.1136/bmjopen-2014-006402","ISSN":"20446055","PMID":"25941175","abstract":"OBJECTIVES: Policymakers face many decisions when considering public financing for health, including the kind of health interventions to include in a publically financed package. The consequences of these choices will influence health outcomes as well as the financial risk protection provided to different segments of the population. The purpose of this study is to illustrate the size and distribution of benefits due to treatment and prevention of diarrhoea (ie, rotavirus vaccination).\nMETHODS: We use an economic model to examine the impacts of universal public finance (UPF) of diarrhoeal treatment alone, as opposed to diarrhoeal treatment along with rotavirus vaccination in Ethiopia using extended cost-effectiveness analysis (ECEA). ECEA allows us to measure the health gains and financial risk protection provided by these interventions for each wealth quintile. Our model compares a baseline situation with diarrhoeal treatment seeking of 32% (overall) and no rotavirus vaccination, to a situation where UPF increases treatment seeking by 20 percentage points for each quintile and rotavirus vaccination reaches DTP (diphteria, pertussis, tetanus) 2 levels for each quintile (overall rate of 52%). We calculate deaths averted, private expenditures averted and costs incurred by the government under the baseline situation and with UPF.\nRESULTS: We find that diarrhoeal treatment paired with rotavirus vaccination is more cost effective than diarrhoeal treatment alone for the metrics we examine in this paper (deaths and private expenditures averted). Per US$1 million invested, diarrhoeal treatment saves 44 lives and averts US$115,000 in private expenditures. For the same investment, diarrhoeal treatment and rotavirus vaccination save 61 lives and avert US$150,000 in private expenditures. The health benefits of these interventions tend to benefit the poor, while the financial benefits favour the better-off.\nCONCLUSIONS: Policymakers should consider multiple benefit streams as well as their scale and incidence when considering public finance of health interventions.","author":[{"dropping-particle":"","family":"Pecenka","given":"Clinton J.","non-dropping-particle":"","parse-names":false,"suffix":""},{"dropping-particle":"","family":"Johansson","given":"Kjell Arne","non-dropping-particle":"","parse-names":false,"suffix":""},{"dropping-particle":"","family":"Memirie","given":"Solomon Tessema","non-dropping-particle":"","parse-names":false,"suffix":""},{"dropping-particle":"","family":"Jamison","given":"Dean T.","non-dropping-particle":"","parse-names":false,"suffix":""},{"dropping-particle":"","family":"Verguet","given":"Stéphane","non-dropping-particle":"","parse-names":false,"suffix":""}],"container-title":"BMJ open","id":"ITEM-1","issue":"4","issued":{"date-parts":[["2015"]]},"page":"e006402","title":"Health gains and financial risk protection: an extended cost-effectiveness analysis of treatment and prevention of diarrhoea in Ethiopia","type":"article-journal","volume":"5"},"uris":["http://www.mendeley.com/documents/?uuid=5516fdca-f656-4be1-8f6a-fc2d70c03f5c"]}],"mendeley":{"formattedCitation":"(Pecenka et al., 2015)","manualFormatting":"Pecenka et al. (2015)","plainTextFormattedCitation":"(Pecenka et al., 2015)","previouslyFormattedCitation":"(Pecenka et al., 2015)"},"properties":{"noteIndex":0},"schema":"https://github.com/citation-style-language/schema/raw/master/csl-citation.json"}</w:instrText>
            </w:r>
            <w:r w:rsidRPr="0064128D">
              <w:rPr>
                <w:rFonts w:ascii="Times New Roman" w:hAnsi="Times New Roman" w:cs="Times New Roman"/>
                <w:sz w:val="18"/>
                <w:szCs w:val="18"/>
              </w:rPr>
              <w:fldChar w:fldCharType="separate"/>
            </w:r>
            <w:r w:rsidRPr="0064128D">
              <w:rPr>
                <w:rFonts w:ascii="Times New Roman" w:hAnsi="Times New Roman" w:cs="Times New Roman"/>
                <w:noProof/>
                <w:sz w:val="18"/>
                <w:szCs w:val="18"/>
              </w:rPr>
              <w:t>Pecenka et al. (2015)</w:t>
            </w:r>
            <w:r w:rsidRPr="0064128D">
              <w:rPr>
                <w:rFonts w:ascii="Times New Roman" w:hAnsi="Times New Roman" w:cs="Times New Roman"/>
                <w:sz w:val="18"/>
                <w:szCs w:val="18"/>
              </w:rPr>
              <w:fldChar w:fldCharType="end"/>
            </w:r>
            <w:r w:rsidRPr="0064128D">
              <w:rPr>
                <w:rFonts w:ascii="Times New Roman" w:hAnsi="Times New Roman" w:cs="Times New Roman"/>
                <w:sz w:val="18"/>
                <w:szCs w:val="18"/>
              </w:rPr>
              <w:t>,</w:t>
            </w:r>
          </w:p>
          <w:p w14:paraId="37C45FE6" w14:textId="5441F566"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Ethiopia</w:t>
            </w:r>
          </w:p>
        </w:tc>
        <w:tc>
          <w:tcPr>
            <w:tcW w:w="3240" w:type="dxa"/>
          </w:tcPr>
          <w:p w14:paraId="3A583D4D" w14:textId="2078910F"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 xml:space="preserve">Examined the health and </w:t>
            </w:r>
            <w:r w:rsidR="00DF0E78" w:rsidRPr="0064128D">
              <w:rPr>
                <w:rFonts w:ascii="Times New Roman" w:hAnsi="Times New Roman" w:cs="Times New Roman"/>
                <w:sz w:val="18"/>
                <w:szCs w:val="18"/>
              </w:rPr>
              <w:t>non-health</w:t>
            </w:r>
            <w:r w:rsidRPr="0064128D">
              <w:rPr>
                <w:rFonts w:ascii="Times New Roman" w:hAnsi="Times New Roman" w:cs="Times New Roman"/>
                <w:sz w:val="18"/>
                <w:szCs w:val="18"/>
              </w:rPr>
              <w:t xml:space="preserve"> impacts of diarrhea treatment alone</w:t>
            </w:r>
            <w:r w:rsidR="006E7E8C" w:rsidRPr="0064128D">
              <w:rPr>
                <w:rFonts w:ascii="Times New Roman" w:hAnsi="Times New Roman" w:cs="Times New Roman"/>
                <w:sz w:val="18"/>
                <w:szCs w:val="18"/>
              </w:rPr>
              <w:t xml:space="preserve"> (baseline)</w:t>
            </w:r>
            <w:r w:rsidR="00223507" w:rsidRPr="0064128D">
              <w:rPr>
                <w:rFonts w:ascii="Times New Roman" w:hAnsi="Times New Roman" w:cs="Times New Roman"/>
                <w:sz w:val="18"/>
                <w:szCs w:val="18"/>
              </w:rPr>
              <w:t xml:space="preserve"> compared </w:t>
            </w:r>
            <w:r w:rsidRPr="0064128D">
              <w:rPr>
                <w:rFonts w:ascii="Times New Roman" w:hAnsi="Times New Roman" w:cs="Times New Roman"/>
                <w:sz w:val="18"/>
                <w:szCs w:val="18"/>
              </w:rPr>
              <w:t>to diarrheal treatment along with rotavirus vaccination</w:t>
            </w:r>
            <w:r w:rsidR="006E7E8C" w:rsidRPr="0064128D">
              <w:rPr>
                <w:rFonts w:ascii="Times New Roman" w:hAnsi="Times New Roman" w:cs="Times New Roman"/>
                <w:sz w:val="18"/>
                <w:szCs w:val="18"/>
              </w:rPr>
              <w:t xml:space="preserve"> (intervention)</w:t>
            </w:r>
            <w:r w:rsidRPr="0064128D">
              <w:rPr>
                <w:rFonts w:ascii="Times New Roman" w:hAnsi="Times New Roman" w:cs="Times New Roman"/>
                <w:sz w:val="18"/>
                <w:szCs w:val="18"/>
              </w:rPr>
              <w:t xml:space="preserve">. </w:t>
            </w:r>
          </w:p>
          <w:p w14:paraId="7071D357" w14:textId="77777777" w:rsidR="00223507" w:rsidRPr="0064128D" w:rsidRDefault="00223507" w:rsidP="0027259C">
            <w:pPr>
              <w:rPr>
                <w:rFonts w:ascii="Times New Roman" w:hAnsi="Times New Roman" w:cs="Times New Roman"/>
                <w:sz w:val="18"/>
                <w:szCs w:val="18"/>
              </w:rPr>
            </w:pPr>
          </w:p>
          <w:p w14:paraId="28F1BD69" w14:textId="531E0C1C" w:rsidR="00223507" w:rsidRPr="0064128D" w:rsidRDefault="001A0467" w:rsidP="0027259C">
            <w:pPr>
              <w:rPr>
                <w:rFonts w:ascii="Times New Roman" w:hAnsi="Times New Roman" w:cs="Times New Roman"/>
                <w:sz w:val="18"/>
                <w:szCs w:val="18"/>
              </w:rPr>
            </w:pPr>
            <w:r w:rsidRPr="0064128D">
              <w:rPr>
                <w:rFonts w:ascii="Times New Roman" w:hAnsi="Times New Roman" w:cs="Times New Roman"/>
                <w:b/>
                <w:bCs/>
                <w:sz w:val="18"/>
                <w:szCs w:val="18"/>
              </w:rPr>
              <w:t>Status quo</w:t>
            </w:r>
            <w:r w:rsidR="00223507" w:rsidRPr="0064128D">
              <w:rPr>
                <w:rFonts w:ascii="Times New Roman" w:hAnsi="Times New Roman" w:cs="Times New Roman"/>
                <w:sz w:val="18"/>
                <w:szCs w:val="18"/>
              </w:rPr>
              <w:t>: A</w:t>
            </w:r>
            <w:r w:rsidR="00464DB7" w:rsidRPr="0064128D">
              <w:rPr>
                <w:rFonts w:ascii="Times New Roman" w:hAnsi="Times New Roman" w:cs="Times New Roman"/>
                <w:sz w:val="18"/>
                <w:szCs w:val="18"/>
              </w:rPr>
              <w:t xml:space="preserve"> diarrheal treatment </w:t>
            </w:r>
            <w:r w:rsidR="00223507" w:rsidRPr="0064128D">
              <w:rPr>
                <w:rFonts w:ascii="Times New Roman" w:hAnsi="Times New Roman" w:cs="Times New Roman"/>
                <w:sz w:val="18"/>
                <w:szCs w:val="18"/>
              </w:rPr>
              <w:t>coverage</w:t>
            </w:r>
            <w:r w:rsidR="00464DB7" w:rsidRPr="0064128D">
              <w:rPr>
                <w:rFonts w:ascii="Times New Roman" w:hAnsi="Times New Roman" w:cs="Times New Roman"/>
                <w:sz w:val="18"/>
                <w:szCs w:val="18"/>
              </w:rPr>
              <w:t xml:space="preserve"> of 32% and no rotavirus vaccination</w:t>
            </w:r>
            <w:r w:rsidR="00223507" w:rsidRPr="0064128D">
              <w:rPr>
                <w:rFonts w:ascii="Times New Roman" w:hAnsi="Times New Roman" w:cs="Times New Roman"/>
                <w:sz w:val="18"/>
                <w:szCs w:val="18"/>
              </w:rPr>
              <w:t>.</w:t>
            </w:r>
          </w:p>
          <w:p w14:paraId="503AA70F" w14:textId="77777777" w:rsidR="00223507" w:rsidRPr="0064128D" w:rsidRDefault="00223507" w:rsidP="0027259C">
            <w:pPr>
              <w:rPr>
                <w:rFonts w:ascii="Times New Roman" w:hAnsi="Times New Roman" w:cs="Times New Roman"/>
                <w:sz w:val="18"/>
                <w:szCs w:val="18"/>
              </w:rPr>
            </w:pPr>
          </w:p>
          <w:p w14:paraId="13F70A9D" w14:textId="5CF05D3C" w:rsidR="00BA0467" w:rsidRPr="0064128D" w:rsidRDefault="00223507" w:rsidP="0027259C">
            <w:pPr>
              <w:rPr>
                <w:rFonts w:ascii="Times New Roman" w:hAnsi="Times New Roman" w:cs="Times New Roman"/>
                <w:sz w:val="18"/>
                <w:szCs w:val="18"/>
              </w:rPr>
            </w:pPr>
            <w:r w:rsidRPr="0064128D">
              <w:rPr>
                <w:rFonts w:ascii="Times New Roman" w:hAnsi="Times New Roman" w:cs="Times New Roman"/>
                <w:b/>
                <w:bCs/>
                <w:sz w:val="18"/>
                <w:szCs w:val="18"/>
                <w:u w:val="single"/>
              </w:rPr>
              <w:t>Intervention</w:t>
            </w:r>
            <w:r w:rsidRPr="0064128D">
              <w:rPr>
                <w:rFonts w:ascii="Times New Roman" w:hAnsi="Times New Roman" w:cs="Times New Roman"/>
                <w:sz w:val="18"/>
                <w:szCs w:val="18"/>
              </w:rPr>
              <w:t xml:space="preserve">: A </w:t>
            </w:r>
            <w:r w:rsidR="00464DB7" w:rsidRPr="0064128D">
              <w:rPr>
                <w:rFonts w:ascii="Times New Roman" w:hAnsi="Times New Roman" w:cs="Times New Roman"/>
                <w:sz w:val="18"/>
                <w:szCs w:val="18"/>
              </w:rPr>
              <w:t xml:space="preserve">20 percentage points </w:t>
            </w:r>
            <w:r w:rsidRPr="0064128D">
              <w:rPr>
                <w:rFonts w:ascii="Times New Roman" w:hAnsi="Times New Roman" w:cs="Times New Roman"/>
                <w:sz w:val="18"/>
                <w:szCs w:val="18"/>
              </w:rPr>
              <w:t>increase of coverage</w:t>
            </w:r>
            <w:r w:rsidR="00695DB1" w:rsidRPr="0064128D">
              <w:rPr>
                <w:rFonts w:ascii="Times New Roman" w:hAnsi="Times New Roman" w:cs="Times New Roman"/>
                <w:sz w:val="18"/>
                <w:szCs w:val="18"/>
              </w:rPr>
              <w:t xml:space="preserve">. Thus, an </w:t>
            </w:r>
            <w:r w:rsidRPr="0064128D">
              <w:rPr>
                <w:rFonts w:ascii="Times New Roman" w:hAnsi="Times New Roman" w:cs="Times New Roman"/>
                <w:sz w:val="18"/>
                <w:szCs w:val="18"/>
              </w:rPr>
              <w:t>overall rate of 52%</w:t>
            </w:r>
            <w:r w:rsidR="00695DB1" w:rsidRPr="0064128D">
              <w:rPr>
                <w:rFonts w:ascii="Times New Roman" w:hAnsi="Times New Roman" w:cs="Times New Roman"/>
                <w:sz w:val="18"/>
                <w:szCs w:val="18"/>
              </w:rPr>
              <w:t xml:space="preserve"> for the diarrheal treatment along with rotavirus vaccination</w:t>
            </w:r>
            <w:r w:rsidRPr="0064128D">
              <w:rPr>
                <w:rFonts w:ascii="Times New Roman" w:hAnsi="Times New Roman" w:cs="Times New Roman"/>
                <w:sz w:val="18"/>
                <w:szCs w:val="18"/>
              </w:rPr>
              <w:t xml:space="preserve">. </w:t>
            </w:r>
          </w:p>
          <w:p w14:paraId="57EEBF91" w14:textId="77777777" w:rsidR="00BA0467" w:rsidRPr="0064128D" w:rsidRDefault="00BA0467" w:rsidP="0027259C">
            <w:pPr>
              <w:rPr>
                <w:rFonts w:ascii="Times New Roman" w:hAnsi="Times New Roman" w:cs="Times New Roman"/>
                <w:sz w:val="18"/>
                <w:szCs w:val="18"/>
              </w:rPr>
            </w:pPr>
          </w:p>
          <w:p w14:paraId="21A1C689" w14:textId="435F9047" w:rsidR="00DF0E78" w:rsidRPr="0064128D" w:rsidRDefault="00DF0E78" w:rsidP="0027259C">
            <w:pPr>
              <w:rPr>
                <w:rFonts w:ascii="Times New Roman" w:hAnsi="Times New Roman" w:cs="Times New Roman"/>
                <w:sz w:val="18"/>
                <w:szCs w:val="18"/>
              </w:rPr>
            </w:pPr>
            <w:r w:rsidRPr="0064128D">
              <w:rPr>
                <w:rFonts w:ascii="Times New Roman" w:hAnsi="Times New Roman" w:cs="Times New Roman"/>
                <w:sz w:val="18"/>
                <w:szCs w:val="18"/>
              </w:rPr>
              <w:t>It was a UPF intervention.</w:t>
            </w:r>
          </w:p>
        </w:tc>
        <w:tc>
          <w:tcPr>
            <w:tcW w:w="2936" w:type="dxa"/>
          </w:tcPr>
          <w:p w14:paraId="6CE47ECB" w14:textId="7F213D59"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 xml:space="preserve">Conducted </w:t>
            </w:r>
            <w:r w:rsidR="005A750A" w:rsidRPr="0064128D">
              <w:rPr>
                <w:rFonts w:ascii="Times New Roman" w:hAnsi="Times New Roman" w:cs="Times New Roman"/>
                <w:sz w:val="18"/>
                <w:szCs w:val="18"/>
              </w:rPr>
              <w:t>ECEA to estimate HBG, FC and Equity</w:t>
            </w:r>
            <w:r w:rsidRPr="0064128D">
              <w:rPr>
                <w:rFonts w:ascii="Times New Roman" w:hAnsi="Times New Roman" w:cs="Times New Roman"/>
                <w:sz w:val="18"/>
                <w:szCs w:val="18"/>
              </w:rPr>
              <w:t xml:space="preserve">. Data was used from the Ethiopian Demographic Health survey </w:t>
            </w:r>
            <w:r w:rsidR="00172283" w:rsidRPr="0064128D">
              <w:rPr>
                <w:rFonts w:ascii="Times New Roman" w:hAnsi="Times New Roman" w:cs="Times New Roman"/>
                <w:sz w:val="18"/>
                <w:szCs w:val="18"/>
              </w:rPr>
              <w:t xml:space="preserve">(EDHS), WHO-CHOICE, author’s calculations and assumptions, World Development Indicators (WDI) </w:t>
            </w:r>
            <w:r w:rsidRPr="0064128D">
              <w:rPr>
                <w:rFonts w:ascii="Times New Roman" w:hAnsi="Times New Roman" w:cs="Times New Roman"/>
                <w:sz w:val="18"/>
                <w:szCs w:val="18"/>
              </w:rPr>
              <w:t xml:space="preserve">and from </w:t>
            </w:r>
            <w:r w:rsidR="00172283" w:rsidRPr="0064128D">
              <w:rPr>
                <w:rFonts w:ascii="Times New Roman" w:hAnsi="Times New Roman" w:cs="Times New Roman"/>
                <w:sz w:val="18"/>
                <w:szCs w:val="18"/>
              </w:rPr>
              <w:t>empirical literature</w:t>
            </w:r>
            <w:r w:rsidRPr="0064128D">
              <w:rPr>
                <w:rFonts w:ascii="Times New Roman" w:hAnsi="Times New Roman" w:cs="Times New Roman"/>
                <w:sz w:val="18"/>
                <w:szCs w:val="18"/>
              </w:rPr>
              <w:t>.</w:t>
            </w:r>
          </w:p>
          <w:p w14:paraId="780E712F" w14:textId="0635FAD3" w:rsidR="00E7665C" w:rsidRPr="0064128D" w:rsidRDefault="00E7665C" w:rsidP="0027259C">
            <w:pPr>
              <w:rPr>
                <w:rFonts w:ascii="Times New Roman" w:hAnsi="Times New Roman" w:cs="Times New Roman"/>
                <w:sz w:val="18"/>
                <w:szCs w:val="18"/>
              </w:rPr>
            </w:pPr>
            <w:r w:rsidRPr="0064128D">
              <w:rPr>
                <w:rFonts w:ascii="Times New Roman" w:hAnsi="Times New Roman" w:cs="Times New Roman"/>
                <w:sz w:val="18"/>
                <w:szCs w:val="18"/>
              </w:rPr>
              <w:t xml:space="preserve">They </w:t>
            </w:r>
            <w:r w:rsidR="00FB67DA" w:rsidRPr="0064128D">
              <w:rPr>
                <w:rFonts w:ascii="Times New Roman" w:hAnsi="Times New Roman" w:cs="Times New Roman"/>
                <w:sz w:val="18"/>
                <w:szCs w:val="18"/>
              </w:rPr>
              <w:t xml:space="preserve">estimated costs from </w:t>
            </w:r>
            <w:r w:rsidRPr="0064128D">
              <w:rPr>
                <w:rFonts w:ascii="Times New Roman" w:hAnsi="Times New Roman" w:cs="Times New Roman"/>
                <w:sz w:val="18"/>
                <w:szCs w:val="18"/>
              </w:rPr>
              <w:t>the health system perspective.</w:t>
            </w:r>
          </w:p>
        </w:tc>
        <w:tc>
          <w:tcPr>
            <w:tcW w:w="6964" w:type="dxa"/>
          </w:tcPr>
          <w:p w14:paraId="4943F76D" w14:textId="01F1D44E" w:rsidR="00464DB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HBG</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w:t>
            </w:r>
            <w:r w:rsidR="007630F8" w:rsidRPr="0064128D">
              <w:rPr>
                <w:rFonts w:ascii="Times New Roman" w:hAnsi="Times New Roman" w:cs="Times New Roman"/>
                <w:sz w:val="18"/>
                <w:szCs w:val="18"/>
              </w:rPr>
              <w:t>Diarrheal treatment averted 4400 deaths and rotavirus vaccination and diarrheal treatment together averted 5600 deaths.</w:t>
            </w:r>
          </w:p>
          <w:p w14:paraId="05D70D46" w14:textId="567281FE" w:rsidR="00AB5391"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FC</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w:t>
            </w:r>
            <w:r w:rsidR="007630F8" w:rsidRPr="0064128D">
              <w:rPr>
                <w:rFonts w:ascii="Times New Roman" w:hAnsi="Times New Roman" w:cs="Times New Roman"/>
                <w:sz w:val="18"/>
                <w:szCs w:val="18"/>
              </w:rPr>
              <w:t xml:space="preserve">Diarrheal treatment averted US$ 12 million household OOP payments and rotavirus vaccination and diarrheal treatment together averted US$ 13.5 </w:t>
            </w:r>
            <w:r w:rsidR="00AB5391" w:rsidRPr="0064128D">
              <w:rPr>
                <w:rFonts w:ascii="Times New Roman" w:hAnsi="Times New Roman" w:cs="Times New Roman"/>
                <w:sz w:val="18"/>
                <w:szCs w:val="18"/>
              </w:rPr>
              <w:t xml:space="preserve">million </w:t>
            </w:r>
            <w:r w:rsidR="007630F8" w:rsidRPr="0064128D">
              <w:rPr>
                <w:rFonts w:ascii="Times New Roman" w:hAnsi="Times New Roman" w:cs="Times New Roman"/>
                <w:sz w:val="18"/>
                <w:szCs w:val="18"/>
              </w:rPr>
              <w:t>OOP payments.</w:t>
            </w:r>
            <w:r w:rsidR="00D61A74" w:rsidRPr="0064128D">
              <w:rPr>
                <w:rFonts w:ascii="Times New Roman" w:hAnsi="Times New Roman" w:cs="Times New Roman"/>
                <w:sz w:val="18"/>
                <w:szCs w:val="18"/>
              </w:rPr>
              <w:t xml:space="preserve"> The net costs of the diarrheal treatment only and the rotavirus vaccination and diarrheal treatment together to the government are US$100 million and US$93 million,</w:t>
            </w:r>
            <w:r w:rsidR="005D5AD4" w:rsidRPr="0064128D">
              <w:rPr>
                <w:rFonts w:ascii="Times New Roman" w:hAnsi="Times New Roman" w:cs="Times New Roman"/>
                <w:sz w:val="18"/>
                <w:szCs w:val="18"/>
              </w:rPr>
              <w:t xml:space="preserve"> </w:t>
            </w:r>
            <w:r w:rsidR="00D61A74" w:rsidRPr="0064128D">
              <w:rPr>
                <w:rFonts w:ascii="Times New Roman" w:hAnsi="Times New Roman" w:cs="Times New Roman"/>
                <w:sz w:val="18"/>
                <w:szCs w:val="18"/>
              </w:rPr>
              <w:t>respectively.</w:t>
            </w:r>
            <w:r w:rsidR="00E32B3F" w:rsidRPr="0064128D">
              <w:rPr>
                <w:rFonts w:ascii="Times New Roman" w:hAnsi="Times New Roman" w:cs="Times New Roman"/>
                <w:sz w:val="18"/>
                <w:szCs w:val="18"/>
              </w:rPr>
              <w:t xml:space="preserve"> The gross cost of the rotavirus vaccination and diarrheal treatment together to the government was US$ 102 million.</w:t>
            </w:r>
          </w:p>
          <w:p w14:paraId="77CC3817" w14:textId="77777777" w:rsidR="00464DB7" w:rsidRPr="0064128D" w:rsidRDefault="00D82C07" w:rsidP="0027259C">
            <w:pPr>
              <w:rPr>
                <w:rFonts w:ascii="Times New Roman" w:hAnsi="Times New Roman" w:cs="Times New Roman"/>
                <w:sz w:val="18"/>
                <w:szCs w:val="18"/>
              </w:rPr>
            </w:pPr>
            <w:r w:rsidRPr="0064128D">
              <w:rPr>
                <w:rFonts w:ascii="Times New Roman" w:hAnsi="Times New Roman" w:cs="Times New Roman"/>
                <w:b/>
                <w:bCs/>
                <w:i/>
                <w:iCs/>
                <w:sz w:val="18"/>
                <w:szCs w:val="18"/>
              </w:rPr>
              <w:t>Equity</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The health benefits of the interventions tend to benefit the poor while the financial benefits favor the better-off people.</w:t>
            </w:r>
          </w:p>
          <w:p w14:paraId="7EA63709" w14:textId="5ACA4ED1" w:rsidR="00B27824" w:rsidRPr="0064128D" w:rsidRDefault="00B27824" w:rsidP="0027259C">
            <w:pPr>
              <w:rPr>
                <w:rFonts w:ascii="Times New Roman" w:hAnsi="Times New Roman" w:cs="Times New Roman"/>
                <w:sz w:val="18"/>
                <w:szCs w:val="18"/>
              </w:rPr>
            </w:pPr>
            <w:r w:rsidRPr="0064128D">
              <w:rPr>
                <w:rFonts w:ascii="Times New Roman" w:hAnsi="Times New Roman" w:cs="Times New Roman"/>
                <w:i/>
                <w:iCs/>
                <w:sz w:val="18"/>
                <w:szCs w:val="18"/>
              </w:rPr>
              <w:t>HBG</w:t>
            </w:r>
            <w:r w:rsidRPr="0064128D">
              <w:rPr>
                <w:rFonts w:ascii="Times New Roman" w:hAnsi="Times New Roman" w:cs="Times New Roman"/>
                <w:sz w:val="18"/>
                <w:szCs w:val="18"/>
              </w:rPr>
              <w:t xml:space="preserve">: </w:t>
            </w:r>
            <w:r w:rsidR="009D37B4" w:rsidRPr="0064128D">
              <w:rPr>
                <w:rFonts w:ascii="Times New Roman" w:hAnsi="Times New Roman" w:cs="Times New Roman"/>
                <w:sz w:val="18"/>
                <w:szCs w:val="18"/>
              </w:rPr>
              <w:t>With regards to the poorest income quintile, deaths averted was around 18 and 13 for diarrheal treatment and rotavirus vaccination and diarrheal treatment (only), respectively</w:t>
            </w:r>
            <w:r w:rsidR="001F44D0" w:rsidRPr="0064128D">
              <w:rPr>
                <w:rFonts w:ascii="Times New Roman" w:hAnsi="Times New Roman" w:cs="Times New Roman"/>
                <w:sz w:val="18"/>
                <w:szCs w:val="18"/>
              </w:rPr>
              <w:t xml:space="preserve"> per each US$ 1,000,000 spent by the government</w:t>
            </w:r>
            <w:r w:rsidR="009D37B4" w:rsidRPr="0064128D">
              <w:rPr>
                <w:rFonts w:ascii="Times New Roman" w:hAnsi="Times New Roman" w:cs="Times New Roman"/>
                <w:sz w:val="18"/>
                <w:szCs w:val="18"/>
              </w:rPr>
              <w:t>.</w:t>
            </w:r>
            <w:r w:rsidR="001F44D0" w:rsidRPr="0064128D">
              <w:rPr>
                <w:rFonts w:ascii="Times New Roman" w:hAnsi="Times New Roman" w:cs="Times New Roman"/>
                <w:sz w:val="18"/>
                <w:szCs w:val="18"/>
              </w:rPr>
              <w:t xml:space="preserve"> Meanwhile, with regards to the richest income quintile, deaths averted was around 4 and 3 for diarrheal treatment and rotavirus vaccination and diarrheal treatment (only), respectively per each US$ 1,000,000 spent by the government.</w:t>
            </w:r>
          </w:p>
          <w:p w14:paraId="63D2CC5C" w14:textId="7CFF92BE" w:rsidR="00881FD6" w:rsidRPr="0064128D" w:rsidRDefault="00881FD6" w:rsidP="00881FD6">
            <w:pPr>
              <w:rPr>
                <w:rFonts w:ascii="Times New Roman" w:hAnsi="Times New Roman" w:cs="Times New Roman"/>
                <w:sz w:val="18"/>
                <w:szCs w:val="18"/>
              </w:rPr>
            </w:pPr>
            <w:r w:rsidRPr="0064128D">
              <w:rPr>
                <w:rFonts w:ascii="Times New Roman" w:hAnsi="Times New Roman" w:cs="Times New Roman"/>
                <w:i/>
                <w:iCs/>
                <w:sz w:val="18"/>
                <w:szCs w:val="18"/>
              </w:rPr>
              <w:t>FC</w:t>
            </w:r>
            <w:r w:rsidRPr="0064128D">
              <w:rPr>
                <w:rFonts w:ascii="Times New Roman" w:hAnsi="Times New Roman" w:cs="Times New Roman"/>
                <w:sz w:val="18"/>
                <w:szCs w:val="18"/>
              </w:rPr>
              <w:t xml:space="preserve">: With regards to the poorest income quintile, </w:t>
            </w:r>
            <w:r w:rsidR="00DD45DE" w:rsidRPr="0064128D">
              <w:rPr>
                <w:rFonts w:ascii="Times New Roman" w:hAnsi="Times New Roman" w:cs="Times New Roman"/>
                <w:sz w:val="18"/>
                <w:szCs w:val="18"/>
              </w:rPr>
              <w:t>OOP payments</w:t>
            </w:r>
            <w:r w:rsidRPr="0064128D">
              <w:rPr>
                <w:rFonts w:ascii="Times New Roman" w:hAnsi="Times New Roman" w:cs="Times New Roman"/>
                <w:sz w:val="18"/>
                <w:szCs w:val="18"/>
              </w:rPr>
              <w:t xml:space="preserve"> averted was around </w:t>
            </w:r>
            <w:r w:rsidR="00DD45DE" w:rsidRPr="0064128D">
              <w:rPr>
                <w:rFonts w:ascii="Times New Roman" w:hAnsi="Times New Roman" w:cs="Times New Roman"/>
                <w:sz w:val="18"/>
                <w:szCs w:val="18"/>
              </w:rPr>
              <w:t>US$20,000</w:t>
            </w:r>
            <w:r w:rsidRPr="0064128D">
              <w:rPr>
                <w:rFonts w:ascii="Times New Roman" w:hAnsi="Times New Roman" w:cs="Times New Roman"/>
                <w:sz w:val="18"/>
                <w:szCs w:val="18"/>
              </w:rPr>
              <w:t xml:space="preserve"> and </w:t>
            </w:r>
            <w:r w:rsidR="00DD45DE" w:rsidRPr="0064128D">
              <w:rPr>
                <w:rFonts w:ascii="Times New Roman" w:hAnsi="Times New Roman" w:cs="Times New Roman"/>
                <w:sz w:val="18"/>
                <w:szCs w:val="18"/>
              </w:rPr>
              <w:t>US$17,000</w:t>
            </w:r>
            <w:r w:rsidRPr="0064128D">
              <w:rPr>
                <w:rFonts w:ascii="Times New Roman" w:hAnsi="Times New Roman" w:cs="Times New Roman"/>
                <w:sz w:val="18"/>
                <w:szCs w:val="18"/>
              </w:rPr>
              <w:t xml:space="preserve"> for diarrheal treatment and rotavirus vaccination and diarrheal treatment (only), respectively per each US$ 1,000,000 spent by the government. Meanwhile, with regards to the richest income quintile, </w:t>
            </w:r>
            <w:r w:rsidR="00DD45DE" w:rsidRPr="0064128D">
              <w:rPr>
                <w:rFonts w:ascii="Times New Roman" w:hAnsi="Times New Roman" w:cs="Times New Roman"/>
                <w:sz w:val="18"/>
                <w:szCs w:val="18"/>
              </w:rPr>
              <w:t xml:space="preserve">OOP payments averted </w:t>
            </w:r>
            <w:r w:rsidRPr="0064128D">
              <w:rPr>
                <w:rFonts w:ascii="Times New Roman" w:hAnsi="Times New Roman" w:cs="Times New Roman"/>
                <w:sz w:val="18"/>
                <w:szCs w:val="18"/>
              </w:rPr>
              <w:t xml:space="preserve">was around </w:t>
            </w:r>
            <w:r w:rsidR="00DD45DE" w:rsidRPr="0064128D">
              <w:rPr>
                <w:rFonts w:ascii="Times New Roman" w:hAnsi="Times New Roman" w:cs="Times New Roman"/>
                <w:sz w:val="18"/>
                <w:szCs w:val="18"/>
              </w:rPr>
              <w:t>US$</w:t>
            </w:r>
            <w:r w:rsidR="00A643C6" w:rsidRPr="0064128D">
              <w:rPr>
                <w:rFonts w:ascii="Times New Roman" w:hAnsi="Times New Roman" w:cs="Times New Roman"/>
                <w:sz w:val="18"/>
                <w:szCs w:val="18"/>
              </w:rPr>
              <w:t>34,000</w:t>
            </w:r>
            <w:r w:rsidR="00DD45DE" w:rsidRPr="0064128D">
              <w:rPr>
                <w:rFonts w:ascii="Times New Roman" w:hAnsi="Times New Roman" w:cs="Times New Roman"/>
                <w:sz w:val="18"/>
                <w:szCs w:val="18"/>
              </w:rPr>
              <w:t xml:space="preserve"> </w:t>
            </w:r>
            <w:r w:rsidRPr="0064128D">
              <w:rPr>
                <w:rFonts w:ascii="Times New Roman" w:hAnsi="Times New Roman" w:cs="Times New Roman"/>
                <w:sz w:val="18"/>
                <w:szCs w:val="18"/>
              </w:rPr>
              <w:t xml:space="preserve">and </w:t>
            </w:r>
            <w:r w:rsidR="00DD45DE" w:rsidRPr="0064128D">
              <w:rPr>
                <w:rFonts w:ascii="Times New Roman" w:hAnsi="Times New Roman" w:cs="Times New Roman"/>
                <w:sz w:val="18"/>
                <w:szCs w:val="18"/>
              </w:rPr>
              <w:t>US$</w:t>
            </w:r>
            <w:r w:rsidR="00A643C6" w:rsidRPr="0064128D">
              <w:rPr>
                <w:rFonts w:ascii="Times New Roman" w:hAnsi="Times New Roman" w:cs="Times New Roman"/>
                <w:sz w:val="18"/>
                <w:szCs w:val="18"/>
              </w:rPr>
              <w:t>29,000</w:t>
            </w:r>
            <w:r w:rsidR="00DD45DE" w:rsidRPr="0064128D">
              <w:rPr>
                <w:rFonts w:ascii="Times New Roman" w:hAnsi="Times New Roman" w:cs="Times New Roman"/>
                <w:sz w:val="18"/>
                <w:szCs w:val="18"/>
              </w:rPr>
              <w:t xml:space="preserve"> </w:t>
            </w:r>
            <w:r w:rsidRPr="0064128D">
              <w:rPr>
                <w:rFonts w:ascii="Times New Roman" w:hAnsi="Times New Roman" w:cs="Times New Roman"/>
                <w:sz w:val="18"/>
                <w:szCs w:val="18"/>
              </w:rPr>
              <w:t>for diarrheal treatment and rotavirus vaccination and diarrheal treatment (only), respectively per each US$ 1,000,000 spent by the government.</w:t>
            </w:r>
          </w:p>
          <w:p w14:paraId="6E13296A" w14:textId="77777777" w:rsidR="000731E5" w:rsidRPr="0064128D" w:rsidRDefault="000731E5" w:rsidP="0027259C">
            <w:pPr>
              <w:rPr>
                <w:rFonts w:ascii="Times New Roman" w:hAnsi="Times New Roman" w:cs="Times New Roman"/>
                <w:sz w:val="18"/>
                <w:szCs w:val="18"/>
              </w:rPr>
            </w:pPr>
          </w:p>
          <w:p w14:paraId="1E3E9BD8" w14:textId="21F21288" w:rsidR="000731E5" w:rsidRPr="0064128D" w:rsidRDefault="000731E5" w:rsidP="0027259C">
            <w:pPr>
              <w:rPr>
                <w:rFonts w:ascii="Times New Roman" w:hAnsi="Times New Roman" w:cs="Times New Roman"/>
                <w:sz w:val="18"/>
                <w:szCs w:val="18"/>
              </w:rPr>
            </w:pPr>
            <w:r w:rsidRPr="0064128D">
              <w:rPr>
                <w:rFonts w:ascii="Times New Roman" w:hAnsi="Times New Roman" w:cs="Times New Roman"/>
                <w:sz w:val="18"/>
                <w:szCs w:val="18"/>
              </w:rPr>
              <w:t xml:space="preserve">The study did not report on any of the FRP metrics such as poverty cases </w:t>
            </w:r>
            <w:r w:rsidR="00516B18" w:rsidRPr="0064128D">
              <w:rPr>
                <w:rFonts w:ascii="Times New Roman" w:hAnsi="Times New Roman" w:cs="Times New Roman"/>
                <w:sz w:val="18"/>
                <w:szCs w:val="18"/>
              </w:rPr>
              <w:t>averted,</w:t>
            </w:r>
            <w:r w:rsidRPr="0064128D">
              <w:rPr>
                <w:rFonts w:ascii="Times New Roman" w:hAnsi="Times New Roman" w:cs="Times New Roman"/>
                <w:sz w:val="18"/>
                <w:szCs w:val="18"/>
              </w:rPr>
              <w:t xml:space="preserve"> or CHE averted or money-metric value of insurance.</w:t>
            </w:r>
          </w:p>
          <w:p w14:paraId="5D19016C" w14:textId="7090D0C6" w:rsidR="00B27824" w:rsidRPr="0064128D" w:rsidRDefault="00B27824" w:rsidP="0027259C">
            <w:pPr>
              <w:rPr>
                <w:rFonts w:ascii="Times New Roman" w:hAnsi="Times New Roman" w:cs="Times New Roman"/>
                <w:sz w:val="18"/>
                <w:szCs w:val="18"/>
              </w:rPr>
            </w:pPr>
          </w:p>
        </w:tc>
      </w:tr>
      <w:tr w:rsidR="0064128D" w:rsidRPr="0064128D" w14:paraId="4EA1AEF6" w14:textId="77777777" w:rsidTr="00C718F8">
        <w:tc>
          <w:tcPr>
            <w:tcW w:w="540" w:type="dxa"/>
          </w:tcPr>
          <w:p w14:paraId="193E944B" w14:textId="4B708802" w:rsidR="000E59D1" w:rsidRPr="0064128D" w:rsidRDefault="000E59D1" w:rsidP="00623757">
            <w:pPr>
              <w:rPr>
                <w:rFonts w:ascii="Times New Roman" w:hAnsi="Times New Roman" w:cs="Times New Roman"/>
                <w:sz w:val="18"/>
                <w:szCs w:val="18"/>
              </w:rPr>
            </w:pPr>
            <w:r w:rsidRPr="0064128D">
              <w:rPr>
                <w:rFonts w:ascii="Times New Roman" w:hAnsi="Times New Roman" w:cs="Times New Roman"/>
                <w:sz w:val="18"/>
                <w:szCs w:val="18"/>
              </w:rPr>
              <w:t>17</w:t>
            </w:r>
          </w:p>
        </w:tc>
        <w:tc>
          <w:tcPr>
            <w:tcW w:w="1260" w:type="dxa"/>
          </w:tcPr>
          <w:p w14:paraId="10CBC6B5" w14:textId="77777777" w:rsidR="000E59D1" w:rsidRPr="0064128D" w:rsidRDefault="000E59D1" w:rsidP="00623757">
            <w:pPr>
              <w:rPr>
                <w:rFonts w:ascii="Times New Roman" w:hAnsi="Times New Roman" w:cs="Times New Roman"/>
                <w:sz w:val="18"/>
                <w:szCs w:val="18"/>
              </w:rPr>
            </w:pPr>
            <w:r w:rsidRPr="0064128D">
              <w:rPr>
                <w:rFonts w:ascii="Times New Roman" w:hAnsi="Times New Roman" w:cs="Times New Roman"/>
                <w:sz w:val="18"/>
                <w:szCs w:val="18"/>
              </w:rPr>
              <w:fldChar w:fldCharType="begin" w:fldLock="1"/>
            </w:r>
            <w:r w:rsidRPr="0064128D">
              <w:rPr>
                <w:rFonts w:ascii="Times New Roman" w:hAnsi="Times New Roman" w:cs="Times New Roman"/>
                <w:sz w:val="18"/>
                <w:szCs w:val="18"/>
              </w:rPr>
              <w:instrText>ADDIN CSL_CITATION {"citationItems":[{"id":"ITEM-1","itemData":{"DOI":"10.1002/hec","abstract":"Universal public finance (UPF)—government financing of an intervention irrespective of who is receiving it—for a health intervention entails consequences in multiple domains. First, UPF increases intervention uptake and hence the extent of consequent health gains. Second, UPF generates financial consequences including the crowding out of private expenditures. Finally, UPF provides insurance either by covering catastrophic expenditures, which would otherwise throw households into poverty or by preventing diseases that cause them. This paper develops a method—extended cost-effectiveness analysis (ECEA)—for evaluating the consequences of UPF in each of these domains. It then illustrates ECEA with an evaluation of UPF for tuberculosis treatment in India. Using plausible values for key parameters, our base case ECEA concludes that the health gains and insurance value of UPF would accrue primarily to the poor. Reductions in out-of-pocket expenditures are more uniformly distributed across income quintiles. A variant on our base case suggests that lowering costs of borrowing for the poor could potentially achieve some of the health gains of UPF, but at the cost of leaving the poor more deeply in debt. ©","author":[{"dropping-particle":"","family":"Stephane Verguet","given":"Ramanan Laxminarayan and Dean T. Jamison","non-dropping-particle":"","parse-names":false,"suffix":""}],"id":"ITEM-1","issued":{"date-parts":[["2015"]]},"page":"318-332","title":"Universal Public Finance of Tuberculosis Treatment in India: An Extended Cost-Effectiveness Analysis","type":"article-journal","volume":"24"},"uris":["http://www.mendeley.com/documents/?uuid=88885eb7-27b8-42ba-8b97-97da7c2affec"]}],"mendeley":{"formattedCitation":"(Stephane Verguet, 2015)","manualFormatting":"Verguet et al. (2015a)","plainTextFormattedCitation":"(Stephane Verguet, 2015)","previouslyFormattedCitation":"(Stephane Verguet, 2015)"},"properties":{"noteIndex":0},"schema":"https://github.com/citation-style-language/schema/raw/master/csl-citation.json"}</w:instrText>
            </w:r>
            <w:r w:rsidRPr="0064128D">
              <w:rPr>
                <w:rFonts w:ascii="Times New Roman" w:hAnsi="Times New Roman" w:cs="Times New Roman"/>
                <w:sz w:val="18"/>
                <w:szCs w:val="18"/>
              </w:rPr>
              <w:fldChar w:fldCharType="separate"/>
            </w:r>
            <w:r w:rsidRPr="0064128D">
              <w:rPr>
                <w:rFonts w:ascii="Times New Roman" w:hAnsi="Times New Roman" w:cs="Times New Roman"/>
                <w:noProof/>
                <w:sz w:val="18"/>
                <w:szCs w:val="18"/>
              </w:rPr>
              <w:t>Verguet et al. (2015a)</w:t>
            </w:r>
            <w:r w:rsidRPr="0064128D">
              <w:rPr>
                <w:rFonts w:ascii="Times New Roman" w:hAnsi="Times New Roman" w:cs="Times New Roman"/>
                <w:sz w:val="18"/>
                <w:szCs w:val="18"/>
              </w:rPr>
              <w:fldChar w:fldCharType="end"/>
            </w:r>
            <w:r w:rsidRPr="0064128D">
              <w:rPr>
                <w:rFonts w:ascii="Times New Roman" w:hAnsi="Times New Roman" w:cs="Times New Roman"/>
                <w:sz w:val="18"/>
                <w:szCs w:val="18"/>
              </w:rPr>
              <w:t>,</w:t>
            </w:r>
          </w:p>
          <w:p w14:paraId="7492CFD6" w14:textId="77777777" w:rsidR="000E59D1" w:rsidRPr="0064128D" w:rsidRDefault="000E59D1" w:rsidP="00623757">
            <w:pPr>
              <w:rPr>
                <w:rFonts w:ascii="Times New Roman" w:hAnsi="Times New Roman" w:cs="Times New Roman"/>
                <w:sz w:val="18"/>
                <w:szCs w:val="18"/>
              </w:rPr>
            </w:pPr>
            <w:r w:rsidRPr="0064128D">
              <w:rPr>
                <w:rFonts w:ascii="Times New Roman" w:hAnsi="Times New Roman" w:cs="Times New Roman"/>
                <w:sz w:val="18"/>
                <w:szCs w:val="18"/>
              </w:rPr>
              <w:t>India</w:t>
            </w:r>
          </w:p>
        </w:tc>
        <w:tc>
          <w:tcPr>
            <w:tcW w:w="3240" w:type="dxa"/>
          </w:tcPr>
          <w:p w14:paraId="3F3C4CE3" w14:textId="1558C0D1" w:rsidR="000E59D1" w:rsidRPr="0064128D" w:rsidRDefault="000E59D1" w:rsidP="00623757">
            <w:pPr>
              <w:rPr>
                <w:rFonts w:ascii="Times New Roman" w:hAnsi="Times New Roman" w:cs="Times New Roman"/>
                <w:sz w:val="18"/>
                <w:szCs w:val="18"/>
              </w:rPr>
            </w:pPr>
            <w:r w:rsidRPr="0064128D">
              <w:rPr>
                <w:rFonts w:ascii="Times New Roman" w:hAnsi="Times New Roman" w:cs="Times New Roman"/>
                <w:sz w:val="18"/>
                <w:szCs w:val="18"/>
              </w:rPr>
              <w:t>Evaluated the</w:t>
            </w:r>
            <w:r w:rsidR="00ED10EA" w:rsidRPr="0064128D">
              <w:rPr>
                <w:rFonts w:ascii="Times New Roman" w:hAnsi="Times New Roman" w:cs="Times New Roman"/>
                <w:sz w:val="18"/>
                <w:szCs w:val="18"/>
              </w:rPr>
              <w:t xml:space="preserve"> health and non-health</w:t>
            </w:r>
            <w:r w:rsidRPr="0064128D">
              <w:rPr>
                <w:rFonts w:ascii="Times New Roman" w:hAnsi="Times New Roman" w:cs="Times New Roman"/>
                <w:sz w:val="18"/>
                <w:szCs w:val="18"/>
              </w:rPr>
              <w:t xml:space="preserve"> consequences of tuberculosis treatment in India in three scenarios.</w:t>
            </w:r>
          </w:p>
          <w:p w14:paraId="08E9DB82" w14:textId="77777777" w:rsidR="00BC4B11" w:rsidRPr="0064128D" w:rsidRDefault="00BC4B11" w:rsidP="00623757">
            <w:pPr>
              <w:rPr>
                <w:rFonts w:ascii="Times New Roman" w:hAnsi="Times New Roman" w:cs="Times New Roman"/>
                <w:sz w:val="18"/>
                <w:szCs w:val="18"/>
              </w:rPr>
            </w:pPr>
          </w:p>
          <w:p w14:paraId="075E7BF5" w14:textId="15821B9A" w:rsidR="000E59D1" w:rsidRPr="0064128D" w:rsidRDefault="00E54947" w:rsidP="00623757">
            <w:pPr>
              <w:rPr>
                <w:rFonts w:ascii="Times New Roman" w:hAnsi="Times New Roman" w:cs="Times New Roman"/>
                <w:sz w:val="18"/>
                <w:szCs w:val="18"/>
              </w:rPr>
            </w:pPr>
            <w:r w:rsidRPr="0064128D">
              <w:rPr>
                <w:rFonts w:ascii="Times New Roman" w:hAnsi="Times New Roman" w:cs="Times New Roman"/>
                <w:b/>
                <w:bCs/>
                <w:sz w:val="18"/>
                <w:szCs w:val="18"/>
              </w:rPr>
              <w:t>Status quo</w:t>
            </w:r>
            <w:r w:rsidR="000E59D1" w:rsidRPr="0064128D">
              <w:rPr>
                <w:rFonts w:ascii="Times New Roman" w:hAnsi="Times New Roman" w:cs="Times New Roman"/>
                <w:sz w:val="18"/>
                <w:szCs w:val="18"/>
              </w:rPr>
              <w:t>:</w:t>
            </w:r>
            <w:r w:rsidR="0018355F" w:rsidRPr="0064128D">
              <w:rPr>
                <w:rFonts w:ascii="Times New Roman" w:hAnsi="Times New Roman" w:cs="Times New Roman"/>
                <w:sz w:val="18"/>
                <w:szCs w:val="18"/>
              </w:rPr>
              <w:t xml:space="preserve"> The average DOTS coverage was 71</w:t>
            </w:r>
            <w:r w:rsidR="005178F8" w:rsidRPr="0064128D">
              <w:rPr>
                <w:rFonts w:ascii="Times New Roman" w:hAnsi="Times New Roman" w:cs="Times New Roman"/>
                <w:sz w:val="18"/>
                <w:szCs w:val="18"/>
              </w:rPr>
              <w:t>%</w:t>
            </w:r>
            <w:r w:rsidR="0018355F" w:rsidRPr="0064128D">
              <w:rPr>
                <w:rFonts w:ascii="Times New Roman" w:hAnsi="Times New Roman" w:cs="Times New Roman"/>
                <w:sz w:val="18"/>
                <w:szCs w:val="18"/>
              </w:rPr>
              <w:t>.</w:t>
            </w:r>
            <w:r w:rsidR="007C10E1" w:rsidRPr="0064128D">
              <w:rPr>
                <w:rFonts w:ascii="Times New Roman" w:hAnsi="Times New Roman" w:cs="Times New Roman"/>
                <w:sz w:val="18"/>
                <w:szCs w:val="18"/>
              </w:rPr>
              <w:t xml:space="preserve"> Non-DOTS coverage was 13%.</w:t>
            </w:r>
            <w:r w:rsidR="000E59D1" w:rsidRPr="0064128D">
              <w:rPr>
                <w:rFonts w:ascii="Times New Roman" w:hAnsi="Times New Roman" w:cs="Times New Roman"/>
                <w:sz w:val="18"/>
                <w:szCs w:val="18"/>
              </w:rPr>
              <w:t xml:space="preserve"> </w:t>
            </w:r>
          </w:p>
          <w:p w14:paraId="0E2FCB7B" w14:textId="77777777" w:rsidR="00300A4F" w:rsidRPr="0064128D" w:rsidRDefault="00300A4F" w:rsidP="00623757">
            <w:pPr>
              <w:rPr>
                <w:rFonts w:ascii="Times New Roman" w:hAnsi="Times New Roman" w:cs="Times New Roman"/>
                <w:sz w:val="18"/>
                <w:szCs w:val="18"/>
              </w:rPr>
            </w:pPr>
          </w:p>
          <w:p w14:paraId="60D255BB" w14:textId="3754B355" w:rsidR="00AA65BD" w:rsidRPr="0064128D" w:rsidRDefault="00AA65BD" w:rsidP="00623757">
            <w:pPr>
              <w:rPr>
                <w:rFonts w:ascii="Times New Roman" w:hAnsi="Times New Roman" w:cs="Times New Roman"/>
                <w:sz w:val="18"/>
                <w:szCs w:val="18"/>
              </w:rPr>
            </w:pPr>
            <w:r w:rsidRPr="0064128D">
              <w:rPr>
                <w:rFonts w:ascii="Times New Roman" w:hAnsi="Times New Roman" w:cs="Times New Roman"/>
                <w:b/>
                <w:bCs/>
                <w:sz w:val="18"/>
                <w:szCs w:val="18"/>
                <w:u w:val="single"/>
              </w:rPr>
              <w:t>Interventions</w:t>
            </w:r>
            <w:r w:rsidRPr="0064128D">
              <w:rPr>
                <w:rFonts w:ascii="Times New Roman" w:hAnsi="Times New Roman" w:cs="Times New Roman"/>
                <w:sz w:val="18"/>
                <w:szCs w:val="18"/>
              </w:rPr>
              <w:t>:</w:t>
            </w:r>
          </w:p>
          <w:p w14:paraId="4770A523" w14:textId="4163991A" w:rsidR="0018355F" w:rsidRPr="0064128D" w:rsidRDefault="002B75B6" w:rsidP="00623757">
            <w:pPr>
              <w:rPr>
                <w:rFonts w:ascii="Times New Roman" w:hAnsi="Times New Roman" w:cs="Times New Roman"/>
                <w:sz w:val="18"/>
                <w:szCs w:val="18"/>
              </w:rPr>
            </w:pPr>
            <w:r w:rsidRPr="0064128D">
              <w:rPr>
                <w:rFonts w:ascii="Times New Roman" w:hAnsi="Times New Roman" w:cs="Times New Roman"/>
                <w:sz w:val="18"/>
                <w:szCs w:val="18"/>
              </w:rPr>
              <w:t xml:space="preserve">Base case scenario: </w:t>
            </w:r>
            <w:r w:rsidR="0018355F" w:rsidRPr="0064128D">
              <w:rPr>
                <w:rFonts w:ascii="Times New Roman" w:hAnsi="Times New Roman" w:cs="Times New Roman"/>
                <w:sz w:val="18"/>
                <w:szCs w:val="18"/>
              </w:rPr>
              <w:t>Public finance of tuberculosis treatment (DOTS) to 90% coverage (per 1 million population).</w:t>
            </w:r>
            <w:r w:rsidR="007C10E1" w:rsidRPr="0064128D">
              <w:rPr>
                <w:rFonts w:ascii="Times New Roman" w:hAnsi="Times New Roman" w:cs="Times New Roman"/>
                <w:sz w:val="18"/>
                <w:szCs w:val="18"/>
              </w:rPr>
              <w:t xml:space="preserve"> Non-DOTS coverage after UPF was 5%.</w:t>
            </w:r>
          </w:p>
          <w:p w14:paraId="334FD70F" w14:textId="77777777" w:rsidR="002B75B6" w:rsidRPr="0064128D" w:rsidRDefault="002B75B6" w:rsidP="00623757">
            <w:pPr>
              <w:rPr>
                <w:rFonts w:ascii="Times New Roman" w:hAnsi="Times New Roman" w:cs="Times New Roman"/>
                <w:sz w:val="18"/>
                <w:szCs w:val="18"/>
              </w:rPr>
            </w:pPr>
          </w:p>
          <w:p w14:paraId="528A11DA" w14:textId="15DBAF31" w:rsidR="00274545" w:rsidRPr="0064128D" w:rsidRDefault="000E59D1" w:rsidP="00623757">
            <w:pPr>
              <w:rPr>
                <w:rFonts w:ascii="Times New Roman" w:hAnsi="Times New Roman" w:cs="Times New Roman"/>
                <w:sz w:val="18"/>
                <w:szCs w:val="18"/>
              </w:rPr>
            </w:pPr>
            <w:r w:rsidRPr="0064128D">
              <w:rPr>
                <w:rFonts w:ascii="Times New Roman" w:hAnsi="Times New Roman" w:cs="Times New Roman"/>
                <w:sz w:val="18"/>
                <w:szCs w:val="18"/>
              </w:rPr>
              <w:lastRenderedPageBreak/>
              <w:t>Variant 1: improved capital markets allow individuals to borrow to finance tuberculosis treatment.</w:t>
            </w:r>
          </w:p>
          <w:p w14:paraId="55074318" w14:textId="77777777" w:rsidR="000E59D1" w:rsidRPr="0064128D" w:rsidRDefault="000E59D1" w:rsidP="00623757">
            <w:pPr>
              <w:rPr>
                <w:rFonts w:ascii="Times New Roman" w:hAnsi="Times New Roman" w:cs="Times New Roman"/>
                <w:sz w:val="18"/>
                <w:szCs w:val="18"/>
              </w:rPr>
            </w:pPr>
            <w:r w:rsidRPr="0064128D">
              <w:rPr>
                <w:rFonts w:ascii="Times New Roman" w:hAnsi="Times New Roman" w:cs="Times New Roman"/>
                <w:sz w:val="18"/>
                <w:szCs w:val="18"/>
              </w:rPr>
              <w:t>Variant 2: Inclusion of the prevention of secondary tuberculosis cases.</w:t>
            </w:r>
          </w:p>
          <w:p w14:paraId="7F124F05" w14:textId="77777777" w:rsidR="00274545" w:rsidRPr="0064128D" w:rsidRDefault="00274545" w:rsidP="00623757">
            <w:pPr>
              <w:rPr>
                <w:rFonts w:ascii="Times New Roman" w:hAnsi="Times New Roman" w:cs="Times New Roman"/>
                <w:sz w:val="18"/>
                <w:szCs w:val="18"/>
              </w:rPr>
            </w:pPr>
          </w:p>
          <w:p w14:paraId="1F8D43B7" w14:textId="4896EF4B" w:rsidR="00274545" w:rsidRPr="0064128D" w:rsidRDefault="00F56FA7" w:rsidP="00623757">
            <w:pPr>
              <w:rPr>
                <w:rFonts w:ascii="Times New Roman" w:hAnsi="Times New Roman" w:cs="Times New Roman"/>
                <w:sz w:val="18"/>
                <w:szCs w:val="18"/>
              </w:rPr>
            </w:pPr>
            <w:r w:rsidRPr="0064128D">
              <w:rPr>
                <w:rFonts w:ascii="Times New Roman" w:hAnsi="Times New Roman" w:cs="Times New Roman"/>
                <w:sz w:val="18"/>
                <w:szCs w:val="18"/>
              </w:rPr>
              <w:t>They were</w:t>
            </w:r>
            <w:r w:rsidR="00B01D17" w:rsidRPr="0064128D">
              <w:rPr>
                <w:rFonts w:ascii="Times New Roman" w:hAnsi="Times New Roman" w:cs="Times New Roman"/>
                <w:sz w:val="18"/>
                <w:szCs w:val="18"/>
              </w:rPr>
              <w:t xml:space="preserve"> UPF programs.</w:t>
            </w:r>
          </w:p>
        </w:tc>
        <w:tc>
          <w:tcPr>
            <w:tcW w:w="2936" w:type="dxa"/>
          </w:tcPr>
          <w:p w14:paraId="13B38099" w14:textId="49B7C8CF" w:rsidR="000E59D1" w:rsidRPr="0064128D" w:rsidRDefault="000E59D1" w:rsidP="00623757">
            <w:pPr>
              <w:rPr>
                <w:rFonts w:ascii="Times New Roman" w:hAnsi="Times New Roman" w:cs="Times New Roman"/>
                <w:sz w:val="18"/>
                <w:szCs w:val="18"/>
              </w:rPr>
            </w:pPr>
            <w:r w:rsidRPr="0064128D">
              <w:rPr>
                <w:rFonts w:ascii="Times New Roman" w:hAnsi="Times New Roman" w:cs="Times New Roman"/>
                <w:sz w:val="18"/>
                <w:szCs w:val="18"/>
              </w:rPr>
              <w:lastRenderedPageBreak/>
              <w:t>Conducted extended cost-effectiveness analysis.</w:t>
            </w:r>
            <w:r w:rsidR="00754E54" w:rsidRPr="0064128D">
              <w:rPr>
                <w:rFonts w:ascii="Times New Roman" w:hAnsi="Times New Roman" w:cs="Times New Roman"/>
                <w:sz w:val="18"/>
                <w:szCs w:val="18"/>
              </w:rPr>
              <w:t xml:space="preserve"> Cost</w:t>
            </w:r>
            <w:r w:rsidR="0042243F" w:rsidRPr="0064128D">
              <w:rPr>
                <w:rFonts w:ascii="Times New Roman" w:hAnsi="Times New Roman" w:cs="Times New Roman"/>
                <w:sz w:val="18"/>
                <w:szCs w:val="18"/>
              </w:rPr>
              <w:t>s</w:t>
            </w:r>
            <w:r w:rsidR="00754E54" w:rsidRPr="0064128D">
              <w:rPr>
                <w:rFonts w:ascii="Times New Roman" w:hAnsi="Times New Roman" w:cs="Times New Roman"/>
                <w:sz w:val="18"/>
                <w:szCs w:val="18"/>
              </w:rPr>
              <w:t xml:space="preserve"> were estimated from the public sector perspective.</w:t>
            </w:r>
          </w:p>
          <w:p w14:paraId="096B7397" w14:textId="5ED22EA6" w:rsidR="00D8233E" w:rsidRPr="0064128D" w:rsidRDefault="00D8233E" w:rsidP="00623757">
            <w:pPr>
              <w:rPr>
                <w:rFonts w:ascii="Times New Roman" w:hAnsi="Times New Roman" w:cs="Times New Roman"/>
                <w:sz w:val="18"/>
                <w:szCs w:val="18"/>
              </w:rPr>
            </w:pPr>
            <w:r w:rsidRPr="0064128D">
              <w:rPr>
                <w:rFonts w:ascii="Times New Roman" w:hAnsi="Times New Roman" w:cs="Times New Roman"/>
                <w:sz w:val="18"/>
                <w:szCs w:val="18"/>
              </w:rPr>
              <w:t xml:space="preserve">Data was collected from the empirical literature, authors’ </w:t>
            </w:r>
            <w:r w:rsidR="00AD6938" w:rsidRPr="0064128D">
              <w:rPr>
                <w:rFonts w:ascii="Times New Roman" w:hAnsi="Times New Roman" w:cs="Times New Roman"/>
                <w:sz w:val="18"/>
                <w:szCs w:val="18"/>
              </w:rPr>
              <w:t>assumptions,</w:t>
            </w:r>
            <w:r w:rsidRPr="0064128D">
              <w:rPr>
                <w:rFonts w:ascii="Times New Roman" w:hAnsi="Times New Roman" w:cs="Times New Roman"/>
                <w:sz w:val="18"/>
                <w:szCs w:val="18"/>
              </w:rPr>
              <w:t xml:space="preserve"> and calculations,</w:t>
            </w:r>
            <w:r w:rsidR="00C12C7D" w:rsidRPr="0064128D">
              <w:rPr>
                <w:rFonts w:ascii="Times New Roman" w:hAnsi="Times New Roman" w:cs="Times New Roman"/>
                <w:sz w:val="18"/>
                <w:szCs w:val="18"/>
              </w:rPr>
              <w:t xml:space="preserve"> and WDI.</w:t>
            </w:r>
          </w:p>
        </w:tc>
        <w:tc>
          <w:tcPr>
            <w:tcW w:w="6964" w:type="dxa"/>
          </w:tcPr>
          <w:p w14:paraId="7A3E0C7E" w14:textId="77777777" w:rsidR="000E59D1" w:rsidRPr="0064128D" w:rsidRDefault="000E59D1" w:rsidP="00623757">
            <w:pPr>
              <w:rPr>
                <w:rFonts w:ascii="Times New Roman" w:hAnsi="Times New Roman" w:cs="Times New Roman"/>
                <w:sz w:val="18"/>
                <w:szCs w:val="18"/>
              </w:rPr>
            </w:pPr>
            <w:r w:rsidRPr="0064128D">
              <w:rPr>
                <w:rFonts w:ascii="Times New Roman" w:hAnsi="Times New Roman" w:cs="Times New Roman"/>
                <w:b/>
                <w:bCs/>
                <w:i/>
                <w:iCs/>
                <w:sz w:val="18"/>
                <w:szCs w:val="18"/>
              </w:rPr>
              <w:t>HBG</w:t>
            </w:r>
            <w:r w:rsidRPr="0064128D">
              <w:rPr>
                <w:rFonts w:ascii="Times New Roman" w:hAnsi="Times New Roman" w:cs="Times New Roman"/>
                <w:sz w:val="18"/>
                <w:szCs w:val="18"/>
              </w:rPr>
              <w:t>: 80, 29 and 119 tuberculosis deaths would be averted per year by base case, and variant 1 and 2, respectively.</w:t>
            </w:r>
          </w:p>
          <w:p w14:paraId="39723728" w14:textId="77777777" w:rsidR="000E59D1" w:rsidRPr="0064128D" w:rsidRDefault="000E59D1" w:rsidP="00623757">
            <w:pPr>
              <w:rPr>
                <w:rFonts w:ascii="Times New Roman" w:hAnsi="Times New Roman" w:cs="Times New Roman"/>
                <w:sz w:val="18"/>
                <w:szCs w:val="18"/>
              </w:rPr>
            </w:pPr>
            <w:r w:rsidRPr="0064128D">
              <w:rPr>
                <w:rFonts w:ascii="Times New Roman" w:hAnsi="Times New Roman" w:cs="Times New Roman"/>
                <w:b/>
                <w:bCs/>
                <w:i/>
                <w:iCs/>
                <w:sz w:val="18"/>
                <w:szCs w:val="18"/>
              </w:rPr>
              <w:t>FC</w:t>
            </w:r>
            <w:r w:rsidRPr="0064128D">
              <w:rPr>
                <w:rFonts w:ascii="Times New Roman" w:hAnsi="Times New Roman" w:cs="Times New Roman"/>
                <w:sz w:val="18"/>
                <w:szCs w:val="18"/>
              </w:rPr>
              <w:t xml:space="preserve">: Private expenditures averted by variant 1 and 2 and base case are </w:t>
            </w:r>
          </w:p>
          <w:p w14:paraId="6DBADD42" w14:textId="77777777" w:rsidR="000E59D1" w:rsidRPr="0064128D" w:rsidRDefault="000E59D1" w:rsidP="00623757">
            <w:pPr>
              <w:rPr>
                <w:rFonts w:ascii="Times New Roman" w:hAnsi="Times New Roman" w:cs="Times New Roman"/>
                <w:sz w:val="18"/>
                <w:szCs w:val="18"/>
              </w:rPr>
            </w:pPr>
            <w:r w:rsidRPr="0064128D">
              <w:rPr>
                <w:rFonts w:ascii="Times New Roman" w:hAnsi="Times New Roman" w:cs="Times New Roman"/>
                <w:sz w:val="18"/>
                <w:szCs w:val="18"/>
              </w:rPr>
              <w:t>US - $25,000 and US$34,000 and US$29,000 respectively.</w:t>
            </w:r>
          </w:p>
          <w:p w14:paraId="34C7241D" w14:textId="77777777" w:rsidR="000E59D1" w:rsidRPr="0064128D" w:rsidRDefault="000E59D1" w:rsidP="00623757">
            <w:pPr>
              <w:rPr>
                <w:rFonts w:ascii="Times New Roman" w:hAnsi="Times New Roman" w:cs="Times New Roman"/>
                <w:sz w:val="18"/>
                <w:szCs w:val="18"/>
              </w:rPr>
            </w:pPr>
            <w:r w:rsidRPr="0064128D">
              <w:rPr>
                <w:rFonts w:ascii="Times New Roman" w:hAnsi="Times New Roman" w:cs="Times New Roman"/>
                <w:b/>
                <w:bCs/>
                <w:i/>
                <w:iCs/>
                <w:sz w:val="18"/>
                <w:szCs w:val="18"/>
              </w:rPr>
              <w:t>FRP</w:t>
            </w:r>
            <w:r w:rsidRPr="0064128D">
              <w:rPr>
                <w:rFonts w:ascii="Times New Roman" w:hAnsi="Times New Roman" w:cs="Times New Roman"/>
                <w:sz w:val="18"/>
                <w:szCs w:val="18"/>
              </w:rPr>
              <w:t xml:space="preserve">: The values of money-metric insurance for variant 1 and 2 and base case are US$0 and US$ 10,000 and US$9,000, respectively. </w:t>
            </w:r>
          </w:p>
          <w:p w14:paraId="56C13F2E" w14:textId="77777777" w:rsidR="000E59D1" w:rsidRPr="0064128D" w:rsidRDefault="000E59D1" w:rsidP="00623757">
            <w:pPr>
              <w:rPr>
                <w:rFonts w:ascii="Times New Roman" w:hAnsi="Times New Roman" w:cs="Times New Roman"/>
                <w:sz w:val="18"/>
                <w:szCs w:val="18"/>
              </w:rPr>
            </w:pPr>
            <w:r w:rsidRPr="0064128D">
              <w:rPr>
                <w:rFonts w:ascii="Times New Roman" w:hAnsi="Times New Roman" w:cs="Times New Roman"/>
                <w:b/>
                <w:bCs/>
                <w:i/>
                <w:iCs/>
                <w:sz w:val="18"/>
                <w:szCs w:val="18"/>
              </w:rPr>
              <w:t>Equity</w:t>
            </w:r>
            <w:r w:rsidRPr="0064128D">
              <w:rPr>
                <w:rFonts w:ascii="Times New Roman" w:hAnsi="Times New Roman" w:cs="Times New Roman"/>
                <w:sz w:val="18"/>
                <w:szCs w:val="18"/>
              </w:rPr>
              <w:t>: The two bottom income quintiles would benefit most from the tuberculosis deaths averted (80%) and the insurance value (80%) associated with the base case scenario. Same income quintiles benefit the most from tuberculosis death averted in both variant 1 and 2.</w:t>
            </w:r>
          </w:p>
        </w:tc>
      </w:tr>
      <w:tr w:rsidR="0064128D" w:rsidRPr="0064128D" w14:paraId="4277EFE0" w14:textId="77777777" w:rsidTr="00C718F8">
        <w:tc>
          <w:tcPr>
            <w:tcW w:w="540" w:type="dxa"/>
          </w:tcPr>
          <w:p w14:paraId="06EA7A34" w14:textId="2CDF84DD" w:rsidR="00BF0887" w:rsidRPr="0064128D" w:rsidRDefault="0008598F" w:rsidP="0027259C">
            <w:pPr>
              <w:rPr>
                <w:rFonts w:ascii="Times New Roman" w:hAnsi="Times New Roman" w:cs="Times New Roman"/>
                <w:sz w:val="18"/>
                <w:szCs w:val="18"/>
              </w:rPr>
            </w:pPr>
            <w:r w:rsidRPr="0064128D">
              <w:rPr>
                <w:rFonts w:ascii="Times New Roman" w:hAnsi="Times New Roman" w:cs="Times New Roman"/>
                <w:sz w:val="18"/>
                <w:szCs w:val="18"/>
              </w:rPr>
              <w:t>1</w:t>
            </w:r>
            <w:r w:rsidR="000E59D1" w:rsidRPr="0064128D">
              <w:rPr>
                <w:rFonts w:ascii="Times New Roman" w:hAnsi="Times New Roman" w:cs="Times New Roman"/>
                <w:sz w:val="18"/>
                <w:szCs w:val="18"/>
              </w:rPr>
              <w:t>8</w:t>
            </w:r>
          </w:p>
        </w:tc>
        <w:tc>
          <w:tcPr>
            <w:tcW w:w="1260" w:type="dxa"/>
          </w:tcPr>
          <w:p w14:paraId="61E5C382" w14:textId="46698912" w:rsidR="007C249A" w:rsidRPr="0064128D" w:rsidRDefault="00BF0887" w:rsidP="0027259C">
            <w:pPr>
              <w:rPr>
                <w:rFonts w:ascii="Times New Roman" w:hAnsi="Times New Roman" w:cs="Times New Roman"/>
                <w:sz w:val="18"/>
                <w:szCs w:val="18"/>
              </w:rPr>
            </w:pPr>
            <w:r w:rsidRPr="0064128D">
              <w:rPr>
                <w:rFonts w:ascii="Times New Roman" w:hAnsi="Times New Roman" w:cs="Times New Roman"/>
                <w:sz w:val="18"/>
                <w:szCs w:val="18"/>
              </w:rPr>
              <w:fldChar w:fldCharType="begin" w:fldLock="1"/>
            </w:r>
            <w:r w:rsidR="00BC421F" w:rsidRPr="0064128D">
              <w:rPr>
                <w:rFonts w:ascii="Times New Roman" w:hAnsi="Times New Roman" w:cs="Times New Roman"/>
                <w:sz w:val="18"/>
                <w:szCs w:val="18"/>
              </w:rPr>
              <w:instrText>ADDIN CSL_CITATION {"citationItems":[{"id":"ITEM-1","itemData":{"DOI":"10.1016/S2214-109X(15)70095-1","ISSN":"2214109X","PMID":"25772692","abstract":"Background: In China, there are more than 300 million male smokers. Tobacco taxation reduces smoking-related premature deaths and increases government revenues, but has been criticised for disproportionately affecting poorer people. We assess the distributional consequences (across different wealth quintiles) of a specific excise tax on cigarettes in China in terms of both financial and health outcomes. Methods: We use extended cost-effectiveness analysis methods to estimate, across income quintiles, the health benefits (years of life gained), the additional tax revenues raised, the net financial consequences for households, and the financial risk protection provided to households, that would be caused by a 50% increase in tobacco price through excise tax fully passed onto tobacco consumers. For our modelling analysis, we used plausible values for key parameters, including an average price elasticity of demand for tobacco of -0·38, which is assumed to vary from -0·64 in the poorest quintile to -0·12 in the richest, and we considered only the male population, which constitutes the overwhelming majority of smokers in China. Findings: Our modelling analysis showed that a 50% increase in tobacco price through excise tax would lead to 231 million years of life gained (95% uncertainty range 194-268 million) over 50 years (a third of which would be gained in the lowest income quintile), a gain of US$703 billion ($616-781 billion) of additional tax revenues from the excise tax (14% of which would come from the lowest income quintile, compared with 24% from the highest income quintile). The excise tax would increase overall household expenditures on tobacco by $376 billion ($232-505 billion), but decrease these expenditures by $21 billion (-$83 to $5 billion) in the lowest income quintile, and would reduce expenditures on tobacco-related disease by $24·0 billion ($17·3-26·3 billion, 28% of which would benefit the lowest income quintile). Finally, it would provide financial risk protection worth $1·8 billion ($1·2-2·3 billion), mainly concentrated (74%) in the lowest income quintile. Interpretation: Increased tobacco taxation can be a pro-poor policy instrument that brings substantial health and financial benefits to households in China. Funding: Bill &amp; Melinda Gates Foundation and Dalla Lana School of Public Health.","author":[{"dropping-particle":"","family":"Verguet","given":"Stéphane","non-dropping-particle":"","parse-names":false,"suffix":""},{"dropping-particle":"","family":"Gauvreau","given":"Cindy L.","non-dropping-particle":"","parse-names":false,"suffix":""},{"dropping-particle":"","family":"Mishra","given":"Sujata","non-dropping-particle":"","parse-names":false,"suffix":""},{"dropping-particle":"","family":"MacLennan","given":"Mary","non-dropping-particle":"","parse-names":false,"suffix":""},{"dropping-particle":"","family":"Murphy","given":"Shane M.","non-dropping-particle":"","parse-names":false,"suffix":""},{"dropping-particle":"","family":"Brouwer","given":"Elizabeth D.","non-dropping-particle":"","parse-names":false,"suffix":""},{"dropping-particle":"","family":"Nugent","given":"Rachel A.","non-dropping-particle":"","parse-names":false,"suffix":""},{"dropping-particle":"","family":"Zhao","given":"Kun","non-dropping-particle":"","parse-names":false,"suffix":""},{"dropping-particle":"","family":"Jha","given":"Prabhat","non-dropping-particle":"","parse-names":false,"suffix":""},{"dropping-particle":"","family":"Jamison","given":"Dean T.","non-dropping-particle":"","parse-names":false,"suffix":""}],"container-title":"The Lancet Global Health","id":"ITEM-1","issue":"4","issued":{"date-parts":[["2015"]]},"page":"e206-e216","title":"The consequences of tobacco tax on household health and finances in rich and poor smokers in China: An extended cost-effectiveness analysis","type":"article-journal","volume":"3"},"uris":["http://www.mendeley.com/documents/?uuid=10d5396e-1fca-43df-a010-d13134e8f98b"]}],"mendeley":{"formattedCitation":"(Verguet, Gauvreau, et al., 2015)","manualFormatting":"Verguet et al. (2015b)","plainTextFormattedCitation":"(Verguet, Gauvreau, et al., 2015)","previouslyFormattedCitation":"(Verguet, Gauvreau, et al., 2015)"},"properties":{"noteIndex":0},"schema":"https://github.com/citation-style-language/schema/raw/master/csl-citation.json"}</w:instrText>
            </w:r>
            <w:r w:rsidRPr="0064128D">
              <w:rPr>
                <w:rFonts w:ascii="Times New Roman" w:hAnsi="Times New Roman" w:cs="Times New Roman"/>
                <w:sz w:val="18"/>
                <w:szCs w:val="18"/>
              </w:rPr>
              <w:fldChar w:fldCharType="separate"/>
            </w:r>
            <w:r w:rsidRPr="0064128D">
              <w:rPr>
                <w:rFonts w:ascii="Times New Roman" w:hAnsi="Times New Roman" w:cs="Times New Roman"/>
                <w:noProof/>
                <w:sz w:val="18"/>
                <w:szCs w:val="18"/>
              </w:rPr>
              <w:t xml:space="preserve">Verguet et al. </w:t>
            </w:r>
            <w:r w:rsidR="0008598F" w:rsidRPr="0064128D">
              <w:rPr>
                <w:rFonts w:ascii="Times New Roman" w:hAnsi="Times New Roman" w:cs="Times New Roman"/>
                <w:noProof/>
                <w:sz w:val="18"/>
                <w:szCs w:val="18"/>
              </w:rPr>
              <w:t>(</w:t>
            </w:r>
            <w:r w:rsidRPr="0064128D">
              <w:rPr>
                <w:rFonts w:ascii="Times New Roman" w:hAnsi="Times New Roman" w:cs="Times New Roman"/>
                <w:noProof/>
                <w:sz w:val="18"/>
                <w:szCs w:val="18"/>
              </w:rPr>
              <w:t>2015</w:t>
            </w:r>
            <w:r w:rsidR="00BC421F" w:rsidRPr="0064128D">
              <w:rPr>
                <w:rFonts w:ascii="Times New Roman" w:hAnsi="Times New Roman" w:cs="Times New Roman"/>
                <w:noProof/>
                <w:sz w:val="18"/>
                <w:szCs w:val="18"/>
              </w:rPr>
              <w:t>b</w:t>
            </w:r>
            <w:r w:rsidRPr="0064128D">
              <w:rPr>
                <w:rFonts w:ascii="Times New Roman" w:hAnsi="Times New Roman" w:cs="Times New Roman"/>
                <w:noProof/>
                <w:sz w:val="18"/>
                <w:szCs w:val="18"/>
              </w:rPr>
              <w:t>)</w:t>
            </w:r>
            <w:r w:rsidRPr="0064128D">
              <w:rPr>
                <w:rFonts w:ascii="Times New Roman" w:hAnsi="Times New Roman" w:cs="Times New Roman"/>
                <w:sz w:val="18"/>
                <w:szCs w:val="18"/>
              </w:rPr>
              <w:fldChar w:fldCharType="end"/>
            </w:r>
            <w:r w:rsidR="007C249A" w:rsidRPr="0064128D">
              <w:rPr>
                <w:rFonts w:ascii="Times New Roman" w:hAnsi="Times New Roman" w:cs="Times New Roman"/>
                <w:sz w:val="18"/>
                <w:szCs w:val="18"/>
              </w:rPr>
              <w:t xml:space="preserve">, </w:t>
            </w:r>
          </w:p>
          <w:p w14:paraId="6C5EC4E6" w14:textId="53D9B446" w:rsidR="00BF0887" w:rsidRPr="0064128D" w:rsidRDefault="007C249A" w:rsidP="0027259C">
            <w:pPr>
              <w:rPr>
                <w:rFonts w:ascii="Times New Roman" w:hAnsi="Times New Roman" w:cs="Times New Roman"/>
                <w:sz w:val="18"/>
                <w:szCs w:val="18"/>
              </w:rPr>
            </w:pPr>
            <w:r w:rsidRPr="0064128D">
              <w:rPr>
                <w:rFonts w:ascii="Times New Roman" w:hAnsi="Times New Roman" w:cs="Times New Roman"/>
                <w:sz w:val="18"/>
                <w:szCs w:val="18"/>
              </w:rPr>
              <w:t>China</w:t>
            </w:r>
          </w:p>
        </w:tc>
        <w:tc>
          <w:tcPr>
            <w:tcW w:w="3240" w:type="dxa"/>
          </w:tcPr>
          <w:p w14:paraId="3C28E515" w14:textId="77777777" w:rsidR="00BF0887" w:rsidRPr="0064128D" w:rsidRDefault="002D1592" w:rsidP="0027259C">
            <w:pPr>
              <w:rPr>
                <w:rFonts w:ascii="Times New Roman" w:hAnsi="Times New Roman" w:cs="Times New Roman"/>
                <w:sz w:val="18"/>
                <w:szCs w:val="18"/>
              </w:rPr>
            </w:pPr>
            <w:r w:rsidRPr="0064128D">
              <w:rPr>
                <w:rFonts w:ascii="Times New Roman" w:hAnsi="Times New Roman" w:cs="Times New Roman"/>
                <w:sz w:val="18"/>
                <w:szCs w:val="18"/>
              </w:rPr>
              <w:t xml:space="preserve">Examined the impact of a specific excise tax on cigarettes in China in terms of both </w:t>
            </w:r>
            <w:r w:rsidR="00E7439C" w:rsidRPr="0064128D">
              <w:rPr>
                <w:rFonts w:ascii="Times New Roman" w:hAnsi="Times New Roman" w:cs="Times New Roman"/>
                <w:sz w:val="18"/>
                <w:szCs w:val="18"/>
              </w:rPr>
              <w:t>non-health</w:t>
            </w:r>
            <w:r w:rsidRPr="0064128D">
              <w:rPr>
                <w:rFonts w:ascii="Times New Roman" w:hAnsi="Times New Roman" w:cs="Times New Roman"/>
                <w:sz w:val="18"/>
                <w:szCs w:val="18"/>
              </w:rPr>
              <w:t xml:space="preserve"> and health outcomes</w:t>
            </w:r>
            <w:r w:rsidR="00E7439C" w:rsidRPr="0064128D">
              <w:rPr>
                <w:rFonts w:ascii="Times New Roman" w:hAnsi="Times New Roman" w:cs="Times New Roman"/>
                <w:sz w:val="18"/>
                <w:szCs w:val="18"/>
              </w:rPr>
              <w:t>, across income quintiles</w:t>
            </w:r>
            <w:r w:rsidRPr="0064128D">
              <w:rPr>
                <w:rFonts w:ascii="Times New Roman" w:hAnsi="Times New Roman" w:cs="Times New Roman"/>
                <w:sz w:val="18"/>
                <w:szCs w:val="18"/>
              </w:rPr>
              <w:t>.</w:t>
            </w:r>
          </w:p>
          <w:p w14:paraId="18A1B582" w14:textId="25376C7A" w:rsidR="0033432B" w:rsidRPr="0064128D" w:rsidRDefault="0033432B" w:rsidP="0027259C">
            <w:pPr>
              <w:rPr>
                <w:rFonts w:ascii="Times New Roman" w:hAnsi="Times New Roman" w:cs="Times New Roman"/>
                <w:sz w:val="18"/>
                <w:szCs w:val="18"/>
              </w:rPr>
            </w:pPr>
          </w:p>
          <w:p w14:paraId="5A493FD0" w14:textId="6261A5B1" w:rsidR="00B61AF4" w:rsidRPr="0064128D" w:rsidRDefault="00A65BF4" w:rsidP="0027259C">
            <w:pPr>
              <w:rPr>
                <w:rFonts w:ascii="Times New Roman" w:hAnsi="Times New Roman" w:cs="Times New Roman"/>
                <w:sz w:val="18"/>
                <w:szCs w:val="18"/>
              </w:rPr>
            </w:pPr>
            <w:r w:rsidRPr="0064128D">
              <w:rPr>
                <w:rFonts w:ascii="Times New Roman" w:hAnsi="Times New Roman" w:cs="Times New Roman"/>
                <w:b/>
                <w:bCs/>
                <w:sz w:val="18"/>
                <w:szCs w:val="18"/>
              </w:rPr>
              <w:t>Status quo</w:t>
            </w:r>
            <w:r w:rsidR="00B61AF4" w:rsidRPr="0064128D">
              <w:rPr>
                <w:rFonts w:ascii="Times New Roman" w:hAnsi="Times New Roman" w:cs="Times New Roman"/>
                <w:sz w:val="18"/>
                <w:szCs w:val="18"/>
              </w:rPr>
              <w:t xml:space="preserve">: </w:t>
            </w:r>
            <w:r w:rsidR="000815D8" w:rsidRPr="0064128D">
              <w:rPr>
                <w:rFonts w:ascii="Times New Roman" w:hAnsi="Times New Roman" w:cs="Times New Roman"/>
                <w:sz w:val="18"/>
                <w:szCs w:val="18"/>
              </w:rPr>
              <w:t>A pre-increase tax rate and cigarette pack price were 41% (US$ 0.30) and US$ 0.74, respectively.</w:t>
            </w:r>
          </w:p>
          <w:p w14:paraId="0463BA1D" w14:textId="77777777" w:rsidR="0033432B" w:rsidRPr="0064128D" w:rsidRDefault="0033432B" w:rsidP="0027259C">
            <w:pPr>
              <w:rPr>
                <w:rFonts w:ascii="Times New Roman" w:hAnsi="Times New Roman" w:cs="Times New Roman"/>
                <w:sz w:val="18"/>
                <w:szCs w:val="18"/>
              </w:rPr>
            </w:pPr>
          </w:p>
          <w:p w14:paraId="2EBEDFF0" w14:textId="77777777" w:rsidR="0033432B" w:rsidRPr="0064128D" w:rsidRDefault="0033432B" w:rsidP="0027259C">
            <w:pPr>
              <w:rPr>
                <w:rFonts w:ascii="Times New Roman" w:hAnsi="Times New Roman" w:cs="Times New Roman"/>
                <w:b/>
                <w:bCs/>
                <w:sz w:val="18"/>
                <w:szCs w:val="18"/>
                <w:u w:val="single"/>
              </w:rPr>
            </w:pPr>
            <w:r w:rsidRPr="0064128D">
              <w:rPr>
                <w:rFonts w:ascii="Times New Roman" w:hAnsi="Times New Roman" w:cs="Times New Roman"/>
                <w:b/>
                <w:bCs/>
                <w:sz w:val="18"/>
                <w:szCs w:val="18"/>
                <w:u w:val="single"/>
              </w:rPr>
              <w:t>Intervention:</w:t>
            </w:r>
          </w:p>
          <w:p w14:paraId="0AB4AB9C" w14:textId="334D1CCE" w:rsidR="0033432B" w:rsidRPr="0064128D" w:rsidRDefault="0033432B" w:rsidP="0027259C">
            <w:pPr>
              <w:rPr>
                <w:rFonts w:ascii="Times New Roman" w:hAnsi="Times New Roman" w:cs="Times New Roman"/>
                <w:sz w:val="18"/>
                <w:szCs w:val="18"/>
              </w:rPr>
            </w:pPr>
            <w:r w:rsidRPr="0064128D">
              <w:rPr>
                <w:rFonts w:ascii="Times New Roman" w:hAnsi="Times New Roman" w:cs="Times New Roman"/>
                <w:sz w:val="18"/>
                <w:szCs w:val="18"/>
              </w:rPr>
              <w:t>A 50% increase in tobacco price through excise tax fully passed onto tobacco consumers.</w:t>
            </w:r>
          </w:p>
        </w:tc>
        <w:tc>
          <w:tcPr>
            <w:tcW w:w="2936" w:type="dxa"/>
          </w:tcPr>
          <w:p w14:paraId="0266018A" w14:textId="77777777" w:rsidR="00BF0887" w:rsidRPr="0064128D" w:rsidRDefault="008B1BB0" w:rsidP="0027259C">
            <w:pPr>
              <w:rPr>
                <w:rFonts w:ascii="Times New Roman" w:hAnsi="Times New Roman" w:cs="Times New Roman"/>
                <w:sz w:val="18"/>
                <w:szCs w:val="18"/>
              </w:rPr>
            </w:pPr>
            <w:r w:rsidRPr="0064128D">
              <w:rPr>
                <w:rFonts w:ascii="Times New Roman" w:hAnsi="Times New Roman" w:cs="Times New Roman"/>
                <w:sz w:val="18"/>
                <w:szCs w:val="18"/>
              </w:rPr>
              <w:t xml:space="preserve">Used </w:t>
            </w:r>
            <w:r w:rsidR="000B7FF1" w:rsidRPr="0064128D">
              <w:rPr>
                <w:rFonts w:ascii="Times New Roman" w:hAnsi="Times New Roman" w:cs="Times New Roman"/>
                <w:sz w:val="18"/>
                <w:szCs w:val="18"/>
              </w:rPr>
              <w:t>ECEA to estimate HBG, FC, FRP and equity</w:t>
            </w:r>
            <w:r w:rsidRPr="0064128D">
              <w:rPr>
                <w:rFonts w:ascii="Times New Roman" w:hAnsi="Times New Roman" w:cs="Times New Roman"/>
                <w:sz w:val="18"/>
                <w:szCs w:val="18"/>
              </w:rPr>
              <w:t>.</w:t>
            </w:r>
          </w:p>
          <w:p w14:paraId="4809E48F" w14:textId="569FB803" w:rsidR="004F2A4A" w:rsidRPr="0064128D" w:rsidRDefault="004F2A4A" w:rsidP="0027259C">
            <w:pPr>
              <w:rPr>
                <w:rFonts w:ascii="Times New Roman" w:hAnsi="Times New Roman" w:cs="Times New Roman"/>
                <w:sz w:val="18"/>
                <w:szCs w:val="18"/>
              </w:rPr>
            </w:pPr>
            <w:r w:rsidRPr="0064128D">
              <w:rPr>
                <w:rFonts w:ascii="Times New Roman" w:hAnsi="Times New Roman" w:cs="Times New Roman"/>
                <w:sz w:val="18"/>
                <w:szCs w:val="18"/>
              </w:rPr>
              <w:t>Cost</w:t>
            </w:r>
            <w:r w:rsidR="003B1EB2" w:rsidRPr="0064128D">
              <w:rPr>
                <w:rFonts w:ascii="Times New Roman" w:hAnsi="Times New Roman" w:cs="Times New Roman"/>
                <w:sz w:val="18"/>
                <w:szCs w:val="18"/>
              </w:rPr>
              <w:t>s</w:t>
            </w:r>
            <w:r w:rsidRPr="0064128D">
              <w:rPr>
                <w:rFonts w:ascii="Times New Roman" w:hAnsi="Times New Roman" w:cs="Times New Roman"/>
                <w:sz w:val="18"/>
                <w:szCs w:val="18"/>
              </w:rPr>
              <w:t xml:space="preserve"> were estimated from the consumer perspective.</w:t>
            </w:r>
          </w:p>
          <w:p w14:paraId="4D80C562" w14:textId="0D1978AE" w:rsidR="001763A5" w:rsidRPr="0064128D" w:rsidRDefault="001763A5" w:rsidP="0027259C">
            <w:pPr>
              <w:rPr>
                <w:rFonts w:ascii="Times New Roman" w:hAnsi="Times New Roman" w:cs="Times New Roman"/>
                <w:sz w:val="18"/>
                <w:szCs w:val="18"/>
              </w:rPr>
            </w:pPr>
            <w:r w:rsidRPr="0064128D">
              <w:rPr>
                <w:rFonts w:ascii="Times New Roman" w:hAnsi="Times New Roman" w:cs="Times New Roman"/>
                <w:sz w:val="18"/>
                <w:szCs w:val="18"/>
              </w:rPr>
              <w:t xml:space="preserve">They employed data from empirical literature, authors’ assumptions, </w:t>
            </w:r>
            <w:r w:rsidR="006A01D7" w:rsidRPr="0064128D">
              <w:rPr>
                <w:rFonts w:ascii="Times New Roman" w:hAnsi="Times New Roman" w:cs="Times New Roman"/>
                <w:sz w:val="18"/>
                <w:szCs w:val="18"/>
              </w:rPr>
              <w:t>Global burden of disease study</w:t>
            </w:r>
            <w:r w:rsidR="00B61AF4" w:rsidRPr="0064128D">
              <w:rPr>
                <w:rFonts w:ascii="Times New Roman" w:hAnsi="Times New Roman" w:cs="Times New Roman"/>
                <w:sz w:val="18"/>
                <w:szCs w:val="18"/>
              </w:rPr>
              <w:t>, MPOWER 2011,</w:t>
            </w:r>
            <w:r w:rsidR="006A01D7" w:rsidRPr="0064128D">
              <w:rPr>
                <w:rFonts w:ascii="Times New Roman" w:hAnsi="Times New Roman" w:cs="Times New Roman"/>
                <w:sz w:val="18"/>
                <w:szCs w:val="18"/>
              </w:rPr>
              <w:t xml:space="preserve"> </w:t>
            </w:r>
            <w:r w:rsidRPr="0064128D">
              <w:rPr>
                <w:rFonts w:ascii="Times New Roman" w:hAnsi="Times New Roman" w:cs="Times New Roman"/>
                <w:sz w:val="18"/>
                <w:szCs w:val="18"/>
              </w:rPr>
              <w:t>and WDI.</w:t>
            </w:r>
          </w:p>
          <w:p w14:paraId="1F58A8DF" w14:textId="77777777" w:rsidR="00291395" w:rsidRPr="0064128D" w:rsidRDefault="00291395" w:rsidP="0027259C">
            <w:pPr>
              <w:rPr>
                <w:rFonts w:ascii="Times New Roman" w:hAnsi="Times New Roman" w:cs="Times New Roman"/>
                <w:sz w:val="18"/>
                <w:szCs w:val="18"/>
              </w:rPr>
            </w:pPr>
            <w:r w:rsidRPr="0064128D">
              <w:rPr>
                <w:rFonts w:ascii="Times New Roman" w:hAnsi="Times New Roman" w:cs="Times New Roman"/>
                <w:sz w:val="18"/>
                <w:szCs w:val="18"/>
              </w:rPr>
              <w:t>They considered only the male population.</w:t>
            </w:r>
          </w:p>
          <w:p w14:paraId="5028437B" w14:textId="7F361070" w:rsidR="00466350" w:rsidRPr="0064128D" w:rsidRDefault="00466350" w:rsidP="0027259C">
            <w:pPr>
              <w:rPr>
                <w:rFonts w:ascii="Times New Roman" w:hAnsi="Times New Roman" w:cs="Times New Roman"/>
                <w:sz w:val="18"/>
                <w:szCs w:val="18"/>
              </w:rPr>
            </w:pPr>
            <w:r w:rsidRPr="0064128D">
              <w:rPr>
                <w:rFonts w:ascii="Times New Roman" w:hAnsi="Times New Roman" w:cs="Times New Roman"/>
                <w:sz w:val="18"/>
                <w:szCs w:val="18"/>
              </w:rPr>
              <w:t>Employed the Asian Development Bank’s framework that assesses the effect of taxation-created cigarette shocks.</w:t>
            </w:r>
          </w:p>
        </w:tc>
        <w:tc>
          <w:tcPr>
            <w:tcW w:w="6964" w:type="dxa"/>
          </w:tcPr>
          <w:p w14:paraId="46D52B08" w14:textId="7DF12EC3" w:rsidR="00BF088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HBG</w:t>
            </w:r>
            <w:r w:rsidRPr="0064128D">
              <w:rPr>
                <w:rFonts w:ascii="Times New Roman" w:hAnsi="Times New Roman" w:cs="Times New Roman"/>
                <w:sz w:val="18"/>
                <w:szCs w:val="18"/>
              </w:rPr>
              <w:t>:</w:t>
            </w:r>
            <w:r w:rsidR="00F25C4D" w:rsidRPr="0064128D">
              <w:rPr>
                <w:rFonts w:ascii="Times New Roman" w:hAnsi="Times New Roman" w:cs="Times New Roman"/>
                <w:sz w:val="18"/>
                <w:szCs w:val="18"/>
              </w:rPr>
              <w:t xml:space="preserve"> 231 million years of life gained over 50 years of additional tax revenues from the excise tax.</w:t>
            </w:r>
          </w:p>
          <w:p w14:paraId="0030248E" w14:textId="00369292" w:rsidR="0017386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FC</w:t>
            </w:r>
            <w:r w:rsidRPr="0064128D">
              <w:rPr>
                <w:rFonts w:ascii="Times New Roman" w:hAnsi="Times New Roman" w:cs="Times New Roman"/>
                <w:sz w:val="18"/>
                <w:szCs w:val="18"/>
              </w:rPr>
              <w:t>:</w:t>
            </w:r>
            <w:r w:rsidR="00AA4F0A" w:rsidRPr="0064128D">
              <w:rPr>
                <w:rFonts w:ascii="Times New Roman" w:hAnsi="Times New Roman" w:cs="Times New Roman"/>
                <w:sz w:val="18"/>
                <w:szCs w:val="18"/>
              </w:rPr>
              <w:t xml:space="preserve"> </w:t>
            </w:r>
            <w:r w:rsidR="00325CE4" w:rsidRPr="0064128D">
              <w:rPr>
                <w:rFonts w:ascii="Times New Roman" w:hAnsi="Times New Roman" w:cs="Times New Roman"/>
                <w:sz w:val="18"/>
                <w:szCs w:val="18"/>
              </w:rPr>
              <w:t xml:space="preserve">The tax would increase overall household expenditures on tobacco by </w:t>
            </w:r>
            <w:r w:rsidR="00556874" w:rsidRPr="0064128D">
              <w:rPr>
                <w:rFonts w:ascii="Times New Roman" w:hAnsi="Times New Roman" w:cs="Times New Roman"/>
                <w:sz w:val="18"/>
                <w:szCs w:val="18"/>
              </w:rPr>
              <w:t>$376 billion but</w:t>
            </w:r>
            <w:r w:rsidR="00325CE4" w:rsidRPr="0064128D">
              <w:rPr>
                <w:rFonts w:ascii="Times New Roman" w:hAnsi="Times New Roman" w:cs="Times New Roman"/>
                <w:sz w:val="18"/>
                <w:szCs w:val="18"/>
              </w:rPr>
              <w:t xml:space="preserve"> decrease these expenditures by $21 billion in the lowest income quintile</w:t>
            </w:r>
            <w:r w:rsidR="002164D8" w:rsidRPr="0064128D">
              <w:rPr>
                <w:rFonts w:ascii="Times New Roman" w:hAnsi="Times New Roman" w:cs="Times New Roman"/>
                <w:sz w:val="18"/>
                <w:szCs w:val="18"/>
              </w:rPr>
              <w:t>, over the 50 years of additional tax revenues</w:t>
            </w:r>
            <w:r w:rsidR="00325CE4" w:rsidRPr="0064128D">
              <w:rPr>
                <w:rFonts w:ascii="Times New Roman" w:hAnsi="Times New Roman" w:cs="Times New Roman"/>
                <w:sz w:val="18"/>
                <w:szCs w:val="18"/>
              </w:rPr>
              <w:t>.</w:t>
            </w:r>
            <w:r w:rsidR="00E31DE4" w:rsidRPr="0064128D">
              <w:rPr>
                <w:rFonts w:ascii="Times New Roman" w:hAnsi="Times New Roman" w:cs="Times New Roman"/>
                <w:sz w:val="18"/>
                <w:szCs w:val="18"/>
              </w:rPr>
              <w:t xml:space="preserve"> Additional tax revenues raised from the excise tax would be US$ 703 billion</w:t>
            </w:r>
            <w:r w:rsidR="002164D8" w:rsidRPr="0064128D">
              <w:rPr>
                <w:rFonts w:ascii="Times New Roman" w:hAnsi="Times New Roman" w:cs="Times New Roman"/>
                <w:sz w:val="18"/>
                <w:szCs w:val="18"/>
              </w:rPr>
              <w:t>, over the 50 years of additional tax revenues</w:t>
            </w:r>
            <w:r w:rsidR="00E31DE4" w:rsidRPr="0064128D">
              <w:rPr>
                <w:rFonts w:ascii="Times New Roman" w:hAnsi="Times New Roman" w:cs="Times New Roman"/>
                <w:sz w:val="18"/>
                <w:szCs w:val="18"/>
              </w:rPr>
              <w:t>. Expenditure on tobacco-related disease treatment (OOP) averted was US$24 billion</w:t>
            </w:r>
            <w:r w:rsidR="002164D8" w:rsidRPr="0064128D">
              <w:rPr>
                <w:rFonts w:ascii="Times New Roman" w:hAnsi="Times New Roman" w:cs="Times New Roman"/>
                <w:sz w:val="18"/>
                <w:szCs w:val="18"/>
              </w:rPr>
              <w:t>, over the 50 years of additional tax revenues</w:t>
            </w:r>
            <w:r w:rsidR="00561778" w:rsidRPr="0064128D">
              <w:rPr>
                <w:rFonts w:ascii="Times New Roman" w:hAnsi="Times New Roman" w:cs="Times New Roman"/>
                <w:sz w:val="18"/>
                <w:szCs w:val="18"/>
              </w:rPr>
              <w:t>.</w:t>
            </w:r>
          </w:p>
          <w:p w14:paraId="157BB05C" w14:textId="64A09477" w:rsidR="0021640F"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FRP</w:t>
            </w:r>
            <w:r w:rsidRPr="0064128D">
              <w:rPr>
                <w:rFonts w:ascii="Times New Roman" w:hAnsi="Times New Roman" w:cs="Times New Roman"/>
                <w:sz w:val="18"/>
                <w:szCs w:val="18"/>
              </w:rPr>
              <w:t>:</w:t>
            </w:r>
            <w:r w:rsidR="00EC33B1" w:rsidRPr="0064128D">
              <w:rPr>
                <w:rFonts w:ascii="Times New Roman" w:hAnsi="Times New Roman" w:cs="Times New Roman"/>
                <w:sz w:val="18"/>
                <w:szCs w:val="18"/>
              </w:rPr>
              <w:t xml:space="preserve"> It would </w:t>
            </w:r>
            <w:r w:rsidR="000507C1" w:rsidRPr="0064128D">
              <w:rPr>
                <w:rFonts w:ascii="Times New Roman" w:hAnsi="Times New Roman" w:cs="Times New Roman"/>
                <w:sz w:val="18"/>
                <w:szCs w:val="18"/>
              </w:rPr>
              <w:t>afford</w:t>
            </w:r>
            <w:r w:rsidR="00EC33B1" w:rsidRPr="0064128D">
              <w:rPr>
                <w:rFonts w:ascii="Times New Roman" w:hAnsi="Times New Roman" w:cs="Times New Roman"/>
                <w:sz w:val="18"/>
                <w:szCs w:val="18"/>
              </w:rPr>
              <w:t xml:space="preserve"> </w:t>
            </w:r>
            <w:r w:rsidR="002D0AEE" w:rsidRPr="0064128D">
              <w:rPr>
                <w:rFonts w:ascii="Times New Roman" w:hAnsi="Times New Roman" w:cs="Times New Roman"/>
                <w:sz w:val="18"/>
                <w:szCs w:val="18"/>
              </w:rPr>
              <w:t>FRP</w:t>
            </w:r>
            <w:r w:rsidR="00EC33B1" w:rsidRPr="0064128D">
              <w:rPr>
                <w:rFonts w:ascii="Times New Roman" w:hAnsi="Times New Roman" w:cs="Times New Roman"/>
                <w:sz w:val="18"/>
                <w:szCs w:val="18"/>
              </w:rPr>
              <w:t xml:space="preserve"> worth </w:t>
            </w:r>
            <w:r w:rsidR="000507C1" w:rsidRPr="0064128D">
              <w:rPr>
                <w:rFonts w:ascii="Times New Roman" w:hAnsi="Times New Roman" w:cs="Times New Roman"/>
                <w:sz w:val="18"/>
                <w:szCs w:val="18"/>
              </w:rPr>
              <w:t>US</w:t>
            </w:r>
            <w:r w:rsidR="00EC33B1" w:rsidRPr="0064128D">
              <w:rPr>
                <w:rFonts w:ascii="Times New Roman" w:hAnsi="Times New Roman" w:cs="Times New Roman"/>
                <w:sz w:val="18"/>
                <w:szCs w:val="18"/>
              </w:rPr>
              <w:t>$1.8 billion</w:t>
            </w:r>
            <w:r w:rsidR="002164D8" w:rsidRPr="0064128D">
              <w:rPr>
                <w:rFonts w:ascii="Times New Roman" w:hAnsi="Times New Roman" w:cs="Times New Roman"/>
                <w:sz w:val="18"/>
                <w:szCs w:val="18"/>
              </w:rPr>
              <w:t>, over the 50 years of additional tax revenues</w:t>
            </w:r>
            <w:r w:rsidR="0021640F" w:rsidRPr="0064128D">
              <w:rPr>
                <w:rFonts w:ascii="Times New Roman" w:hAnsi="Times New Roman" w:cs="Times New Roman"/>
                <w:sz w:val="18"/>
                <w:szCs w:val="18"/>
              </w:rPr>
              <w:t>.</w:t>
            </w:r>
          </w:p>
          <w:p w14:paraId="33B1AE49" w14:textId="05A24DA8" w:rsidR="0021640F" w:rsidRPr="0064128D" w:rsidRDefault="00D82C07" w:rsidP="0027259C">
            <w:pPr>
              <w:rPr>
                <w:rFonts w:ascii="Times New Roman" w:hAnsi="Times New Roman" w:cs="Times New Roman"/>
                <w:sz w:val="18"/>
                <w:szCs w:val="18"/>
              </w:rPr>
            </w:pPr>
            <w:r w:rsidRPr="0064128D">
              <w:rPr>
                <w:rFonts w:ascii="Times New Roman" w:hAnsi="Times New Roman" w:cs="Times New Roman"/>
                <w:b/>
                <w:bCs/>
                <w:i/>
                <w:iCs/>
                <w:sz w:val="18"/>
                <w:szCs w:val="18"/>
              </w:rPr>
              <w:t>Equity</w:t>
            </w:r>
            <w:r w:rsidRPr="0064128D">
              <w:rPr>
                <w:rFonts w:ascii="Times New Roman" w:hAnsi="Times New Roman" w:cs="Times New Roman"/>
                <w:sz w:val="18"/>
                <w:szCs w:val="18"/>
              </w:rPr>
              <w:t>:</w:t>
            </w:r>
            <w:r w:rsidR="0021640F" w:rsidRPr="0064128D">
              <w:rPr>
                <w:rFonts w:ascii="Times New Roman" w:hAnsi="Times New Roman" w:cs="Times New Roman"/>
                <w:sz w:val="18"/>
                <w:szCs w:val="18"/>
              </w:rPr>
              <w:t xml:space="preserve"> The </w:t>
            </w:r>
            <w:r w:rsidR="002D0AEE" w:rsidRPr="0064128D">
              <w:rPr>
                <w:rFonts w:ascii="Times New Roman" w:hAnsi="Times New Roman" w:cs="Times New Roman"/>
                <w:sz w:val="18"/>
                <w:szCs w:val="18"/>
              </w:rPr>
              <w:t>FRP</w:t>
            </w:r>
            <w:r w:rsidR="0021640F" w:rsidRPr="0064128D">
              <w:rPr>
                <w:rFonts w:ascii="Times New Roman" w:hAnsi="Times New Roman" w:cs="Times New Roman"/>
                <w:sz w:val="18"/>
                <w:szCs w:val="18"/>
              </w:rPr>
              <w:t xml:space="preserve"> is mainly concentrated in the lowest income quintile.</w:t>
            </w:r>
            <w:r w:rsidR="00D34C7B" w:rsidRPr="0064128D">
              <w:rPr>
                <w:rFonts w:ascii="Times New Roman" w:hAnsi="Times New Roman" w:cs="Times New Roman"/>
                <w:sz w:val="18"/>
                <w:szCs w:val="18"/>
              </w:rPr>
              <w:t xml:space="preserve"> Thus</w:t>
            </w:r>
            <w:r w:rsidR="00B93ABE" w:rsidRPr="0064128D">
              <w:rPr>
                <w:rFonts w:ascii="Times New Roman" w:hAnsi="Times New Roman" w:cs="Times New Roman"/>
                <w:sz w:val="18"/>
                <w:szCs w:val="18"/>
              </w:rPr>
              <w:t>,</w:t>
            </w:r>
            <w:r w:rsidR="00D34C7B" w:rsidRPr="0064128D">
              <w:rPr>
                <w:rFonts w:ascii="Times New Roman" w:hAnsi="Times New Roman" w:cs="Times New Roman"/>
                <w:sz w:val="18"/>
                <w:szCs w:val="18"/>
              </w:rPr>
              <w:t xml:space="preserve"> US$ 1.3 billion for the poorest income group and less than US$ 0.1 billion for the richest income quintile</w:t>
            </w:r>
            <w:r w:rsidR="002164D8" w:rsidRPr="0064128D">
              <w:rPr>
                <w:rFonts w:ascii="Times New Roman" w:hAnsi="Times New Roman" w:cs="Times New Roman"/>
                <w:sz w:val="18"/>
                <w:szCs w:val="18"/>
              </w:rPr>
              <w:t>, over the 50 years of additional tax revenues</w:t>
            </w:r>
            <w:r w:rsidR="00D34C7B" w:rsidRPr="0064128D">
              <w:rPr>
                <w:rFonts w:ascii="Times New Roman" w:hAnsi="Times New Roman" w:cs="Times New Roman"/>
                <w:sz w:val="18"/>
                <w:szCs w:val="18"/>
              </w:rPr>
              <w:t>.</w:t>
            </w:r>
            <w:r w:rsidR="002164D8" w:rsidRPr="0064128D">
              <w:rPr>
                <w:rFonts w:ascii="Times New Roman" w:hAnsi="Times New Roman" w:cs="Times New Roman"/>
                <w:sz w:val="18"/>
                <w:szCs w:val="18"/>
              </w:rPr>
              <w:t xml:space="preserve"> About 79 </w:t>
            </w:r>
            <w:r w:rsidR="003B6BEA" w:rsidRPr="0064128D">
              <w:rPr>
                <w:rFonts w:ascii="Times New Roman" w:hAnsi="Times New Roman" w:cs="Times New Roman"/>
                <w:sz w:val="18"/>
                <w:szCs w:val="18"/>
              </w:rPr>
              <w:t xml:space="preserve">million </w:t>
            </w:r>
            <w:r w:rsidR="002164D8" w:rsidRPr="0064128D">
              <w:rPr>
                <w:rFonts w:ascii="Times New Roman" w:hAnsi="Times New Roman" w:cs="Times New Roman"/>
                <w:sz w:val="18"/>
                <w:szCs w:val="18"/>
              </w:rPr>
              <w:t>and 11 million years of life gained by the poorest and richest income group, respectively</w:t>
            </w:r>
            <w:r w:rsidR="00483EB8" w:rsidRPr="0064128D">
              <w:rPr>
                <w:rFonts w:ascii="Times New Roman" w:hAnsi="Times New Roman" w:cs="Times New Roman"/>
                <w:sz w:val="18"/>
                <w:szCs w:val="18"/>
              </w:rPr>
              <w:t>, over the 50 years of additional tax revenues</w:t>
            </w:r>
            <w:r w:rsidR="002164D8" w:rsidRPr="0064128D">
              <w:rPr>
                <w:rFonts w:ascii="Times New Roman" w:hAnsi="Times New Roman" w:cs="Times New Roman"/>
                <w:sz w:val="18"/>
                <w:szCs w:val="18"/>
              </w:rPr>
              <w:t>.</w:t>
            </w:r>
            <w:r w:rsidR="003B6BEA" w:rsidRPr="0064128D">
              <w:rPr>
                <w:rFonts w:ascii="Times New Roman" w:hAnsi="Times New Roman" w:cs="Times New Roman"/>
                <w:sz w:val="18"/>
                <w:szCs w:val="18"/>
              </w:rPr>
              <w:t xml:space="preserve"> About US$ 6.6 billion and US$ 1.5 billion expenditure on tobacco-related disease treatment (OOP) averted, respectively, over the 50 years of additional tax revenues</w:t>
            </w:r>
            <w:r w:rsidR="00E5794E" w:rsidRPr="0064128D">
              <w:rPr>
                <w:rFonts w:ascii="Times New Roman" w:hAnsi="Times New Roman" w:cs="Times New Roman"/>
                <w:sz w:val="18"/>
                <w:szCs w:val="18"/>
              </w:rPr>
              <w:t>.</w:t>
            </w:r>
          </w:p>
        </w:tc>
      </w:tr>
      <w:tr w:rsidR="0064128D" w:rsidRPr="0064128D" w14:paraId="39516DFE" w14:textId="77777777" w:rsidTr="00C718F8">
        <w:tc>
          <w:tcPr>
            <w:tcW w:w="540" w:type="dxa"/>
          </w:tcPr>
          <w:p w14:paraId="6D95920F" w14:textId="06A1BAAB"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1</w:t>
            </w:r>
            <w:r w:rsidR="000E59D1" w:rsidRPr="0064128D">
              <w:rPr>
                <w:rFonts w:ascii="Times New Roman" w:hAnsi="Times New Roman" w:cs="Times New Roman"/>
                <w:sz w:val="18"/>
                <w:szCs w:val="18"/>
              </w:rPr>
              <w:t>9</w:t>
            </w:r>
          </w:p>
        </w:tc>
        <w:tc>
          <w:tcPr>
            <w:tcW w:w="1260" w:type="dxa"/>
          </w:tcPr>
          <w:p w14:paraId="6ED792F9" w14:textId="596A51F4"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fldChar w:fldCharType="begin" w:fldLock="1"/>
            </w:r>
            <w:r w:rsidR="00FA1C93" w:rsidRPr="0064128D">
              <w:rPr>
                <w:rFonts w:ascii="Times New Roman" w:hAnsi="Times New Roman" w:cs="Times New Roman"/>
                <w:sz w:val="18"/>
                <w:szCs w:val="18"/>
              </w:rPr>
              <w:instrText>ADDIN CSL_CITATION {"citationItems":[{"id":"ITEM-1","itemData":{"DOI":"10.1016/S2214-109X(14)70346-8","ISSN":"2214109X","PMID":"25889470","abstract":"Background: The way in which a government chooses to finance a health intervention can affect the uptake of health interventions and consequently the extent of health gains. In addition to health gains, some policies such as public finance can insure against catastrophic health expenditures. We aimed to evaluate the health and financial risk protection benefits of selected interventions that could be publicly financed by the government of Ethiopia. Methods: We used extended cost-effectiveness analysis to assess the health gains (deaths averted) and financial risk protection afforded (cases of poverty averted) by a bundle of nine (among many other) interventions that the Government of Ethiopia aims to make universally available. These nine interventions were measles vaccination, rotavirus vaccination, pneumococcal conjugate vaccination, diarrhoea treatment, malaria treatment, pneumonia treatment, caesarean section surgery, hypertension treatment, and tuberculosis treatment. Findings: Our analysis shows that, per dollar spent by the Ethiopian Government, the interventions that avert the most deaths are measles vaccination (367 deaths averted per $100 000 spent), pneumococcal conjugate vaccination (170 deaths averted per $100 000 spent), and caesarean section surgery (141 deaths averted per $100 000 spent). The interventions that avert the most cases of poverty are caesarean section surgery (98 cases averted per $100 000 spent), tuberculosis treatment (96 cases averted per $100 000 spent), and hypertension treatment (84 cases averted per $100 000 spent). Interpretation: Our approach incorporates financial risk protection into the economic evaluation of health interventions and therefore provides information about the efficiency of attainment of both major objectives of a health system: improved health and financial risk protection. One intervention might rank higher on one or both metrics than another, which shows how intervention choice-the selection of a pathway to universal health coverage-might involve weighing up of sometimes competing objectives. This understanding can help policy makers to select interventions to target specific policy goals (ie, improved health or financial risk protection). It is especially relevant for the design and sequencing of universal health coverage to meet the needs of poor populations. Funding: Bill &amp; Melinda Gates Foundation.","author":[{"dropping-particle":"","family":"Verguet","given":"Stéphane","non-dropping-particle":"","parse-names":false,"suffix":""},{"dropping-particle":"","family":"Olson","given":"Zachary D.","non-dropping-particle":"","parse-names":false,"suffix":""},{"dropping-particle":"","family":"Babigumira","given":"Joseph B.","non-dropping-particle":"","parse-names":false,"suffix":""},{"dropping-particle":"","family":"Desalegn","given":"Dawit","non-dropping-particle":"","parse-names":false,"suffix":""},{"dropping-particle":"","family":"Johansson","given":"Kjell Arne","non-dropping-particle":"","parse-names":false,"suffix":""},{"dropping-particle":"","family":"Kruk","given":"Margaret E.","non-dropping-particle":"","parse-names":false,"suffix":""},{"dropping-particle":"","family":"Levin","given":"Carol E.","non-dropping-particle":"","parse-names":false,"suffix":""},{"dropping-particle":"","family":"Nugent","given":"Rachel A.","non-dropping-particle":"","parse-names":false,"suffix":""},{"dropping-particle":"","family":"Pecenka","given":"Clint","non-dropping-particle":"","parse-names":false,"suffix":""},{"dropping-particle":"","family":"Shrime","given":"Mark G.","non-dropping-particle":"","parse-names":false,"suffix":""},{"dropping-particle":"","family":"Memirie","given":"Solomon Tessema","non-dropping-particle":"","parse-names":false,"suffix":""},{"dropping-particle":"","family":"Watkins","given":"David A.","non-dropping-particle":"","parse-names":false,"suffix":""},{"dropping-particle":"","family":"Jamison","given":"Dean T.","non-dropping-particle":"","parse-names":false,"suffix":""}],"container-title":"The Lancet Global Health","id":"ITEM-1","issue":"5","issued":{"date-parts":[["2015"]]},"page":"e288-e296","title":"Health gains and financial risk protection afforded by public financing of selected interventions in ethiopia: An extended cost-effectiveness analysis","type":"article-journal","volume":"3"},"uris":["http://www.mendeley.com/documents/?uuid=12e403e9-b448-4caf-ad9e-4d7615c01f56"]}],"mendeley":{"formattedCitation":"(Verguet, Olson, et al., 2015)","manualFormatting":"Verguet et al. (2015c)","plainTextFormattedCitation":"(Verguet, Olson, et al., 2015)","previouslyFormattedCitation":"(Verguet, Olson, et al., 2015)"},"properties":{"noteIndex":0},"schema":"https://github.com/citation-style-language/schema/raw/master/csl-citation.json"}</w:instrText>
            </w:r>
            <w:r w:rsidRPr="0064128D">
              <w:rPr>
                <w:rFonts w:ascii="Times New Roman" w:hAnsi="Times New Roman" w:cs="Times New Roman"/>
                <w:sz w:val="18"/>
                <w:szCs w:val="18"/>
              </w:rPr>
              <w:fldChar w:fldCharType="separate"/>
            </w:r>
            <w:r w:rsidRPr="0064128D">
              <w:rPr>
                <w:rFonts w:ascii="Times New Roman" w:hAnsi="Times New Roman" w:cs="Times New Roman"/>
                <w:noProof/>
                <w:sz w:val="18"/>
                <w:szCs w:val="18"/>
              </w:rPr>
              <w:t>Verguet et al. (2015</w:t>
            </w:r>
            <w:r w:rsidR="00BC421F" w:rsidRPr="0064128D">
              <w:rPr>
                <w:rFonts w:ascii="Times New Roman" w:hAnsi="Times New Roman" w:cs="Times New Roman"/>
                <w:noProof/>
                <w:sz w:val="18"/>
                <w:szCs w:val="18"/>
              </w:rPr>
              <w:t>c</w:t>
            </w:r>
            <w:r w:rsidRPr="0064128D">
              <w:rPr>
                <w:rFonts w:ascii="Times New Roman" w:hAnsi="Times New Roman" w:cs="Times New Roman"/>
                <w:noProof/>
                <w:sz w:val="18"/>
                <w:szCs w:val="18"/>
              </w:rPr>
              <w:t>)</w:t>
            </w:r>
            <w:r w:rsidRPr="0064128D">
              <w:rPr>
                <w:rFonts w:ascii="Times New Roman" w:hAnsi="Times New Roman" w:cs="Times New Roman"/>
                <w:sz w:val="18"/>
                <w:szCs w:val="18"/>
              </w:rPr>
              <w:fldChar w:fldCharType="end"/>
            </w:r>
            <w:r w:rsidRPr="0064128D">
              <w:rPr>
                <w:rFonts w:ascii="Times New Roman" w:hAnsi="Times New Roman" w:cs="Times New Roman"/>
                <w:sz w:val="18"/>
                <w:szCs w:val="18"/>
              </w:rPr>
              <w:t>,</w:t>
            </w:r>
          </w:p>
          <w:p w14:paraId="44F6ADE2" w14:textId="31978C6E"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Ethiopia</w:t>
            </w:r>
          </w:p>
        </w:tc>
        <w:tc>
          <w:tcPr>
            <w:tcW w:w="3240" w:type="dxa"/>
          </w:tcPr>
          <w:p w14:paraId="3078D818" w14:textId="587E492C"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 xml:space="preserve">Examined the health gains and </w:t>
            </w:r>
            <w:r w:rsidR="00F428FA" w:rsidRPr="0064128D">
              <w:rPr>
                <w:rFonts w:ascii="Times New Roman" w:hAnsi="Times New Roman" w:cs="Times New Roman"/>
                <w:sz w:val="18"/>
                <w:szCs w:val="18"/>
              </w:rPr>
              <w:t>non-health impacts of</w:t>
            </w:r>
            <w:r w:rsidRPr="0064128D">
              <w:rPr>
                <w:rFonts w:ascii="Times New Roman" w:hAnsi="Times New Roman" w:cs="Times New Roman"/>
                <w:sz w:val="18"/>
                <w:szCs w:val="18"/>
              </w:rPr>
              <w:t xml:space="preserve"> nine interventions (measles vaccination, rotavirus vaccination, pneumococcal conjugate vaccination, diarrhea treatment, malaria treatment, pneumonia treatment, caesarean section surgery, hypertension treatment and tuberculosis treatment) that the Government of Ethiopia aims to make universally available.</w:t>
            </w:r>
          </w:p>
          <w:p w14:paraId="7FCA04D5" w14:textId="7F6AD561" w:rsidR="00874BDE" w:rsidRPr="0064128D" w:rsidRDefault="00D16DF6" w:rsidP="0027259C">
            <w:pPr>
              <w:rPr>
                <w:rFonts w:ascii="Times New Roman" w:hAnsi="Times New Roman" w:cs="Times New Roman"/>
                <w:sz w:val="18"/>
                <w:szCs w:val="18"/>
              </w:rPr>
            </w:pPr>
            <w:r w:rsidRPr="0064128D">
              <w:rPr>
                <w:rFonts w:ascii="Times New Roman" w:hAnsi="Times New Roman" w:cs="Times New Roman"/>
                <w:b/>
                <w:bCs/>
                <w:sz w:val="18"/>
                <w:szCs w:val="18"/>
                <w:u w:val="single"/>
              </w:rPr>
              <w:t>Status quo</w:t>
            </w:r>
            <w:r w:rsidR="00874BDE" w:rsidRPr="0064128D">
              <w:rPr>
                <w:rFonts w:ascii="Times New Roman" w:hAnsi="Times New Roman" w:cs="Times New Roman"/>
                <w:sz w:val="18"/>
                <w:szCs w:val="18"/>
              </w:rPr>
              <w:t>:</w:t>
            </w:r>
          </w:p>
          <w:p w14:paraId="6E41558A" w14:textId="581A3201" w:rsidR="00874BDE" w:rsidRPr="0064128D" w:rsidRDefault="00874BDE" w:rsidP="0027259C">
            <w:pPr>
              <w:rPr>
                <w:rFonts w:ascii="Times New Roman" w:hAnsi="Times New Roman" w:cs="Times New Roman"/>
                <w:sz w:val="18"/>
                <w:szCs w:val="18"/>
              </w:rPr>
            </w:pPr>
            <w:r w:rsidRPr="0064128D">
              <w:rPr>
                <w:rFonts w:ascii="Times New Roman" w:hAnsi="Times New Roman" w:cs="Times New Roman"/>
                <w:sz w:val="18"/>
                <w:szCs w:val="18"/>
              </w:rPr>
              <w:t xml:space="preserve">Rotavirus vaccination </w:t>
            </w:r>
            <w:r w:rsidR="00506B21" w:rsidRPr="0064128D">
              <w:rPr>
                <w:rFonts w:ascii="Times New Roman" w:hAnsi="Times New Roman" w:cs="Times New Roman"/>
                <w:sz w:val="18"/>
                <w:szCs w:val="18"/>
              </w:rPr>
              <w:t>(</w:t>
            </w:r>
            <w:r w:rsidRPr="0064128D">
              <w:rPr>
                <w:rFonts w:ascii="Times New Roman" w:hAnsi="Times New Roman" w:cs="Times New Roman"/>
                <w:sz w:val="18"/>
                <w:szCs w:val="18"/>
              </w:rPr>
              <w:t>0%</w:t>
            </w:r>
            <w:r w:rsidR="00506B21" w:rsidRPr="0064128D">
              <w:rPr>
                <w:rFonts w:ascii="Times New Roman" w:hAnsi="Times New Roman" w:cs="Times New Roman"/>
                <w:sz w:val="18"/>
                <w:szCs w:val="18"/>
              </w:rPr>
              <w:t xml:space="preserve">), </w:t>
            </w:r>
            <w:r w:rsidR="00534CB0" w:rsidRPr="0064128D">
              <w:rPr>
                <w:rFonts w:ascii="Times New Roman" w:hAnsi="Times New Roman" w:cs="Times New Roman"/>
                <w:sz w:val="18"/>
                <w:szCs w:val="18"/>
              </w:rPr>
              <w:t xml:space="preserve">pneumococcal conjugate vaccination (0%), </w:t>
            </w:r>
            <w:r w:rsidR="007C661E" w:rsidRPr="0064128D">
              <w:rPr>
                <w:rFonts w:ascii="Times New Roman" w:hAnsi="Times New Roman" w:cs="Times New Roman"/>
                <w:sz w:val="18"/>
                <w:szCs w:val="18"/>
              </w:rPr>
              <w:t>measles vaccination (56%),</w:t>
            </w:r>
            <w:r w:rsidR="002855D5" w:rsidRPr="0064128D">
              <w:rPr>
                <w:rFonts w:ascii="Times New Roman" w:hAnsi="Times New Roman" w:cs="Times New Roman"/>
                <w:sz w:val="18"/>
                <w:szCs w:val="18"/>
              </w:rPr>
              <w:t xml:space="preserve"> diarrhea treatment (32%), </w:t>
            </w:r>
            <w:r w:rsidR="00CF6E19" w:rsidRPr="0064128D">
              <w:rPr>
                <w:rFonts w:ascii="Times New Roman" w:hAnsi="Times New Roman" w:cs="Times New Roman"/>
                <w:sz w:val="18"/>
                <w:szCs w:val="18"/>
              </w:rPr>
              <w:t xml:space="preserve">pneumonia treatment (27%), malaria treatment (24%), tuberculosis treatment (50%), hypertension treatment (34%) and caesarean section surgery (83% and </w:t>
            </w:r>
            <w:r w:rsidR="00133B20" w:rsidRPr="0064128D">
              <w:rPr>
                <w:rFonts w:ascii="Times New Roman" w:hAnsi="Times New Roman" w:cs="Times New Roman"/>
                <w:sz w:val="18"/>
                <w:szCs w:val="18"/>
              </w:rPr>
              <w:t>1</w:t>
            </w:r>
            <w:r w:rsidR="00CF6E19" w:rsidRPr="0064128D">
              <w:rPr>
                <w:rFonts w:ascii="Times New Roman" w:hAnsi="Times New Roman" w:cs="Times New Roman"/>
                <w:sz w:val="18"/>
                <w:szCs w:val="18"/>
              </w:rPr>
              <w:t>5% for urban and rural areas)</w:t>
            </w:r>
          </w:p>
          <w:p w14:paraId="22809AED" w14:textId="462600EF" w:rsidR="00874BDE" w:rsidRDefault="00874BDE" w:rsidP="0027259C">
            <w:pPr>
              <w:rPr>
                <w:rFonts w:ascii="Times New Roman" w:hAnsi="Times New Roman" w:cs="Times New Roman"/>
                <w:sz w:val="18"/>
                <w:szCs w:val="18"/>
              </w:rPr>
            </w:pPr>
          </w:p>
          <w:p w14:paraId="3AFEB8AD" w14:textId="77777777" w:rsidR="00AD4268" w:rsidRPr="0064128D" w:rsidRDefault="00AD4268" w:rsidP="0027259C">
            <w:pPr>
              <w:rPr>
                <w:rFonts w:ascii="Times New Roman" w:hAnsi="Times New Roman" w:cs="Times New Roman"/>
                <w:sz w:val="18"/>
                <w:szCs w:val="18"/>
              </w:rPr>
            </w:pPr>
          </w:p>
          <w:p w14:paraId="46E26217" w14:textId="0388DE19" w:rsidR="006E4C73" w:rsidRPr="0064128D" w:rsidRDefault="006E4C73" w:rsidP="0027259C">
            <w:pPr>
              <w:rPr>
                <w:rFonts w:ascii="Times New Roman" w:hAnsi="Times New Roman" w:cs="Times New Roman"/>
                <w:sz w:val="18"/>
                <w:szCs w:val="18"/>
              </w:rPr>
            </w:pPr>
            <w:r w:rsidRPr="0064128D">
              <w:rPr>
                <w:rFonts w:ascii="Times New Roman" w:hAnsi="Times New Roman" w:cs="Times New Roman"/>
                <w:b/>
                <w:bCs/>
                <w:sz w:val="18"/>
                <w:szCs w:val="18"/>
                <w:u w:val="single"/>
              </w:rPr>
              <w:lastRenderedPageBreak/>
              <w:t>Intervention</w:t>
            </w:r>
            <w:r w:rsidRPr="0064128D">
              <w:rPr>
                <w:rFonts w:ascii="Times New Roman" w:hAnsi="Times New Roman" w:cs="Times New Roman"/>
                <w:sz w:val="18"/>
                <w:szCs w:val="18"/>
              </w:rPr>
              <w:t>:</w:t>
            </w:r>
          </w:p>
          <w:p w14:paraId="34BD254C" w14:textId="66406727" w:rsidR="006E4C73" w:rsidRPr="0064128D" w:rsidRDefault="006E4C73" w:rsidP="0027259C">
            <w:pPr>
              <w:rPr>
                <w:rFonts w:ascii="Times New Roman" w:hAnsi="Times New Roman" w:cs="Times New Roman"/>
                <w:sz w:val="18"/>
                <w:szCs w:val="18"/>
              </w:rPr>
            </w:pPr>
            <w:r w:rsidRPr="0064128D">
              <w:rPr>
                <w:rFonts w:ascii="Times New Roman" w:hAnsi="Times New Roman" w:cs="Times New Roman"/>
                <w:sz w:val="18"/>
                <w:szCs w:val="18"/>
              </w:rPr>
              <w:t>A 10 percentage points increment in current coverage of</w:t>
            </w:r>
            <w:r w:rsidR="00506B21" w:rsidRPr="0064128D">
              <w:rPr>
                <w:rFonts w:ascii="Times New Roman" w:hAnsi="Times New Roman" w:cs="Times New Roman"/>
                <w:sz w:val="18"/>
                <w:szCs w:val="18"/>
              </w:rPr>
              <w:t xml:space="preserve"> all</w:t>
            </w:r>
            <w:r w:rsidRPr="0064128D">
              <w:rPr>
                <w:rFonts w:ascii="Times New Roman" w:hAnsi="Times New Roman" w:cs="Times New Roman"/>
                <w:sz w:val="18"/>
                <w:szCs w:val="18"/>
              </w:rPr>
              <w:t xml:space="preserve"> interventions</w:t>
            </w:r>
            <w:r w:rsidR="00133B20" w:rsidRPr="0064128D">
              <w:rPr>
                <w:rFonts w:ascii="Times New Roman" w:hAnsi="Times New Roman" w:cs="Times New Roman"/>
                <w:sz w:val="18"/>
                <w:szCs w:val="18"/>
              </w:rPr>
              <w:t xml:space="preserve"> except for the caesarean section surgery in the urban areas which remained at 83%</w:t>
            </w:r>
            <w:r w:rsidRPr="0064128D">
              <w:rPr>
                <w:rFonts w:ascii="Times New Roman" w:hAnsi="Times New Roman" w:cs="Times New Roman"/>
                <w:sz w:val="18"/>
                <w:szCs w:val="18"/>
              </w:rPr>
              <w:t>.</w:t>
            </w:r>
          </w:p>
          <w:p w14:paraId="45E7A0BD" w14:textId="77777777" w:rsidR="006E4C73" w:rsidRPr="0064128D" w:rsidRDefault="006E4C73" w:rsidP="0027259C">
            <w:pPr>
              <w:rPr>
                <w:rFonts w:ascii="Times New Roman" w:hAnsi="Times New Roman" w:cs="Times New Roman"/>
                <w:sz w:val="18"/>
                <w:szCs w:val="18"/>
              </w:rPr>
            </w:pPr>
          </w:p>
          <w:p w14:paraId="406F8296" w14:textId="435B2258" w:rsidR="00CF4F4A" w:rsidRPr="0064128D" w:rsidRDefault="00CF4F4A" w:rsidP="0027259C">
            <w:pPr>
              <w:rPr>
                <w:rFonts w:ascii="Times New Roman" w:hAnsi="Times New Roman" w:cs="Times New Roman"/>
                <w:sz w:val="18"/>
                <w:szCs w:val="18"/>
              </w:rPr>
            </w:pPr>
            <w:r w:rsidRPr="0064128D">
              <w:rPr>
                <w:rFonts w:ascii="Times New Roman" w:hAnsi="Times New Roman" w:cs="Times New Roman"/>
                <w:sz w:val="18"/>
                <w:szCs w:val="18"/>
              </w:rPr>
              <w:t>It was a UPF program.</w:t>
            </w:r>
          </w:p>
        </w:tc>
        <w:tc>
          <w:tcPr>
            <w:tcW w:w="2936" w:type="dxa"/>
          </w:tcPr>
          <w:p w14:paraId="52F5A5F8" w14:textId="77777777"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lastRenderedPageBreak/>
              <w:t>Employed extended cost-effective analysis.</w:t>
            </w:r>
          </w:p>
          <w:p w14:paraId="1CAC330A" w14:textId="382CF970" w:rsidR="006272B5" w:rsidRPr="0064128D" w:rsidRDefault="006272B5" w:rsidP="0027259C">
            <w:pPr>
              <w:rPr>
                <w:rFonts w:ascii="Times New Roman" w:hAnsi="Times New Roman" w:cs="Times New Roman"/>
                <w:sz w:val="18"/>
                <w:szCs w:val="18"/>
              </w:rPr>
            </w:pPr>
            <w:r w:rsidRPr="0064128D">
              <w:rPr>
                <w:rFonts w:ascii="Times New Roman" w:hAnsi="Times New Roman" w:cs="Times New Roman"/>
                <w:sz w:val="18"/>
                <w:szCs w:val="18"/>
              </w:rPr>
              <w:t>The cost was estimated from the health system</w:t>
            </w:r>
            <w:r w:rsidR="00AF269E" w:rsidRPr="0064128D">
              <w:rPr>
                <w:rFonts w:ascii="Times New Roman" w:hAnsi="Times New Roman" w:cs="Times New Roman"/>
                <w:sz w:val="18"/>
                <w:szCs w:val="18"/>
              </w:rPr>
              <w:t xml:space="preserve"> perspective</w:t>
            </w:r>
            <w:r w:rsidRPr="0064128D">
              <w:rPr>
                <w:rFonts w:ascii="Times New Roman" w:hAnsi="Times New Roman" w:cs="Times New Roman"/>
                <w:sz w:val="18"/>
                <w:szCs w:val="18"/>
              </w:rPr>
              <w:t>.</w:t>
            </w:r>
            <w:r w:rsidR="00466307" w:rsidRPr="0064128D">
              <w:rPr>
                <w:rFonts w:ascii="Times New Roman" w:hAnsi="Times New Roman" w:cs="Times New Roman"/>
                <w:sz w:val="18"/>
                <w:szCs w:val="18"/>
              </w:rPr>
              <w:t xml:space="preserve"> The study employed data from secondary</w:t>
            </w:r>
            <w:r w:rsidR="00862F74" w:rsidRPr="0064128D">
              <w:rPr>
                <w:rFonts w:ascii="Times New Roman" w:hAnsi="Times New Roman" w:cs="Times New Roman"/>
                <w:sz w:val="18"/>
                <w:szCs w:val="18"/>
              </w:rPr>
              <w:t xml:space="preserve"> sources</w:t>
            </w:r>
            <w:r w:rsidR="00466307" w:rsidRPr="0064128D">
              <w:rPr>
                <w:rFonts w:ascii="Times New Roman" w:hAnsi="Times New Roman" w:cs="Times New Roman"/>
                <w:sz w:val="18"/>
                <w:szCs w:val="18"/>
              </w:rPr>
              <w:t xml:space="preserve"> and from published studies. </w:t>
            </w:r>
            <w:r w:rsidR="00396D08" w:rsidRPr="0064128D">
              <w:rPr>
                <w:rFonts w:ascii="Times New Roman" w:hAnsi="Times New Roman" w:cs="Times New Roman"/>
                <w:sz w:val="18"/>
                <w:szCs w:val="18"/>
              </w:rPr>
              <w:t>Data was collected from the Ethiopia Central Statistical Agency and ICF international</w:t>
            </w:r>
            <w:r w:rsidR="000A4757" w:rsidRPr="0064128D">
              <w:rPr>
                <w:rFonts w:ascii="Times New Roman" w:hAnsi="Times New Roman" w:cs="Times New Roman"/>
                <w:sz w:val="18"/>
                <w:szCs w:val="18"/>
              </w:rPr>
              <w:t xml:space="preserve">, </w:t>
            </w:r>
            <w:r w:rsidR="002203F1" w:rsidRPr="0064128D">
              <w:rPr>
                <w:rFonts w:ascii="Times New Roman" w:hAnsi="Times New Roman" w:cs="Times New Roman"/>
                <w:sz w:val="18"/>
                <w:szCs w:val="18"/>
              </w:rPr>
              <w:t>international</w:t>
            </w:r>
            <w:r w:rsidR="000A4757" w:rsidRPr="0064128D">
              <w:rPr>
                <w:rFonts w:ascii="Times New Roman" w:hAnsi="Times New Roman" w:cs="Times New Roman"/>
                <w:sz w:val="18"/>
                <w:szCs w:val="18"/>
              </w:rPr>
              <w:t xml:space="preserve"> drug price indicator guide</w:t>
            </w:r>
            <w:r w:rsidR="00AB4316" w:rsidRPr="0064128D">
              <w:rPr>
                <w:rFonts w:ascii="Times New Roman" w:hAnsi="Times New Roman" w:cs="Times New Roman"/>
                <w:sz w:val="18"/>
                <w:szCs w:val="18"/>
              </w:rPr>
              <w:t>, Global health expenditure database</w:t>
            </w:r>
            <w:r w:rsidR="00396D08" w:rsidRPr="0064128D">
              <w:rPr>
                <w:rFonts w:ascii="Times New Roman" w:hAnsi="Times New Roman" w:cs="Times New Roman"/>
                <w:sz w:val="18"/>
                <w:szCs w:val="18"/>
              </w:rPr>
              <w:t xml:space="preserve"> and WDI. </w:t>
            </w:r>
          </w:p>
        </w:tc>
        <w:tc>
          <w:tcPr>
            <w:tcW w:w="6964" w:type="dxa"/>
          </w:tcPr>
          <w:p w14:paraId="2F8C9513" w14:textId="6BDBFDE3" w:rsidR="00464DB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HBG</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Per Dollar spent by the Government, 510, 1700, 890, 3600, 4100, 410, 590, 2600, and 140 deaths would be averted from rotavirus vaccination, pneumococcal conjugate vaccination, measles vaccination, diarrhea treatment, </w:t>
            </w:r>
            <w:r w:rsidR="007671D7" w:rsidRPr="0064128D">
              <w:rPr>
                <w:rFonts w:ascii="Times New Roman" w:hAnsi="Times New Roman" w:cs="Times New Roman"/>
                <w:sz w:val="18"/>
                <w:szCs w:val="18"/>
              </w:rPr>
              <w:t xml:space="preserve">pneumonia treatment, </w:t>
            </w:r>
            <w:r w:rsidR="00464DB7" w:rsidRPr="0064128D">
              <w:rPr>
                <w:rFonts w:ascii="Times New Roman" w:hAnsi="Times New Roman" w:cs="Times New Roman"/>
                <w:sz w:val="18"/>
                <w:szCs w:val="18"/>
              </w:rPr>
              <w:t xml:space="preserve">malaria treatment, cesarean section surgery, tuberculosis treatment, and hypertension treatment, respectively. </w:t>
            </w:r>
          </w:p>
          <w:p w14:paraId="55197C89" w14:textId="049426FB" w:rsidR="00BC796B" w:rsidRPr="0064128D" w:rsidRDefault="00BC796B" w:rsidP="0027259C">
            <w:pPr>
              <w:rPr>
                <w:rFonts w:ascii="Times New Roman" w:hAnsi="Times New Roman" w:cs="Times New Roman"/>
                <w:sz w:val="18"/>
                <w:szCs w:val="18"/>
              </w:rPr>
            </w:pPr>
            <w:r w:rsidRPr="0064128D">
              <w:rPr>
                <w:rFonts w:ascii="Times New Roman" w:hAnsi="Times New Roman" w:cs="Times New Roman"/>
                <w:b/>
                <w:bCs/>
                <w:i/>
                <w:iCs/>
                <w:sz w:val="18"/>
                <w:szCs w:val="18"/>
              </w:rPr>
              <w:t>FC</w:t>
            </w:r>
            <w:r w:rsidRPr="0064128D">
              <w:rPr>
                <w:rFonts w:ascii="Times New Roman" w:hAnsi="Times New Roman" w:cs="Times New Roman"/>
                <w:sz w:val="18"/>
                <w:szCs w:val="18"/>
              </w:rPr>
              <w:t xml:space="preserve">: </w:t>
            </w:r>
            <w:r w:rsidR="007671D7" w:rsidRPr="0064128D">
              <w:rPr>
                <w:rFonts w:ascii="Times New Roman" w:hAnsi="Times New Roman" w:cs="Times New Roman"/>
                <w:sz w:val="18"/>
                <w:szCs w:val="18"/>
              </w:rPr>
              <w:t>OOP payments averted</w:t>
            </w:r>
            <w:r w:rsidR="005675D1" w:rsidRPr="0064128D">
              <w:rPr>
                <w:rFonts w:ascii="Times New Roman" w:hAnsi="Times New Roman" w:cs="Times New Roman"/>
                <w:sz w:val="18"/>
                <w:szCs w:val="18"/>
              </w:rPr>
              <w:t xml:space="preserve"> were US$</w:t>
            </w:r>
            <w:r w:rsidR="00266717" w:rsidRPr="0064128D">
              <w:rPr>
                <w:rFonts w:ascii="Times New Roman" w:hAnsi="Times New Roman" w:cs="Times New Roman"/>
                <w:sz w:val="18"/>
                <w:szCs w:val="18"/>
              </w:rPr>
              <w:t xml:space="preserve"> 180 000, US$ 110 000, US$ 9 000, US$ 26 000 000, US$15 000 000, US$ 300 000, US$ 270 000, US$4 400 000, US$ 730 000</w:t>
            </w:r>
            <w:r w:rsidR="007671D7" w:rsidRPr="0064128D">
              <w:rPr>
                <w:rFonts w:ascii="Times New Roman" w:hAnsi="Times New Roman" w:cs="Times New Roman"/>
                <w:sz w:val="18"/>
                <w:szCs w:val="18"/>
              </w:rPr>
              <w:t xml:space="preserve"> from rotavirus vaccination, pneumococcal conjugate vaccination, measles vaccination, diarrhea treatment, pneumonia treatment, malaria treatment, cesarean section surgery, tuberculosis treatment, and hypertension treatment, respectively</w:t>
            </w:r>
            <w:r w:rsidR="00442A38" w:rsidRPr="0064128D">
              <w:rPr>
                <w:rFonts w:ascii="Times New Roman" w:hAnsi="Times New Roman" w:cs="Times New Roman"/>
                <w:sz w:val="18"/>
                <w:szCs w:val="18"/>
              </w:rPr>
              <w:t>.</w:t>
            </w:r>
          </w:p>
          <w:p w14:paraId="6DA216F0" w14:textId="57BC84E8" w:rsidR="00442A38" w:rsidRPr="0064128D" w:rsidRDefault="00442A38" w:rsidP="0027259C">
            <w:pPr>
              <w:rPr>
                <w:rFonts w:ascii="Times New Roman" w:hAnsi="Times New Roman" w:cs="Times New Roman"/>
                <w:sz w:val="18"/>
                <w:szCs w:val="18"/>
              </w:rPr>
            </w:pPr>
            <w:r w:rsidRPr="0064128D">
              <w:rPr>
                <w:rFonts w:ascii="Times New Roman" w:hAnsi="Times New Roman" w:cs="Times New Roman"/>
                <w:sz w:val="18"/>
                <w:szCs w:val="18"/>
              </w:rPr>
              <w:t>Government intervention cost were US$ 800 000, US$ 1 200 000, US$ 260 000, US$ 50 000 000, US$31 000 000, US$ 670 000, US$ 420 000, US$6 900 000, US$ 1 300 000 from rotavirus vaccination, pneumococcal conjugate vaccination, measles vaccination, diarrhea treatment, pneumonia treatment, malaria treatment, cesarean section surgery, tuberculosis treatment, and hypertension treatment, respectively.</w:t>
            </w:r>
          </w:p>
          <w:p w14:paraId="655EC03A" w14:textId="1DC9D097" w:rsidR="00464DB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FRP</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Per Dollar spent by the Government, 270, 170, 14, 40</w:t>
            </w:r>
            <w:r w:rsidR="00B6157D" w:rsidRPr="0064128D">
              <w:rPr>
                <w:rFonts w:ascii="Times New Roman" w:hAnsi="Times New Roman" w:cs="Times New Roman"/>
                <w:sz w:val="18"/>
                <w:szCs w:val="18"/>
              </w:rPr>
              <w:t xml:space="preserve"> </w:t>
            </w:r>
            <w:r w:rsidR="00464DB7" w:rsidRPr="0064128D">
              <w:rPr>
                <w:rFonts w:ascii="Times New Roman" w:hAnsi="Times New Roman" w:cs="Times New Roman"/>
                <w:sz w:val="18"/>
                <w:szCs w:val="18"/>
              </w:rPr>
              <w:t>000, 23</w:t>
            </w:r>
            <w:r w:rsidR="00B6157D" w:rsidRPr="0064128D">
              <w:rPr>
                <w:rFonts w:ascii="Times New Roman" w:hAnsi="Times New Roman" w:cs="Times New Roman"/>
                <w:sz w:val="18"/>
                <w:szCs w:val="18"/>
              </w:rPr>
              <w:t xml:space="preserve"> </w:t>
            </w:r>
            <w:r w:rsidR="00464DB7" w:rsidRPr="0064128D">
              <w:rPr>
                <w:rFonts w:ascii="Times New Roman" w:hAnsi="Times New Roman" w:cs="Times New Roman"/>
                <w:sz w:val="18"/>
                <w:szCs w:val="18"/>
              </w:rPr>
              <w:t xml:space="preserve">000, 460, 410, 6700, and 1100 cases of poverty would be averted from rotavirus vaccination, pneumococcal conjugate vaccination, measles vaccination, diarrhea treatment, </w:t>
            </w:r>
            <w:r w:rsidR="007671D7" w:rsidRPr="0064128D">
              <w:rPr>
                <w:rFonts w:ascii="Times New Roman" w:hAnsi="Times New Roman" w:cs="Times New Roman"/>
                <w:sz w:val="18"/>
                <w:szCs w:val="18"/>
              </w:rPr>
              <w:t xml:space="preserve">pneumonia treatment, </w:t>
            </w:r>
            <w:r w:rsidR="00464DB7" w:rsidRPr="0064128D">
              <w:rPr>
                <w:rFonts w:ascii="Times New Roman" w:hAnsi="Times New Roman" w:cs="Times New Roman"/>
                <w:sz w:val="18"/>
                <w:szCs w:val="18"/>
              </w:rPr>
              <w:t>malaria treatment, cesarean section surgery, tuberculosis treatment, and hypertension treatment, respectively.</w:t>
            </w:r>
          </w:p>
          <w:p w14:paraId="6253F770" w14:textId="4A486193" w:rsidR="00450A5C" w:rsidRPr="0064128D" w:rsidRDefault="00450A5C" w:rsidP="0027259C">
            <w:pPr>
              <w:rPr>
                <w:rFonts w:ascii="Times New Roman" w:hAnsi="Times New Roman" w:cs="Times New Roman"/>
                <w:sz w:val="18"/>
                <w:szCs w:val="18"/>
              </w:rPr>
            </w:pPr>
          </w:p>
          <w:p w14:paraId="55D40EBB" w14:textId="799F0586" w:rsidR="00450A5C" w:rsidRPr="0064128D" w:rsidRDefault="00450A5C" w:rsidP="0027259C">
            <w:pPr>
              <w:rPr>
                <w:rFonts w:ascii="Times New Roman" w:hAnsi="Times New Roman" w:cs="Times New Roman"/>
                <w:sz w:val="18"/>
                <w:szCs w:val="18"/>
              </w:rPr>
            </w:pPr>
            <w:r w:rsidRPr="0064128D">
              <w:rPr>
                <w:rFonts w:ascii="Times New Roman" w:hAnsi="Times New Roman" w:cs="Times New Roman"/>
                <w:sz w:val="18"/>
                <w:szCs w:val="18"/>
              </w:rPr>
              <w:lastRenderedPageBreak/>
              <w:t>The study did not disaggregate results by income quintile. Thus, they did not directly address the issue of equity.</w:t>
            </w:r>
          </w:p>
          <w:p w14:paraId="152EBADC" w14:textId="0368C51E" w:rsidR="00464DB7" w:rsidRPr="0064128D" w:rsidRDefault="00464DB7" w:rsidP="0027259C">
            <w:pPr>
              <w:rPr>
                <w:rFonts w:ascii="Times New Roman" w:hAnsi="Times New Roman" w:cs="Times New Roman"/>
                <w:sz w:val="18"/>
                <w:szCs w:val="18"/>
              </w:rPr>
            </w:pPr>
          </w:p>
        </w:tc>
      </w:tr>
      <w:tr w:rsidR="0064128D" w:rsidRPr="0064128D" w14:paraId="21A1AE66" w14:textId="77777777" w:rsidTr="00C718F8">
        <w:tc>
          <w:tcPr>
            <w:tcW w:w="540" w:type="dxa"/>
          </w:tcPr>
          <w:p w14:paraId="5FF363C4" w14:textId="755E6C15" w:rsidR="00464DB7" w:rsidRPr="0064128D" w:rsidRDefault="0008598F" w:rsidP="0027259C">
            <w:pPr>
              <w:rPr>
                <w:rFonts w:ascii="Times New Roman" w:hAnsi="Times New Roman" w:cs="Times New Roman"/>
                <w:sz w:val="18"/>
                <w:szCs w:val="18"/>
              </w:rPr>
            </w:pPr>
            <w:r w:rsidRPr="0064128D">
              <w:rPr>
                <w:rFonts w:ascii="Times New Roman" w:hAnsi="Times New Roman" w:cs="Times New Roman"/>
                <w:sz w:val="18"/>
                <w:szCs w:val="18"/>
              </w:rPr>
              <w:t>20</w:t>
            </w:r>
          </w:p>
        </w:tc>
        <w:tc>
          <w:tcPr>
            <w:tcW w:w="1260" w:type="dxa"/>
          </w:tcPr>
          <w:p w14:paraId="5FE6E915" w14:textId="44BB492F"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fldChar w:fldCharType="begin" w:fldLock="1"/>
            </w:r>
            <w:r w:rsidRPr="0064128D">
              <w:rPr>
                <w:rFonts w:ascii="Times New Roman" w:hAnsi="Times New Roman" w:cs="Times New Roman"/>
                <w:sz w:val="18"/>
                <w:szCs w:val="18"/>
              </w:rPr>
              <w:instrText>ADDIN CSL_CITATION {"citationItems":[{"id":"ITEM-1","itemData":{"DOI":"10.1016/j.vaccine.2013.07.014","ISSN":"0264-410X","author":[{"dropping-particle":"","family":"Verguet","given":"Stéphane","non-dropping-particle":"","parse-names":false,"suffix":""},{"dropping-particle":"","family":"Murphy","given":"Shane","non-dropping-particle":"","parse-names":false,"suffix":""},{"dropping-particle":"","family":"Anderson","given":"Benjamin","non-dropping-particle":"","parse-names":false,"suffix":""},{"dropping-particle":"","family":"Arne","given":"Kjell","non-dropping-particle":"","parse-names":false,"suffix":""},{"dropping-particle":"","family":"Glass","given":"Roger","non-dropping-particle":"","parse-names":false,"suffix":""},{"dropping-particle":"","family":"Rheingans","given":"Richard","non-dropping-particle":"","parse-names":false,"suffix":""}],"container-title":"Vaccine","id":"ITEM-1","issue":"42","issued":{"date-parts":[["2013"]]},"page":"4902-4910","publisher":"Elsevier Ltd","title":"Public finance of rotavirus vaccination in India and Ethiopia : An extended cost-effectiveness analysis","type":"article-journal","volume":"31"},"uris":["http://www.mendeley.com/documents/?uuid=5beaa227-99cd-4012-b06d-7fe7f233300a"]}],"mendeley":{"formattedCitation":"(Verguet et al., 2013)","manualFormatting":"Verguet et al. (2013)","plainTextFormattedCitation":"(Verguet et al., 2013)","previouslyFormattedCitation":"(Verguet et al., 2013)"},"properties":{"noteIndex":0},"schema":"https://github.com/citation-style-language/schema/raw/master/csl-citation.json"}</w:instrText>
            </w:r>
            <w:r w:rsidRPr="0064128D">
              <w:rPr>
                <w:rFonts w:ascii="Times New Roman" w:hAnsi="Times New Roman" w:cs="Times New Roman"/>
                <w:sz w:val="18"/>
                <w:szCs w:val="18"/>
              </w:rPr>
              <w:fldChar w:fldCharType="separate"/>
            </w:r>
            <w:r w:rsidRPr="0064128D">
              <w:rPr>
                <w:rFonts w:ascii="Times New Roman" w:hAnsi="Times New Roman" w:cs="Times New Roman"/>
                <w:noProof/>
                <w:sz w:val="18"/>
                <w:szCs w:val="18"/>
              </w:rPr>
              <w:t>Verguet et al. (2013)</w:t>
            </w:r>
            <w:r w:rsidRPr="0064128D">
              <w:rPr>
                <w:rFonts w:ascii="Times New Roman" w:hAnsi="Times New Roman" w:cs="Times New Roman"/>
                <w:sz w:val="18"/>
                <w:szCs w:val="18"/>
              </w:rPr>
              <w:fldChar w:fldCharType="end"/>
            </w:r>
            <w:r w:rsidRPr="0064128D">
              <w:rPr>
                <w:rFonts w:ascii="Times New Roman" w:hAnsi="Times New Roman" w:cs="Times New Roman"/>
                <w:sz w:val="18"/>
                <w:szCs w:val="18"/>
              </w:rPr>
              <w:t>,</w:t>
            </w:r>
          </w:p>
          <w:p w14:paraId="06033EB1" w14:textId="7F3AFC6A"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 xml:space="preserve">India and Ethiopia </w:t>
            </w:r>
          </w:p>
        </w:tc>
        <w:tc>
          <w:tcPr>
            <w:tcW w:w="3240" w:type="dxa"/>
          </w:tcPr>
          <w:p w14:paraId="609AECA1" w14:textId="0F7D413F"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 xml:space="preserve">Examined </w:t>
            </w:r>
            <w:r w:rsidR="000E6168" w:rsidRPr="0064128D">
              <w:rPr>
                <w:rFonts w:ascii="Times New Roman" w:hAnsi="Times New Roman" w:cs="Times New Roman"/>
                <w:sz w:val="18"/>
                <w:szCs w:val="18"/>
              </w:rPr>
              <w:t>the health and non-health benefits of a</w:t>
            </w:r>
            <w:r w:rsidRPr="0064128D">
              <w:rPr>
                <w:rFonts w:ascii="Times New Roman" w:hAnsi="Times New Roman" w:cs="Times New Roman"/>
                <w:sz w:val="18"/>
                <w:szCs w:val="18"/>
              </w:rPr>
              <w:t xml:space="preserve"> hypothetical rotavirus vaccination in India and Ethiopia</w:t>
            </w:r>
            <w:r w:rsidR="00064247" w:rsidRPr="0064128D">
              <w:rPr>
                <w:rFonts w:ascii="Times New Roman" w:hAnsi="Times New Roman" w:cs="Times New Roman"/>
                <w:sz w:val="18"/>
                <w:szCs w:val="18"/>
              </w:rPr>
              <w:t>.</w:t>
            </w:r>
          </w:p>
          <w:p w14:paraId="533CDA2A" w14:textId="77777777" w:rsidR="008D2F73" w:rsidRPr="0064128D" w:rsidRDefault="008D2F73" w:rsidP="0027259C">
            <w:pPr>
              <w:rPr>
                <w:rFonts w:ascii="Times New Roman" w:hAnsi="Times New Roman" w:cs="Times New Roman"/>
                <w:sz w:val="18"/>
                <w:szCs w:val="18"/>
              </w:rPr>
            </w:pPr>
          </w:p>
          <w:p w14:paraId="79AB96F0" w14:textId="6B62D665" w:rsidR="000E6168" w:rsidRPr="0064128D" w:rsidRDefault="00B30FB8" w:rsidP="0027259C">
            <w:pPr>
              <w:rPr>
                <w:rFonts w:ascii="Times New Roman" w:hAnsi="Times New Roman" w:cs="Times New Roman"/>
                <w:sz w:val="18"/>
                <w:szCs w:val="18"/>
              </w:rPr>
            </w:pPr>
            <w:r w:rsidRPr="0064128D">
              <w:rPr>
                <w:rFonts w:ascii="Times New Roman" w:hAnsi="Times New Roman" w:cs="Times New Roman"/>
                <w:b/>
                <w:bCs/>
                <w:sz w:val="18"/>
                <w:szCs w:val="18"/>
                <w:u w:val="single"/>
              </w:rPr>
              <w:t xml:space="preserve">Hypothetical </w:t>
            </w:r>
            <w:r w:rsidR="00B1794B" w:rsidRPr="0064128D">
              <w:rPr>
                <w:rFonts w:ascii="Times New Roman" w:hAnsi="Times New Roman" w:cs="Times New Roman"/>
                <w:b/>
                <w:bCs/>
                <w:sz w:val="18"/>
                <w:szCs w:val="18"/>
                <w:u w:val="single"/>
              </w:rPr>
              <w:t>Intervention</w:t>
            </w:r>
            <w:r w:rsidR="00DF6964" w:rsidRPr="0064128D">
              <w:rPr>
                <w:rFonts w:ascii="Times New Roman" w:hAnsi="Times New Roman" w:cs="Times New Roman"/>
                <w:sz w:val="18"/>
                <w:szCs w:val="18"/>
              </w:rPr>
              <w:t>:</w:t>
            </w:r>
          </w:p>
          <w:p w14:paraId="44DF5146" w14:textId="28E96D04" w:rsidR="00DF6964" w:rsidRPr="0064128D" w:rsidRDefault="00B30FB8" w:rsidP="0027259C">
            <w:pPr>
              <w:rPr>
                <w:rFonts w:ascii="Times New Roman" w:hAnsi="Times New Roman" w:cs="Times New Roman"/>
                <w:sz w:val="18"/>
                <w:szCs w:val="18"/>
              </w:rPr>
            </w:pPr>
            <w:r w:rsidRPr="0064128D">
              <w:rPr>
                <w:rFonts w:ascii="Times New Roman" w:hAnsi="Times New Roman" w:cs="Times New Roman"/>
                <w:sz w:val="18"/>
                <w:szCs w:val="18"/>
              </w:rPr>
              <w:t>About</w:t>
            </w:r>
            <w:r w:rsidR="00DF6964" w:rsidRPr="0064128D">
              <w:rPr>
                <w:rFonts w:ascii="Times New Roman" w:hAnsi="Times New Roman" w:cs="Times New Roman"/>
                <w:sz w:val="18"/>
                <w:szCs w:val="18"/>
              </w:rPr>
              <w:t xml:space="preserve"> 76% and 52% </w:t>
            </w:r>
            <w:r w:rsidRPr="0064128D">
              <w:rPr>
                <w:rFonts w:ascii="Times New Roman" w:hAnsi="Times New Roman" w:cs="Times New Roman"/>
                <w:sz w:val="18"/>
                <w:szCs w:val="18"/>
              </w:rPr>
              <w:t xml:space="preserve">vaccine coverage </w:t>
            </w:r>
            <w:r w:rsidR="00DF6964" w:rsidRPr="0064128D">
              <w:rPr>
                <w:rFonts w:ascii="Times New Roman" w:hAnsi="Times New Roman" w:cs="Times New Roman"/>
                <w:sz w:val="18"/>
                <w:szCs w:val="18"/>
              </w:rPr>
              <w:t>for India and Ethiopia, respectively.</w:t>
            </w:r>
          </w:p>
          <w:p w14:paraId="7189733F" w14:textId="77777777" w:rsidR="00B1794B" w:rsidRPr="0064128D" w:rsidRDefault="00B1794B" w:rsidP="0027259C">
            <w:pPr>
              <w:rPr>
                <w:rFonts w:ascii="Times New Roman" w:hAnsi="Times New Roman" w:cs="Times New Roman"/>
                <w:sz w:val="18"/>
                <w:szCs w:val="18"/>
              </w:rPr>
            </w:pPr>
          </w:p>
          <w:p w14:paraId="4588B270" w14:textId="29B2DD6E" w:rsidR="00E66604" w:rsidRPr="0064128D" w:rsidRDefault="00E66604" w:rsidP="0027259C">
            <w:pPr>
              <w:rPr>
                <w:rFonts w:ascii="Times New Roman" w:hAnsi="Times New Roman" w:cs="Times New Roman"/>
                <w:sz w:val="18"/>
                <w:szCs w:val="18"/>
              </w:rPr>
            </w:pPr>
            <w:r w:rsidRPr="0064128D">
              <w:rPr>
                <w:rFonts w:ascii="Times New Roman" w:hAnsi="Times New Roman" w:cs="Times New Roman"/>
                <w:sz w:val="18"/>
                <w:szCs w:val="18"/>
              </w:rPr>
              <w:t xml:space="preserve">It was a </w:t>
            </w:r>
            <w:r w:rsidR="000E6168" w:rsidRPr="0064128D">
              <w:rPr>
                <w:rFonts w:ascii="Times New Roman" w:hAnsi="Times New Roman" w:cs="Times New Roman"/>
                <w:sz w:val="18"/>
                <w:szCs w:val="18"/>
              </w:rPr>
              <w:t>public</w:t>
            </w:r>
            <w:r w:rsidRPr="0064128D">
              <w:rPr>
                <w:rFonts w:ascii="Times New Roman" w:hAnsi="Times New Roman" w:cs="Times New Roman"/>
                <w:sz w:val="18"/>
                <w:szCs w:val="18"/>
              </w:rPr>
              <w:t xml:space="preserve"> finance program.</w:t>
            </w:r>
          </w:p>
        </w:tc>
        <w:tc>
          <w:tcPr>
            <w:tcW w:w="2936" w:type="dxa"/>
          </w:tcPr>
          <w:p w14:paraId="3B348B2E" w14:textId="7F581214" w:rsidR="00464DB7" w:rsidRPr="0064128D" w:rsidRDefault="00464DB7" w:rsidP="0027259C">
            <w:pPr>
              <w:rPr>
                <w:rFonts w:ascii="Times New Roman" w:hAnsi="Times New Roman" w:cs="Times New Roman"/>
                <w:sz w:val="18"/>
                <w:szCs w:val="18"/>
              </w:rPr>
            </w:pPr>
            <w:r w:rsidRPr="0064128D">
              <w:rPr>
                <w:rFonts w:ascii="Times New Roman" w:hAnsi="Times New Roman" w:cs="Times New Roman"/>
                <w:sz w:val="18"/>
                <w:szCs w:val="18"/>
              </w:rPr>
              <w:t xml:space="preserve">Used </w:t>
            </w:r>
            <w:r w:rsidR="00C927CF" w:rsidRPr="0064128D">
              <w:rPr>
                <w:rFonts w:ascii="Times New Roman" w:hAnsi="Times New Roman" w:cs="Times New Roman"/>
                <w:sz w:val="18"/>
                <w:szCs w:val="18"/>
              </w:rPr>
              <w:t>ECEA to estimate the HBG, FC, FRP and Equity</w:t>
            </w:r>
            <w:r w:rsidRPr="0064128D">
              <w:rPr>
                <w:rFonts w:ascii="Times New Roman" w:hAnsi="Times New Roman" w:cs="Times New Roman"/>
                <w:sz w:val="18"/>
                <w:szCs w:val="18"/>
              </w:rPr>
              <w:t>.</w:t>
            </w:r>
          </w:p>
          <w:p w14:paraId="70BA8F3C" w14:textId="7D1E6ED4" w:rsidR="00900081" w:rsidRPr="0064128D" w:rsidRDefault="00900081" w:rsidP="0027259C">
            <w:pPr>
              <w:rPr>
                <w:rFonts w:ascii="Times New Roman" w:hAnsi="Times New Roman" w:cs="Times New Roman"/>
                <w:sz w:val="18"/>
                <w:szCs w:val="18"/>
              </w:rPr>
            </w:pPr>
            <w:r w:rsidRPr="0064128D">
              <w:rPr>
                <w:rFonts w:ascii="Times New Roman" w:hAnsi="Times New Roman" w:cs="Times New Roman"/>
                <w:sz w:val="18"/>
                <w:szCs w:val="18"/>
              </w:rPr>
              <w:t>Data from empirical literature were used.</w:t>
            </w:r>
          </w:p>
          <w:p w14:paraId="334B369E" w14:textId="77777777" w:rsidR="009E38BB" w:rsidRPr="0064128D" w:rsidRDefault="009E38BB" w:rsidP="0027259C">
            <w:pPr>
              <w:rPr>
                <w:rFonts w:ascii="Times New Roman" w:hAnsi="Times New Roman" w:cs="Times New Roman"/>
                <w:sz w:val="18"/>
                <w:szCs w:val="18"/>
              </w:rPr>
            </w:pPr>
            <w:r w:rsidRPr="0064128D">
              <w:rPr>
                <w:rFonts w:ascii="Times New Roman" w:hAnsi="Times New Roman" w:cs="Times New Roman"/>
                <w:sz w:val="18"/>
                <w:szCs w:val="18"/>
              </w:rPr>
              <w:t>A societal perspective is adopted</w:t>
            </w:r>
            <w:r w:rsidR="00AF328B" w:rsidRPr="0064128D">
              <w:rPr>
                <w:rFonts w:ascii="Times New Roman" w:hAnsi="Times New Roman" w:cs="Times New Roman"/>
                <w:sz w:val="18"/>
                <w:szCs w:val="18"/>
              </w:rPr>
              <w:t xml:space="preserve"> to estimate the cost</w:t>
            </w:r>
            <w:r w:rsidRPr="0064128D">
              <w:rPr>
                <w:rFonts w:ascii="Times New Roman" w:hAnsi="Times New Roman" w:cs="Times New Roman"/>
                <w:sz w:val="18"/>
                <w:szCs w:val="18"/>
              </w:rPr>
              <w:t>.</w:t>
            </w:r>
          </w:p>
          <w:p w14:paraId="2186099E" w14:textId="77777777" w:rsidR="00B1794B" w:rsidRPr="0064128D" w:rsidRDefault="00B1794B" w:rsidP="0027259C">
            <w:pPr>
              <w:rPr>
                <w:rFonts w:ascii="Times New Roman" w:hAnsi="Times New Roman" w:cs="Times New Roman"/>
                <w:sz w:val="18"/>
                <w:szCs w:val="18"/>
              </w:rPr>
            </w:pPr>
            <w:r w:rsidRPr="0064128D">
              <w:rPr>
                <w:rFonts w:ascii="Times New Roman" w:hAnsi="Times New Roman" w:cs="Times New Roman"/>
                <w:sz w:val="18"/>
                <w:szCs w:val="18"/>
              </w:rPr>
              <w:t>They used a hypothetical cohort of 1,000,000 births over the first five years of life.</w:t>
            </w:r>
          </w:p>
          <w:p w14:paraId="6094D9D9" w14:textId="77777777" w:rsidR="00B1794B" w:rsidRPr="0064128D" w:rsidRDefault="00B1794B" w:rsidP="0027259C">
            <w:pPr>
              <w:rPr>
                <w:rFonts w:ascii="Times New Roman" w:hAnsi="Times New Roman" w:cs="Times New Roman"/>
                <w:sz w:val="18"/>
                <w:szCs w:val="18"/>
              </w:rPr>
            </w:pPr>
          </w:p>
          <w:p w14:paraId="28325DFD" w14:textId="2E2BC798" w:rsidR="00B1794B" w:rsidRPr="0064128D" w:rsidRDefault="00B1794B" w:rsidP="0027259C">
            <w:pPr>
              <w:rPr>
                <w:rFonts w:ascii="Times New Roman" w:hAnsi="Times New Roman" w:cs="Times New Roman"/>
                <w:sz w:val="18"/>
                <w:szCs w:val="18"/>
              </w:rPr>
            </w:pPr>
          </w:p>
        </w:tc>
        <w:tc>
          <w:tcPr>
            <w:tcW w:w="6964" w:type="dxa"/>
          </w:tcPr>
          <w:p w14:paraId="42F02D82" w14:textId="12C6D897" w:rsidR="00464DB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HBG</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32,000 (32% of all rotavirus deaths) and 3700 (26% of all rotavirus</w:t>
            </w:r>
            <w:r w:rsidR="00F43C71">
              <w:rPr>
                <w:rFonts w:ascii="Times New Roman" w:hAnsi="Times New Roman" w:cs="Times New Roman"/>
                <w:sz w:val="18"/>
                <w:szCs w:val="18"/>
              </w:rPr>
              <w:t>-related</w:t>
            </w:r>
            <w:r w:rsidR="00464DB7" w:rsidRPr="0064128D">
              <w:rPr>
                <w:rFonts w:ascii="Times New Roman" w:hAnsi="Times New Roman" w:cs="Times New Roman"/>
                <w:sz w:val="18"/>
                <w:szCs w:val="18"/>
              </w:rPr>
              <w:t xml:space="preserve"> deaths) lives would be saved in India and Ethiopia respectively.</w:t>
            </w:r>
          </w:p>
          <w:p w14:paraId="20520B82" w14:textId="429BAF50" w:rsidR="00464DB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FC</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Total household expenditures averted would be US$1,</w:t>
            </w:r>
            <w:r w:rsidR="00B93A00" w:rsidRPr="0064128D">
              <w:rPr>
                <w:rFonts w:ascii="Times New Roman" w:hAnsi="Times New Roman" w:cs="Times New Roman"/>
                <w:sz w:val="18"/>
                <w:szCs w:val="18"/>
              </w:rPr>
              <w:t>9</w:t>
            </w:r>
            <w:r w:rsidR="00464DB7" w:rsidRPr="0064128D">
              <w:rPr>
                <w:rFonts w:ascii="Times New Roman" w:hAnsi="Times New Roman" w:cs="Times New Roman"/>
                <w:sz w:val="18"/>
                <w:szCs w:val="18"/>
              </w:rPr>
              <w:t xml:space="preserve">00,000 and US$ 800,000 </w:t>
            </w:r>
            <w:r w:rsidR="00AD0A55" w:rsidRPr="0064128D">
              <w:rPr>
                <w:rFonts w:ascii="Times New Roman" w:hAnsi="Times New Roman" w:cs="Times New Roman"/>
                <w:sz w:val="18"/>
                <w:szCs w:val="18"/>
              </w:rPr>
              <w:t>for</w:t>
            </w:r>
            <w:r w:rsidR="00464DB7" w:rsidRPr="0064128D">
              <w:rPr>
                <w:rFonts w:ascii="Times New Roman" w:hAnsi="Times New Roman" w:cs="Times New Roman"/>
                <w:sz w:val="18"/>
                <w:szCs w:val="18"/>
              </w:rPr>
              <w:t xml:space="preserve"> India and Ethiopia</w:t>
            </w:r>
            <w:r w:rsidR="00AD0A55"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respectively.</w:t>
            </w:r>
          </w:p>
          <w:p w14:paraId="6F429B07" w14:textId="402E10CA" w:rsidR="00464DB7" w:rsidRPr="0064128D" w:rsidRDefault="00F16FE5" w:rsidP="0027259C">
            <w:pPr>
              <w:rPr>
                <w:rFonts w:ascii="Times New Roman" w:hAnsi="Times New Roman" w:cs="Times New Roman"/>
                <w:sz w:val="18"/>
                <w:szCs w:val="18"/>
              </w:rPr>
            </w:pPr>
            <w:r w:rsidRPr="0064128D">
              <w:rPr>
                <w:rFonts w:ascii="Times New Roman" w:hAnsi="Times New Roman" w:cs="Times New Roman"/>
                <w:b/>
                <w:bCs/>
                <w:i/>
                <w:iCs/>
                <w:sz w:val="18"/>
                <w:szCs w:val="18"/>
              </w:rPr>
              <w:t>FRP</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Total </w:t>
            </w:r>
            <w:r w:rsidR="002D0AEE" w:rsidRPr="0064128D">
              <w:rPr>
                <w:rFonts w:ascii="Times New Roman" w:hAnsi="Times New Roman" w:cs="Times New Roman"/>
                <w:sz w:val="18"/>
                <w:szCs w:val="18"/>
              </w:rPr>
              <w:t>FRP</w:t>
            </w:r>
            <w:r w:rsidR="00464DB7" w:rsidRPr="0064128D">
              <w:rPr>
                <w:rFonts w:ascii="Times New Roman" w:hAnsi="Times New Roman" w:cs="Times New Roman"/>
                <w:sz w:val="18"/>
                <w:szCs w:val="18"/>
              </w:rPr>
              <w:t xml:space="preserve"> (value of money-metric insurance) would be about $1</w:t>
            </w:r>
            <w:r w:rsidR="00820307" w:rsidRPr="0064128D">
              <w:rPr>
                <w:rFonts w:ascii="Times New Roman" w:hAnsi="Times New Roman" w:cs="Times New Roman"/>
                <w:sz w:val="18"/>
                <w:szCs w:val="18"/>
              </w:rPr>
              <w:t>5</w:t>
            </w:r>
            <w:r w:rsidR="00464DB7" w:rsidRPr="0064128D">
              <w:rPr>
                <w:rFonts w:ascii="Times New Roman" w:hAnsi="Times New Roman" w:cs="Times New Roman"/>
                <w:sz w:val="18"/>
                <w:szCs w:val="18"/>
              </w:rPr>
              <w:t>,000 and $8000 for India and Ethiopia, respectively.</w:t>
            </w:r>
          </w:p>
          <w:p w14:paraId="2F4C6A95" w14:textId="31646DBB" w:rsidR="00464DB7" w:rsidRPr="0064128D" w:rsidRDefault="00D82C07" w:rsidP="0027259C">
            <w:pPr>
              <w:rPr>
                <w:rFonts w:ascii="Times New Roman" w:hAnsi="Times New Roman" w:cs="Times New Roman"/>
                <w:sz w:val="18"/>
                <w:szCs w:val="18"/>
              </w:rPr>
            </w:pPr>
            <w:r w:rsidRPr="0064128D">
              <w:rPr>
                <w:rFonts w:ascii="Times New Roman" w:hAnsi="Times New Roman" w:cs="Times New Roman"/>
                <w:b/>
                <w:bCs/>
                <w:i/>
                <w:iCs/>
                <w:sz w:val="18"/>
                <w:szCs w:val="18"/>
              </w:rPr>
              <w:t>Equity</w:t>
            </w:r>
            <w:r w:rsidRPr="0064128D">
              <w:rPr>
                <w:rFonts w:ascii="Times New Roman" w:hAnsi="Times New Roman" w:cs="Times New Roman"/>
                <w:sz w:val="18"/>
                <w:szCs w:val="18"/>
              </w:rPr>
              <w:t>:</w:t>
            </w:r>
            <w:r w:rsidR="00464DB7" w:rsidRPr="0064128D">
              <w:rPr>
                <w:rFonts w:ascii="Times New Roman" w:hAnsi="Times New Roman" w:cs="Times New Roman"/>
                <w:sz w:val="18"/>
                <w:szCs w:val="18"/>
              </w:rPr>
              <w:t xml:space="preserve"> More lives would be saved among the bottom income quintile relative to the top income quintile in India and Ethiopia. The total household expenditure averted associated with the bottom two income quintiles (poorest and poorer) for India and Ethiopia would be 34% and 25%, respectively. The largest </w:t>
            </w:r>
            <w:r w:rsidR="002D0AEE" w:rsidRPr="0064128D">
              <w:rPr>
                <w:rFonts w:ascii="Times New Roman" w:hAnsi="Times New Roman" w:cs="Times New Roman"/>
                <w:sz w:val="18"/>
                <w:szCs w:val="18"/>
              </w:rPr>
              <w:t>FRP</w:t>
            </w:r>
            <w:r w:rsidR="00464DB7" w:rsidRPr="0064128D">
              <w:rPr>
                <w:rFonts w:ascii="Times New Roman" w:hAnsi="Times New Roman" w:cs="Times New Roman"/>
                <w:sz w:val="18"/>
                <w:szCs w:val="18"/>
              </w:rPr>
              <w:t xml:space="preserve"> value would be felt by the bottom income quintile</w:t>
            </w:r>
            <w:r w:rsidR="00B517CA" w:rsidRPr="0064128D">
              <w:rPr>
                <w:rFonts w:ascii="Times New Roman" w:hAnsi="Times New Roman" w:cs="Times New Roman"/>
                <w:sz w:val="18"/>
                <w:szCs w:val="18"/>
              </w:rPr>
              <w:t xml:space="preserve"> (poor)</w:t>
            </w:r>
            <w:r w:rsidR="00464DB7" w:rsidRPr="0064128D">
              <w:rPr>
                <w:rFonts w:ascii="Times New Roman" w:hAnsi="Times New Roman" w:cs="Times New Roman"/>
                <w:sz w:val="18"/>
                <w:szCs w:val="18"/>
              </w:rPr>
              <w:t xml:space="preserve"> in India and Ethiopia.</w:t>
            </w:r>
          </w:p>
        </w:tc>
      </w:tr>
    </w:tbl>
    <w:p w14:paraId="06A71220" w14:textId="77777777" w:rsidR="00586D46" w:rsidRPr="002F0887" w:rsidRDefault="00586D46" w:rsidP="00A86845">
      <w:pPr>
        <w:spacing w:line="480" w:lineRule="auto"/>
        <w:rPr>
          <w:rFonts w:ascii="Times New Roman" w:hAnsi="Times New Roman" w:cs="Times New Roman"/>
          <w:color w:val="242021"/>
        </w:rPr>
      </w:pPr>
    </w:p>
    <w:p w14:paraId="48EB38D7" w14:textId="77777777" w:rsidR="00D358C4" w:rsidRPr="00646DC3" w:rsidRDefault="00D358C4" w:rsidP="00646DC3">
      <w:pPr>
        <w:spacing w:line="480" w:lineRule="auto"/>
        <w:rPr>
          <w:rFonts w:ascii="Times New Roman" w:hAnsi="Times New Roman" w:cs="Times New Roman"/>
          <w:color w:val="242021"/>
        </w:rPr>
      </w:pPr>
    </w:p>
    <w:sectPr w:rsidR="00D358C4" w:rsidRPr="00646DC3" w:rsidSect="005D7F1D">
      <w:pgSz w:w="15840" w:h="12240" w:orient="landscape"/>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17924" w14:textId="77777777" w:rsidR="00211614" w:rsidRDefault="00211614" w:rsidP="00E57E96">
      <w:pPr>
        <w:spacing w:after="0" w:line="240" w:lineRule="auto"/>
      </w:pPr>
      <w:r>
        <w:separator/>
      </w:r>
    </w:p>
  </w:endnote>
  <w:endnote w:type="continuationSeparator" w:id="0">
    <w:p w14:paraId="1D71B9BB" w14:textId="77777777" w:rsidR="00211614" w:rsidRDefault="00211614" w:rsidP="00E57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venirNextLTPro-Regular">
    <w:altName w:val="Cambria"/>
    <w:panose1 w:val="00000000000000000000"/>
    <w:charset w:val="00"/>
    <w:family w:val="roman"/>
    <w:notTrueType/>
    <w:pitch w:val="default"/>
  </w:font>
  <w:font w:name="AdvTTb8864ccf.B">
    <w:altName w:val="Cambria"/>
    <w:panose1 w:val="00000000000000000000"/>
    <w:charset w:val="00"/>
    <w:family w:val="roman"/>
    <w:notTrueType/>
    <w:pitch w:val="default"/>
  </w:font>
  <w:font w:name="AdvTT6120e2aa+20">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294979"/>
      <w:docPartObj>
        <w:docPartGallery w:val="Page Numbers (Bottom of Page)"/>
        <w:docPartUnique/>
      </w:docPartObj>
    </w:sdtPr>
    <w:sdtEndPr>
      <w:rPr>
        <w:noProof/>
      </w:rPr>
    </w:sdtEndPr>
    <w:sdtContent>
      <w:p w14:paraId="1E3C7198" w14:textId="67088955" w:rsidR="00E57E96" w:rsidRDefault="00E57E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9B0F55" w14:textId="77777777" w:rsidR="00E57E96" w:rsidRDefault="00E57E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4E414" w14:textId="77777777" w:rsidR="00211614" w:rsidRDefault="00211614" w:rsidP="00E57E96">
      <w:pPr>
        <w:spacing w:after="0" w:line="240" w:lineRule="auto"/>
      </w:pPr>
      <w:r>
        <w:separator/>
      </w:r>
    </w:p>
  </w:footnote>
  <w:footnote w:type="continuationSeparator" w:id="0">
    <w:p w14:paraId="31A70854" w14:textId="77777777" w:rsidR="00211614" w:rsidRDefault="00211614" w:rsidP="00E57E96">
      <w:pPr>
        <w:spacing w:after="0" w:line="240" w:lineRule="auto"/>
      </w:pPr>
      <w:r>
        <w:continuationSeparator/>
      </w:r>
    </w:p>
  </w:footnote>
  <w:footnote w:id="1">
    <w:p w14:paraId="56EA0D23" w14:textId="5678F5E9" w:rsidR="00E978C6" w:rsidRDefault="00E978C6" w:rsidP="00E978C6">
      <w:pPr>
        <w:pStyle w:val="FootnoteText"/>
      </w:pPr>
      <w:r>
        <w:rPr>
          <w:rStyle w:val="FootnoteReference"/>
        </w:rPr>
        <w:footnoteRef/>
      </w:r>
      <w:r>
        <w:t xml:space="preserve"> </w:t>
      </w:r>
      <w:r>
        <w:rPr>
          <w:rFonts w:ascii="Times New Roman" w:hAnsi="Times New Roman" w:cs="Times New Roman"/>
          <w:color w:val="242021"/>
          <w:sz w:val="24"/>
          <w:szCs w:val="24"/>
        </w:rPr>
        <w:t>government financing of an intervention irrespective of who is receiving it</w:t>
      </w:r>
      <w:r w:rsidR="00810FE7">
        <w:rPr>
          <w:rFonts w:ascii="Times New Roman" w:hAnsi="Times New Roman" w:cs="Times New Roman"/>
          <w:color w:val="242021"/>
          <w:sz w:val="24"/>
          <w:szCs w:val="24"/>
        </w:rPr>
        <w:t>.</w:t>
      </w:r>
    </w:p>
  </w:footnote>
  <w:footnote w:id="2">
    <w:p w14:paraId="7AECE3B2" w14:textId="204FF52F" w:rsidR="00544FA1" w:rsidRDefault="00544FA1">
      <w:pPr>
        <w:pStyle w:val="FootnoteText"/>
      </w:pPr>
      <w:r>
        <w:rPr>
          <w:rStyle w:val="FootnoteReference"/>
        </w:rPr>
        <w:footnoteRef/>
      </w:r>
      <w:r>
        <w:t xml:space="preserve"> </w:t>
      </w:r>
      <w:r w:rsidRPr="0003368C">
        <w:rPr>
          <w:rFonts w:ascii="Times New Roman" w:hAnsi="Times New Roman" w:cs="Times New Roman"/>
          <w:sz w:val="24"/>
          <w:szCs w:val="24"/>
        </w:rPr>
        <w:t>ensuring that people have access to the health care they need without suffering financial hardship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A4A51"/>
    <w:multiLevelType w:val="hybridMultilevel"/>
    <w:tmpl w:val="777E992C"/>
    <w:lvl w:ilvl="0" w:tplc="AE8019FC">
      <w:start w:val="1"/>
      <w:numFmt w:val="bullet"/>
      <w:lvlText w:val="•"/>
      <w:lvlJc w:val="left"/>
      <w:pPr>
        <w:tabs>
          <w:tab w:val="num" w:pos="720"/>
        </w:tabs>
        <w:ind w:left="720" w:hanging="360"/>
      </w:pPr>
      <w:rPr>
        <w:rFonts w:ascii="Times New Roman" w:hAnsi="Times New Roman" w:hint="default"/>
      </w:rPr>
    </w:lvl>
    <w:lvl w:ilvl="1" w:tplc="3BE04906" w:tentative="1">
      <w:start w:val="1"/>
      <w:numFmt w:val="bullet"/>
      <w:lvlText w:val="•"/>
      <w:lvlJc w:val="left"/>
      <w:pPr>
        <w:tabs>
          <w:tab w:val="num" w:pos="1440"/>
        </w:tabs>
        <w:ind w:left="1440" w:hanging="360"/>
      </w:pPr>
      <w:rPr>
        <w:rFonts w:ascii="Times New Roman" w:hAnsi="Times New Roman" w:hint="default"/>
      </w:rPr>
    </w:lvl>
    <w:lvl w:ilvl="2" w:tplc="F094E5A6" w:tentative="1">
      <w:start w:val="1"/>
      <w:numFmt w:val="bullet"/>
      <w:lvlText w:val="•"/>
      <w:lvlJc w:val="left"/>
      <w:pPr>
        <w:tabs>
          <w:tab w:val="num" w:pos="2160"/>
        </w:tabs>
        <w:ind w:left="2160" w:hanging="360"/>
      </w:pPr>
      <w:rPr>
        <w:rFonts w:ascii="Times New Roman" w:hAnsi="Times New Roman" w:hint="default"/>
      </w:rPr>
    </w:lvl>
    <w:lvl w:ilvl="3" w:tplc="AACCE310" w:tentative="1">
      <w:start w:val="1"/>
      <w:numFmt w:val="bullet"/>
      <w:lvlText w:val="•"/>
      <w:lvlJc w:val="left"/>
      <w:pPr>
        <w:tabs>
          <w:tab w:val="num" w:pos="2880"/>
        </w:tabs>
        <w:ind w:left="2880" w:hanging="360"/>
      </w:pPr>
      <w:rPr>
        <w:rFonts w:ascii="Times New Roman" w:hAnsi="Times New Roman" w:hint="default"/>
      </w:rPr>
    </w:lvl>
    <w:lvl w:ilvl="4" w:tplc="86223800" w:tentative="1">
      <w:start w:val="1"/>
      <w:numFmt w:val="bullet"/>
      <w:lvlText w:val="•"/>
      <w:lvlJc w:val="left"/>
      <w:pPr>
        <w:tabs>
          <w:tab w:val="num" w:pos="3600"/>
        </w:tabs>
        <w:ind w:left="3600" w:hanging="360"/>
      </w:pPr>
      <w:rPr>
        <w:rFonts w:ascii="Times New Roman" w:hAnsi="Times New Roman" w:hint="default"/>
      </w:rPr>
    </w:lvl>
    <w:lvl w:ilvl="5" w:tplc="AE50D0DE" w:tentative="1">
      <w:start w:val="1"/>
      <w:numFmt w:val="bullet"/>
      <w:lvlText w:val="•"/>
      <w:lvlJc w:val="left"/>
      <w:pPr>
        <w:tabs>
          <w:tab w:val="num" w:pos="4320"/>
        </w:tabs>
        <w:ind w:left="4320" w:hanging="360"/>
      </w:pPr>
      <w:rPr>
        <w:rFonts w:ascii="Times New Roman" w:hAnsi="Times New Roman" w:hint="default"/>
      </w:rPr>
    </w:lvl>
    <w:lvl w:ilvl="6" w:tplc="8782F19A" w:tentative="1">
      <w:start w:val="1"/>
      <w:numFmt w:val="bullet"/>
      <w:lvlText w:val="•"/>
      <w:lvlJc w:val="left"/>
      <w:pPr>
        <w:tabs>
          <w:tab w:val="num" w:pos="5040"/>
        </w:tabs>
        <w:ind w:left="5040" w:hanging="360"/>
      </w:pPr>
      <w:rPr>
        <w:rFonts w:ascii="Times New Roman" w:hAnsi="Times New Roman" w:hint="default"/>
      </w:rPr>
    </w:lvl>
    <w:lvl w:ilvl="7" w:tplc="4028CFA2" w:tentative="1">
      <w:start w:val="1"/>
      <w:numFmt w:val="bullet"/>
      <w:lvlText w:val="•"/>
      <w:lvlJc w:val="left"/>
      <w:pPr>
        <w:tabs>
          <w:tab w:val="num" w:pos="5760"/>
        </w:tabs>
        <w:ind w:left="5760" w:hanging="360"/>
      </w:pPr>
      <w:rPr>
        <w:rFonts w:ascii="Times New Roman" w:hAnsi="Times New Roman" w:hint="default"/>
      </w:rPr>
    </w:lvl>
    <w:lvl w:ilvl="8" w:tplc="0834FAF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A0655D0"/>
    <w:multiLevelType w:val="hybridMultilevel"/>
    <w:tmpl w:val="75DAB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43839"/>
    <w:multiLevelType w:val="hybridMultilevel"/>
    <w:tmpl w:val="21DAF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C40A1"/>
    <w:multiLevelType w:val="hybridMultilevel"/>
    <w:tmpl w:val="5CE64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46656C"/>
    <w:multiLevelType w:val="hybridMultilevel"/>
    <w:tmpl w:val="71B0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0A1703"/>
    <w:multiLevelType w:val="hybridMultilevel"/>
    <w:tmpl w:val="0F4C1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2716C4"/>
    <w:multiLevelType w:val="hybridMultilevel"/>
    <w:tmpl w:val="3D94B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984DAB"/>
    <w:multiLevelType w:val="hybridMultilevel"/>
    <w:tmpl w:val="AE4632A6"/>
    <w:lvl w:ilvl="0" w:tplc="BCE29F7A">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2"/>
  </w:num>
  <w:num w:numId="5">
    <w:abstractNumId w:val="4"/>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1NjAzM7SwtDAxMzBX0lEKTi0uzszPAykwqwUAxWCDgiwAAAA="/>
  </w:docVars>
  <w:rsids>
    <w:rsidRoot w:val="00117471"/>
    <w:rsid w:val="00000A89"/>
    <w:rsid w:val="0000264C"/>
    <w:rsid w:val="000038E0"/>
    <w:rsid w:val="00004E8F"/>
    <w:rsid w:val="000058AA"/>
    <w:rsid w:val="0001067D"/>
    <w:rsid w:val="00010C6C"/>
    <w:rsid w:val="00011B07"/>
    <w:rsid w:val="00011EFB"/>
    <w:rsid w:val="000125C9"/>
    <w:rsid w:val="00012B80"/>
    <w:rsid w:val="0001322A"/>
    <w:rsid w:val="00013586"/>
    <w:rsid w:val="00013B17"/>
    <w:rsid w:val="00013B83"/>
    <w:rsid w:val="000152E9"/>
    <w:rsid w:val="00015580"/>
    <w:rsid w:val="000216B1"/>
    <w:rsid w:val="00022CAB"/>
    <w:rsid w:val="000250D2"/>
    <w:rsid w:val="00025197"/>
    <w:rsid w:val="0002554E"/>
    <w:rsid w:val="00025582"/>
    <w:rsid w:val="000260D7"/>
    <w:rsid w:val="000274D7"/>
    <w:rsid w:val="00030E8F"/>
    <w:rsid w:val="00030EA2"/>
    <w:rsid w:val="00032109"/>
    <w:rsid w:val="00032478"/>
    <w:rsid w:val="00032F90"/>
    <w:rsid w:val="0003368C"/>
    <w:rsid w:val="000337A3"/>
    <w:rsid w:val="00033B57"/>
    <w:rsid w:val="00033F3C"/>
    <w:rsid w:val="00034466"/>
    <w:rsid w:val="00035492"/>
    <w:rsid w:val="00035A77"/>
    <w:rsid w:val="0003647E"/>
    <w:rsid w:val="00036CDD"/>
    <w:rsid w:val="000402AA"/>
    <w:rsid w:val="0004107D"/>
    <w:rsid w:val="00041CE3"/>
    <w:rsid w:val="000432D9"/>
    <w:rsid w:val="00043549"/>
    <w:rsid w:val="0004390C"/>
    <w:rsid w:val="00044AF3"/>
    <w:rsid w:val="00045912"/>
    <w:rsid w:val="000507C1"/>
    <w:rsid w:val="00051B12"/>
    <w:rsid w:val="00055202"/>
    <w:rsid w:val="00055673"/>
    <w:rsid w:val="00055C49"/>
    <w:rsid w:val="00055E4E"/>
    <w:rsid w:val="000570DC"/>
    <w:rsid w:val="00057F6E"/>
    <w:rsid w:val="0006086D"/>
    <w:rsid w:val="00061818"/>
    <w:rsid w:val="00061849"/>
    <w:rsid w:val="00061FBB"/>
    <w:rsid w:val="000627D2"/>
    <w:rsid w:val="00063287"/>
    <w:rsid w:val="00063E3B"/>
    <w:rsid w:val="00064247"/>
    <w:rsid w:val="000648C8"/>
    <w:rsid w:val="00065BD6"/>
    <w:rsid w:val="0006670F"/>
    <w:rsid w:val="00067363"/>
    <w:rsid w:val="000731E5"/>
    <w:rsid w:val="00073748"/>
    <w:rsid w:val="00075344"/>
    <w:rsid w:val="00075AF6"/>
    <w:rsid w:val="00075DAA"/>
    <w:rsid w:val="00077058"/>
    <w:rsid w:val="0007714A"/>
    <w:rsid w:val="0007784A"/>
    <w:rsid w:val="00080346"/>
    <w:rsid w:val="00080DC9"/>
    <w:rsid w:val="000815D8"/>
    <w:rsid w:val="00081771"/>
    <w:rsid w:val="0008189D"/>
    <w:rsid w:val="00081927"/>
    <w:rsid w:val="000823C5"/>
    <w:rsid w:val="00083911"/>
    <w:rsid w:val="000842C2"/>
    <w:rsid w:val="000842F3"/>
    <w:rsid w:val="0008580B"/>
    <w:rsid w:val="0008598F"/>
    <w:rsid w:val="00085E8D"/>
    <w:rsid w:val="00086C1E"/>
    <w:rsid w:val="00086E82"/>
    <w:rsid w:val="00087134"/>
    <w:rsid w:val="00090975"/>
    <w:rsid w:val="00091BF0"/>
    <w:rsid w:val="000932E6"/>
    <w:rsid w:val="0009361D"/>
    <w:rsid w:val="00093665"/>
    <w:rsid w:val="0009608A"/>
    <w:rsid w:val="00096CD9"/>
    <w:rsid w:val="00097C2A"/>
    <w:rsid w:val="000A07A1"/>
    <w:rsid w:val="000A2061"/>
    <w:rsid w:val="000A2462"/>
    <w:rsid w:val="000A3D71"/>
    <w:rsid w:val="000A451B"/>
    <w:rsid w:val="000A4757"/>
    <w:rsid w:val="000A5671"/>
    <w:rsid w:val="000A61AC"/>
    <w:rsid w:val="000A64CE"/>
    <w:rsid w:val="000A6D5F"/>
    <w:rsid w:val="000B02A9"/>
    <w:rsid w:val="000B231F"/>
    <w:rsid w:val="000B434D"/>
    <w:rsid w:val="000B43D9"/>
    <w:rsid w:val="000B4AB9"/>
    <w:rsid w:val="000B505A"/>
    <w:rsid w:val="000B5DA2"/>
    <w:rsid w:val="000B6D0B"/>
    <w:rsid w:val="000B6E59"/>
    <w:rsid w:val="000B7097"/>
    <w:rsid w:val="000B7323"/>
    <w:rsid w:val="000B7532"/>
    <w:rsid w:val="000B7E61"/>
    <w:rsid w:val="000B7FF1"/>
    <w:rsid w:val="000C0899"/>
    <w:rsid w:val="000C0C24"/>
    <w:rsid w:val="000C11CB"/>
    <w:rsid w:val="000C1432"/>
    <w:rsid w:val="000C1B53"/>
    <w:rsid w:val="000C2536"/>
    <w:rsid w:val="000C4349"/>
    <w:rsid w:val="000C4EE4"/>
    <w:rsid w:val="000C5291"/>
    <w:rsid w:val="000C53BB"/>
    <w:rsid w:val="000C5B2A"/>
    <w:rsid w:val="000C61EC"/>
    <w:rsid w:val="000C630A"/>
    <w:rsid w:val="000C6CA2"/>
    <w:rsid w:val="000D01A2"/>
    <w:rsid w:val="000D0E45"/>
    <w:rsid w:val="000D0FEC"/>
    <w:rsid w:val="000D2115"/>
    <w:rsid w:val="000D3F2B"/>
    <w:rsid w:val="000D57BE"/>
    <w:rsid w:val="000D603D"/>
    <w:rsid w:val="000D6091"/>
    <w:rsid w:val="000E138B"/>
    <w:rsid w:val="000E20E3"/>
    <w:rsid w:val="000E26E5"/>
    <w:rsid w:val="000E2B64"/>
    <w:rsid w:val="000E4122"/>
    <w:rsid w:val="000E44F6"/>
    <w:rsid w:val="000E56E0"/>
    <w:rsid w:val="000E59D1"/>
    <w:rsid w:val="000E5E15"/>
    <w:rsid w:val="000E6168"/>
    <w:rsid w:val="000E7023"/>
    <w:rsid w:val="000F18A8"/>
    <w:rsid w:val="000F2BDF"/>
    <w:rsid w:val="000F47E2"/>
    <w:rsid w:val="000F5460"/>
    <w:rsid w:val="000F5C1D"/>
    <w:rsid w:val="000F7A93"/>
    <w:rsid w:val="00100700"/>
    <w:rsid w:val="00100CF7"/>
    <w:rsid w:val="00100EFE"/>
    <w:rsid w:val="0010184B"/>
    <w:rsid w:val="00102237"/>
    <w:rsid w:val="00103307"/>
    <w:rsid w:val="00105ACB"/>
    <w:rsid w:val="00107A33"/>
    <w:rsid w:val="00107D5E"/>
    <w:rsid w:val="0011026C"/>
    <w:rsid w:val="001128AC"/>
    <w:rsid w:val="001129E8"/>
    <w:rsid w:val="00113BD3"/>
    <w:rsid w:val="00115329"/>
    <w:rsid w:val="00117471"/>
    <w:rsid w:val="00117A5F"/>
    <w:rsid w:val="00120E82"/>
    <w:rsid w:val="00120F0B"/>
    <w:rsid w:val="00120F2A"/>
    <w:rsid w:val="0012101C"/>
    <w:rsid w:val="0012105C"/>
    <w:rsid w:val="001213A8"/>
    <w:rsid w:val="00122606"/>
    <w:rsid w:val="00123BCC"/>
    <w:rsid w:val="00125387"/>
    <w:rsid w:val="00125A9C"/>
    <w:rsid w:val="00127141"/>
    <w:rsid w:val="00127654"/>
    <w:rsid w:val="00127913"/>
    <w:rsid w:val="00127A45"/>
    <w:rsid w:val="001311FC"/>
    <w:rsid w:val="00131821"/>
    <w:rsid w:val="00133B20"/>
    <w:rsid w:val="00133E37"/>
    <w:rsid w:val="001346DB"/>
    <w:rsid w:val="00134E2F"/>
    <w:rsid w:val="00136549"/>
    <w:rsid w:val="00136805"/>
    <w:rsid w:val="00136CD6"/>
    <w:rsid w:val="0014073D"/>
    <w:rsid w:val="00140EA6"/>
    <w:rsid w:val="001415A3"/>
    <w:rsid w:val="001420C9"/>
    <w:rsid w:val="001423A2"/>
    <w:rsid w:val="00142FC1"/>
    <w:rsid w:val="00143002"/>
    <w:rsid w:val="00143759"/>
    <w:rsid w:val="00143E58"/>
    <w:rsid w:val="001442C7"/>
    <w:rsid w:val="00144AB4"/>
    <w:rsid w:val="00145408"/>
    <w:rsid w:val="001507A7"/>
    <w:rsid w:val="00150FB7"/>
    <w:rsid w:val="00151D95"/>
    <w:rsid w:val="00152422"/>
    <w:rsid w:val="00153BDA"/>
    <w:rsid w:val="00154BE7"/>
    <w:rsid w:val="00155881"/>
    <w:rsid w:val="0015588A"/>
    <w:rsid w:val="001646D4"/>
    <w:rsid w:val="001660A7"/>
    <w:rsid w:val="00166122"/>
    <w:rsid w:val="00166439"/>
    <w:rsid w:val="0016648D"/>
    <w:rsid w:val="00170B17"/>
    <w:rsid w:val="00172283"/>
    <w:rsid w:val="00172C88"/>
    <w:rsid w:val="00173867"/>
    <w:rsid w:val="00173963"/>
    <w:rsid w:val="00173BE6"/>
    <w:rsid w:val="00173E3B"/>
    <w:rsid w:val="0017501D"/>
    <w:rsid w:val="0017502A"/>
    <w:rsid w:val="0017552A"/>
    <w:rsid w:val="00175EFB"/>
    <w:rsid w:val="001763A5"/>
    <w:rsid w:val="001768E0"/>
    <w:rsid w:val="00180874"/>
    <w:rsid w:val="00180A2B"/>
    <w:rsid w:val="00181659"/>
    <w:rsid w:val="001817A6"/>
    <w:rsid w:val="0018300B"/>
    <w:rsid w:val="0018355F"/>
    <w:rsid w:val="00185F38"/>
    <w:rsid w:val="00190245"/>
    <w:rsid w:val="001904D5"/>
    <w:rsid w:val="00192437"/>
    <w:rsid w:val="00192B7E"/>
    <w:rsid w:val="00194952"/>
    <w:rsid w:val="0019506A"/>
    <w:rsid w:val="001950A9"/>
    <w:rsid w:val="00195A8E"/>
    <w:rsid w:val="00195AC9"/>
    <w:rsid w:val="00195B4D"/>
    <w:rsid w:val="00196335"/>
    <w:rsid w:val="00196916"/>
    <w:rsid w:val="00196FF1"/>
    <w:rsid w:val="0019706E"/>
    <w:rsid w:val="001A0467"/>
    <w:rsid w:val="001A417B"/>
    <w:rsid w:val="001A4329"/>
    <w:rsid w:val="001A4F99"/>
    <w:rsid w:val="001A5221"/>
    <w:rsid w:val="001A52BF"/>
    <w:rsid w:val="001A6675"/>
    <w:rsid w:val="001A783C"/>
    <w:rsid w:val="001B0EAA"/>
    <w:rsid w:val="001B113B"/>
    <w:rsid w:val="001B1DF4"/>
    <w:rsid w:val="001B27F0"/>
    <w:rsid w:val="001C0726"/>
    <w:rsid w:val="001C2D7E"/>
    <w:rsid w:val="001C31A4"/>
    <w:rsid w:val="001D0ABD"/>
    <w:rsid w:val="001D11F8"/>
    <w:rsid w:val="001D23CA"/>
    <w:rsid w:val="001D2506"/>
    <w:rsid w:val="001D2686"/>
    <w:rsid w:val="001D2A02"/>
    <w:rsid w:val="001D314E"/>
    <w:rsid w:val="001D323B"/>
    <w:rsid w:val="001D3D08"/>
    <w:rsid w:val="001D48CD"/>
    <w:rsid w:val="001D5FCD"/>
    <w:rsid w:val="001D64FB"/>
    <w:rsid w:val="001D72CD"/>
    <w:rsid w:val="001D7F15"/>
    <w:rsid w:val="001E02E5"/>
    <w:rsid w:val="001E0315"/>
    <w:rsid w:val="001E1784"/>
    <w:rsid w:val="001E2C12"/>
    <w:rsid w:val="001E4B91"/>
    <w:rsid w:val="001E71B0"/>
    <w:rsid w:val="001E72A4"/>
    <w:rsid w:val="001E79C5"/>
    <w:rsid w:val="001E7F0F"/>
    <w:rsid w:val="001F1143"/>
    <w:rsid w:val="001F2A6B"/>
    <w:rsid w:val="001F31DE"/>
    <w:rsid w:val="001F41F3"/>
    <w:rsid w:val="001F44D0"/>
    <w:rsid w:val="001F4ECF"/>
    <w:rsid w:val="001F5546"/>
    <w:rsid w:val="001F70FD"/>
    <w:rsid w:val="001F7513"/>
    <w:rsid w:val="001F7F80"/>
    <w:rsid w:val="00200549"/>
    <w:rsid w:val="00202032"/>
    <w:rsid w:val="00203384"/>
    <w:rsid w:val="00205F40"/>
    <w:rsid w:val="00206260"/>
    <w:rsid w:val="002070B1"/>
    <w:rsid w:val="0021076A"/>
    <w:rsid w:val="00211614"/>
    <w:rsid w:val="00212516"/>
    <w:rsid w:val="00212CF0"/>
    <w:rsid w:val="00212D7E"/>
    <w:rsid w:val="002131DD"/>
    <w:rsid w:val="0021442B"/>
    <w:rsid w:val="00214577"/>
    <w:rsid w:val="00215D02"/>
    <w:rsid w:val="00215F0F"/>
    <w:rsid w:val="00216214"/>
    <w:rsid w:val="0021640F"/>
    <w:rsid w:val="002164C9"/>
    <w:rsid w:val="002164D8"/>
    <w:rsid w:val="00217201"/>
    <w:rsid w:val="0022034D"/>
    <w:rsid w:val="002203F1"/>
    <w:rsid w:val="00220B89"/>
    <w:rsid w:val="00220CA8"/>
    <w:rsid w:val="00220E09"/>
    <w:rsid w:val="002211C8"/>
    <w:rsid w:val="0022140F"/>
    <w:rsid w:val="00221D89"/>
    <w:rsid w:val="00222ABD"/>
    <w:rsid w:val="00223507"/>
    <w:rsid w:val="00224029"/>
    <w:rsid w:val="002259F7"/>
    <w:rsid w:val="002272DF"/>
    <w:rsid w:val="00230CB7"/>
    <w:rsid w:val="002313D0"/>
    <w:rsid w:val="0023215E"/>
    <w:rsid w:val="0023312B"/>
    <w:rsid w:val="00233433"/>
    <w:rsid w:val="002336A4"/>
    <w:rsid w:val="00233BBC"/>
    <w:rsid w:val="00236911"/>
    <w:rsid w:val="002401BE"/>
    <w:rsid w:val="00242A86"/>
    <w:rsid w:val="00242CA6"/>
    <w:rsid w:val="00243312"/>
    <w:rsid w:val="002433E6"/>
    <w:rsid w:val="00244A76"/>
    <w:rsid w:val="00245F5C"/>
    <w:rsid w:val="002507D6"/>
    <w:rsid w:val="00252901"/>
    <w:rsid w:val="00253940"/>
    <w:rsid w:val="00256B3C"/>
    <w:rsid w:val="00257E08"/>
    <w:rsid w:val="00261631"/>
    <w:rsid w:val="00262B53"/>
    <w:rsid w:val="002659EF"/>
    <w:rsid w:val="00265D8C"/>
    <w:rsid w:val="00266606"/>
    <w:rsid w:val="00266717"/>
    <w:rsid w:val="00266946"/>
    <w:rsid w:val="00267AD9"/>
    <w:rsid w:val="00271984"/>
    <w:rsid w:val="0027259C"/>
    <w:rsid w:val="00272C9A"/>
    <w:rsid w:val="00274545"/>
    <w:rsid w:val="00274CA4"/>
    <w:rsid w:val="00276457"/>
    <w:rsid w:val="00277748"/>
    <w:rsid w:val="002802CF"/>
    <w:rsid w:val="0028384C"/>
    <w:rsid w:val="00283CA0"/>
    <w:rsid w:val="002855D5"/>
    <w:rsid w:val="002856E0"/>
    <w:rsid w:val="00285E3C"/>
    <w:rsid w:val="002868F3"/>
    <w:rsid w:val="0028692D"/>
    <w:rsid w:val="00287F50"/>
    <w:rsid w:val="00290298"/>
    <w:rsid w:val="00291395"/>
    <w:rsid w:val="00291CA8"/>
    <w:rsid w:val="00292916"/>
    <w:rsid w:val="00293486"/>
    <w:rsid w:val="0029461E"/>
    <w:rsid w:val="00294BA9"/>
    <w:rsid w:val="0029549E"/>
    <w:rsid w:val="002977A0"/>
    <w:rsid w:val="00297F81"/>
    <w:rsid w:val="002A19A1"/>
    <w:rsid w:val="002A36BB"/>
    <w:rsid w:val="002A71A3"/>
    <w:rsid w:val="002A7563"/>
    <w:rsid w:val="002A7767"/>
    <w:rsid w:val="002B0D18"/>
    <w:rsid w:val="002B1678"/>
    <w:rsid w:val="002B2DE5"/>
    <w:rsid w:val="002B75B6"/>
    <w:rsid w:val="002C01D3"/>
    <w:rsid w:val="002C3603"/>
    <w:rsid w:val="002C38A7"/>
    <w:rsid w:val="002C5716"/>
    <w:rsid w:val="002C63E5"/>
    <w:rsid w:val="002C7239"/>
    <w:rsid w:val="002C73E0"/>
    <w:rsid w:val="002D0AEE"/>
    <w:rsid w:val="002D1592"/>
    <w:rsid w:val="002D1E93"/>
    <w:rsid w:val="002D24C1"/>
    <w:rsid w:val="002D256C"/>
    <w:rsid w:val="002D445A"/>
    <w:rsid w:val="002D468D"/>
    <w:rsid w:val="002D4807"/>
    <w:rsid w:val="002D4B10"/>
    <w:rsid w:val="002D5CCC"/>
    <w:rsid w:val="002D6185"/>
    <w:rsid w:val="002D6665"/>
    <w:rsid w:val="002D741E"/>
    <w:rsid w:val="002D74BE"/>
    <w:rsid w:val="002D7EF6"/>
    <w:rsid w:val="002E00C7"/>
    <w:rsid w:val="002E1229"/>
    <w:rsid w:val="002E1B32"/>
    <w:rsid w:val="002E2A8D"/>
    <w:rsid w:val="002E3630"/>
    <w:rsid w:val="002E3DC5"/>
    <w:rsid w:val="002E511F"/>
    <w:rsid w:val="002E5B80"/>
    <w:rsid w:val="002E6CEF"/>
    <w:rsid w:val="002E73F9"/>
    <w:rsid w:val="002F0887"/>
    <w:rsid w:val="002F12F1"/>
    <w:rsid w:val="002F2996"/>
    <w:rsid w:val="002F3B9F"/>
    <w:rsid w:val="002F4BF8"/>
    <w:rsid w:val="002F541A"/>
    <w:rsid w:val="002F5918"/>
    <w:rsid w:val="002F653D"/>
    <w:rsid w:val="002F7051"/>
    <w:rsid w:val="002F7062"/>
    <w:rsid w:val="00300817"/>
    <w:rsid w:val="00300A4F"/>
    <w:rsid w:val="00304351"/>
    <w:rsid w:val="003055DC"/>
    <w:rsid w:val="003058B9"/>
    <w:rsid w:val="003064F6"/>
    <w:rsid w:val="00307046"/>
    <w:rsid w:val="00307908"/>
    <w:rsid w:val="00310A26"/>
    <w:rsid w:val="0031304B"/>
    <w:rsid w:val="003140A3"/>
    <w:rsid w:val="00315105"/>
    <w:rsid w:val="00315629"/>
    <w:rsid w:val="00315B69"/>
    <w:rsid w:val="00316076"/>
    <w:rsid w:val="003211C0"/>
    <w:rsid w:val="0032200A"/>
    <w:rsid w:val="00322EE7"/>
    <w:rsid w:val="00322F22"/>
    <w:rsid w:val="00323156"/>
    <w:rsid w:val="003235D7"/>
    <w:rsid w:val="00325CE4"/>
    <w:rsid w:val="00326FC4"/>
    <w:rsid w:val="00327BCB"/>
    <w:rsid w:val="00327E73"/>
    <w:rsid w:val="00330336"/>
    <w:rsid w:val="00330A7F"/>
    <w:rsid w:val="0033107E"/>
    <w:rsid w:val="00332002"/>
    <w:rsid w:val="0033216B"/>
    <w:rsid w:val="00333088"/>
    <w:rsid w:val="0033329D"/>
    <w:rsid w:val="0033359C"/>
    <w:rsid w:val="003341E3"/>
    <w:rsid w:val="0033432B"/>
    <w:rsid w:val="00334F6C"/>
    <w:rsid w:val="00334FC1"/>
    <w:rsid w:val="003401D6"/>
    <w:rsid w:val="003453D2"/>
    <w:rsid w:val="00347704"/>
    <w:rsid w:val="0035017E"/>
    <w:rsid w:val="00350876"/>
    <w:rsid w:val="00350FA9"/>
    <w:rsid w:val="00351138"/>
    <w:rsid w:val="003517BB"/>
    <w:rsid w:val="003523C8"/>
    <w:rsid w:val="00352408"/>
    <w:rsid w:val="00352F57"/>
    <w:rsid w:val="00353200"/>
    <w:rsid w:val="003538D1"/>
    <w:rsid w:val="00354C17"/>
    <w:rsid w:val="00355199"/>
    <w:rsid w:val="00360740"/>
    <w:rsid w:val="00360A3F"/>
    <w:rsid w:val="00360D0A"/>
    <w:rsid w:val="0036167A"/>
    <w:rsid w:val="00363575"/>
    <w:rsid w:val="003636F1"/>
    <w:rsid w:val="003642D5"/>
    <w:rsid w:val="00364468"/>
    <w:rsid w:val="003661C8"/>
    <w:rsid w:val="0036718F"/>
    <w:rsid w:val="00367331"/>
    <w:rsid w:val="00367423"/>
    <w:rsid w:val="003674C2"/>
    <w:rsid w:val="00367505"/>
    <w:rsid w:val="003701B7"/>
    <w:rsid w:val="00370302"/>
    <w:rsid w:val="003729B0"/>
    <w:rsid w:val="00374B27"/>
    <w:rsid w:val="0037514A"/>
    <w:rsid w:val="003751A7"/>
    <w:rsid w:val="003755F1"/>
    <w:rsid w:val="00375CAA"/>
    <w:rsid w:val="00375E38"/>
    <w:rsid w:val="0037656C"/>
    <w:rsid w:val="00376E72"/>
    <w:rsid w:val="00377788"/>
    <w:rsid w:val="00380419"/>
    <w:rsid w:val="00380E3F"/>
    <w:rsid w:val="0038114C"/>
    <w:rsid w:val="00381D14"/>
    <w:rsid w:val="00381EAD"/>
    <w:rsid w:val="0038210F"/>
    <w:rsid w:val="003826F9"/>
    <w:rsid w:val="00382B71"/>
    <w:rsid w:val="003838FB"/>
    <w:rsid w:val="00384143"/>
    <w:rsid w:val="00385A8C"/>
    <w:rsid w:val="003860EA"/>
    <w:rsid w:val="0038702C"/>
    <w:rsid w:val="003913D8"/>
    <w:rsid w:val="0039150F"/>
    <w:rsid w:val="003916B4"/>
    <w:rsid w:val="00391A41"/>
    <w:rsid w:val="00392B24"/>
    <w:rsid w:val="003933DF"/>
    <w:rsid w:val="003936C0"/>
    <w:rsid w:val="003944F0"/>
    <w:rsid w:val="00394CF3"/>
    <w:rsid w:val="0039529A"/>
    <w:rsid w:val="00395341"/>
    <w:rsid w:val="00395374"/>
    <w:rsid w:val="00395862"/>
    <w:rsid w:val="00395D3D"/>
    <w:rsid w:val="00396983"/>
    <w:rsid w:val="00396D08"/>
    <w:rsid w:val="0039713C"/>
    <w:rsid w:val="003A069C"/>
    <w:rsid w:val="003A0A78"/>
    <w:rsid w:val="003A1B82"/>
    <w:rsid w:val="003A2180"/>
    <w:rsid w:val="003A3322"/>
    <w:rsid w:val="003A4787"/>
    <w:rsid w:val="003A55CE"/>
    <w:rsid w:val="003A6A8C"/>
    <w:rsid w:val="003A6B15"/>
    <w:rsid w:val="003A6F40"/>
    <w:rsid w:val="003A74F1"/>
    <w:rsid w:val="003B0479"/>
    <w:rsid w:val="003B0547"/>
    <w:rsid w:val="003B08D3"/>
    <w:rsid w:val="003B0FD3"/>
    <w:rsid w:val="003B1059"/>
    <w:rsid w:val="003B1528"/>
    <w:rsid w:val="003B18DE"/>
    <w:rsid w:val="003B1EB2"/>
    <w:rsid w:val="003B372B"/>
    <w:rsid w:val="003B40AE"/>
    <w:rsid w:val="003B50F6"/>
    <w:rsid w:val="003B57FC"/>
    <w:rsid w:val="003B666F"/>
    <w:rsid w:val="003B6BEA"/>
    <w:rsid w:val="003B7328"/>
    <w:rsid w:val="003B7E7C"/>
    <w:rsid w:val="003C0C04"/>
    <w:rsid w:val="003C1E66"/>
    <w:rsid w:val="003C2D96"/>
    <w:rsid w:val="003C339C"/>
    <w:rsid w:val="003C4DA0"/>
    <w:rsid w:val="003C745E"/>
    <w:rsid w:val="003D0053"/>
    <w:rsid w:val="003D0513"/>
    <w:rsid w:val="003D14C9"/>
    <w:rsid w:val="003D2CF6"/>
    <w:rsid w:val="003D33D7"/>
    <w:rsid w:val="003D3BB0"/>
    <w:rsid w:val="003D4CAE"/>
    <w:rsid w:val="003D5B13"/>
    <w:rsid w:val="003D69FD"/>
    <w:rsid w:val="003D7409"/>
    <w:rsid w:val="003E0800"/>
    <w:rsid w:val="003E620C"/>
    <w:rsid w:val="003F0CCA"/>
    <w:rsid w:val="003F33A5"/>
    <w:rsid w:val="003F3DC5"/>
    <w:rsid w:val="003F3F82"/>
    <w:rsid w:val="003F40B0"/>
    <w:rsid w:val="003F4D49"/>
    <w:rsid w:val="003F5034"/>
    <w:rsid w:val="003F5765"/>
    <w:rsid w:val="003F5E34"/>
    <w:rsid w:val="003F6D42"/>
    <w:rsid w:val="003F7245"/>
    <w:rsid w:val="004013C7"/>
    <w:rsid w:val="00403477"/>
    <w:rsid w:val="00403822"/>
    <w:rsid w:val="0040497D"/>
    <w:rsid w:val="004059A2"/>
    <w:rsid w:val="00405A14"/>
    <w:rsid w:val="00412AA9"/>
    <w:rsid w:val="00412C27"/>
    <w:rsid w:val="00412F18"/>
    <w:rsid w:val="00413603"/>
    <w:rsid w:val="00416419"/>
    <w:rsid w:val="00417BE9"/>
    <w:rsid w:val="00421467"/>
    <w:rsid w:val="0042243F"/>
    <w:rsid w:val="00422ABB"/>
    <w:rsid w:val="00422DC0"/>
    <w:rsid w:val="00423343"/>
    <w:rsid w:val="004233EE"/>
    <w:rsid w:val="00424E2E"/>
    <w:rsid w:val="0042647A"/>
    <w:rsid w:val="00431DA8"/>
    <w:rsid w:val="00431EDC"/>
    <w:rsid w:val="004320D7"/>
    <w:rsid w:val="004321EE"/>
    <w:rsid w:val="0043237E"/>
    <w:rsid w:val="0043596C"/>
    <w:rsid w:val="00435CD3"/>
    <w:rsid w:val="004360D7"/>
    <w:rsid w:val="004366D4"/>
    <w:rsid w:val="00437072"/>
    <w:rsid w:val="00437D1B"/>
    <w:rsid w:val="00440B48"/>
    <w:rsid w:val="004425AA"/>
    <w:rsid w:val="00442A38"/>
    <w:rsid w:val="00442BAF"/>
    <w:rsid w:val="0044365E"/>
    <w:rsid w:val="00443B27"/>
    <w:rsid w:val="004441D3"/>
    <w:rsid w:val="00445D0A"/>
    <w:rsid w:val="00446F25"/>
    <w:rsid w:val="00447886"/>
    <w:rsid w:val="00450A5C"/>
    <w:rsid w:val="00451E18"/>
    <w:rsid w:val="00452216"/>
    <w:rsid w:val="00452816"/>
    <w:rsid w:val="00453F1F"/>
    <w:rsid w:val="00456853"/>
    <w:rsid w:val="004570C6"/>
    <w:rsid w:val="004603BF"/>
    <w:rsid w:val="004605E2"/>
    <w:rsid w:val="004609BB"/>
    <w:rsid w:val="004610FD"/>
    <w:rsid w:val="00461882"/>
    <w:rsid w:val="00463143"/>
    <w:rsid w:val="00463344"/>
    <w:rsid w:val="00463F20"/>
    <w:rsid w:val="0046418D"/>
    <w:rsid w:val="00464AD3"/>
    <w:rsid w:val="00464DB7"/>
    <w:rsid w:val="00465EBA"/>
    <w:rsid w:val="00466084"/>
    <w:rsid w:val="00466307"/>
    <w:rsid w:val="00466350"/>
    <w:rsid w:val="00466A97"/>
    <w:rsid w:val="00466B86"/>
    <w:rsid w:val="00467438"/>
    <w:rsid w:val="00467FCB"/>
    <w:rsid w:val="004700E2"/>
    <w:rsid w:val="00470590"/>
    <w:rsid w:val="004718E8"/>
    <w:rsid w:val="004732F1"/>
    <w:rsid w:val="004747F0"/>
    <w:rsid w:val="00475E8E"/>
    <w:rsid w:val="00476F41"/>
    <w:rsid w:val="00477A42"/>
    <w:rsid w:val="00477EC7"/>
    <w:rsid w:val="004821D2"/>
    <w:rsid w:val="00482FA0"/>
    <w:rsid w:val="00483EB8"/>
    <w:rsid w:val="0048487F"/>
    <w:rsid w:val="00484E3E"/>
    <w:rsid w:val="0048695E"/>
    <w:rsid w:val="00487A12"/>
    <w:rsid w:val="004908A2"/>
    <w:rsid w:val="00491745"/>
    <w:rsid w:val="00493894"/>
    <w:rsid w:val="0049393A"/>
    <w:rsid w:val="00494FA5"/>
    <w:rsid w:val="00495913"/>
    <w:rsid w:val="00495A74"/>
    <w:rsid w:val="00495F55"/>
    <w:rsid w:val="0049694C"/>
    <w:rsid w:val="004A0709"/>
    <w:rsid w:val="004A0C5F"/>
    <w:rsid w:val="004A1012"/>
    <w:rsid w:val="004A1529"/>
    <w:rsid w:val="004A17F2"/>
    <w:rsid w:val="004A1E00"/>
    <w:rsid w:val="004A5967"/>
    <w:rsid w:val="004A7B9F"/>
    <w:rsid w:val="004B111B"/>
    <w:rsid w:val="004B18F1"/>
    <w:rsid w:val="004B1A00"/>
    <w:rsid w:val="004B2580"/>
    <w:rsid w:val="004B3770"/>
    <w:rsid w:val="004B5B37"/>
    <w:rsid w:val="004B5C00"/>
    <w:rsid w:val="004B7BF3"/>
    <w:rsid w:val="004C03E2"/>
    <w:rsid w:val="004C1371"/>
    <w:rsid w:val="004C2B60"/>
    <w:rsid w:val="004C3F8B"/>
    <w:rsid w:val="004C5621"/>
    <w:rsid w:val="004C634B"/>
    <w:rsid w:val="004C642A"/>
    <w:rsid w:val="004C6591"/>
    <w:rsid w:val="004C740A"/>
    <w:rsid w:val="004C750E"/>
    <w:rsid w:val="004C7D15"/>
    <w:rsid w:val="004D0287"/>
    <w:rsid w:val="004D22D4"/>
    <w:rsid w:val="004D401C"/>
    <w:rsid w:val="004D42A9"/>
    <w:rsid w:val="004D478D"/>
    <w:rsid w:val="004D51ED"/>
    <w:rsid w:val="004D7FA7"/>
    <w:rsid w:val="004E0255"/>
    <w:rsid w:val="004E0356"/>
    <w:rsid w:val="004E0C68"/>
    <w:rsid w:val="004E1025"/>
    <w:rsid w:val="004E580B"/>
    <w:rsid w:val="004E67D5"/>
    <w:rsid w:val="004E6A4F"/>
    <w:rsid w:val="004E75EB"/>
    <w:rsid w:val="004E79F6"/>
    <w:rsid w:val="004E7B04"/>
    <w:rsid w:val="004F2268"/>
    <w:rsid w:val="004F25E3"/>
    <w:rsid w:val="004F2A4A"/>
    <w:rsid w:val="00500705"/>
    <w:rsid w:val="00501D41"/>
    <w:rsid w:val="0050285E"/>
    <w:rsid w:val="00503268"/>
    <w:rsid w:val="00503359"/>
    <w:rsid w:val="0050395D"/>
    <w:rsid w:val="00503C1D"/>
    <w:rsid w:val="00503CD6"/>
    <w:rsid w:val="00505EE0"/>
    <w:rsid w:val="00506B21"/>
    <w:rsid w:val="005076E4"/>
    <w:rsid w:val="0051186A"/>
    <w:rsid w:val="00511D42"/>
    <w:rsid w:val="00512DC9"/>
    <w:rsid w:val="00513BE7"/>
    <w:rsid w:val="00515218"/>
    <w:rsid w:val="00515E73"/>
    <w:rsid w:val="005162A3"/>
    <w:rsid w:val="00516B18"/>
    <w:rsid w:val="005178F8"/>
    <w:rsid w:val="005203C8"/>
    <w:rsid w:val="00521893"/>
    <w:rsid w:val="00521FC8"/>
    <w:rsid w:val="00525B66"/>
    <w:rsid w:val="00525E3F"/>
    <w:rsid w:val="005302E6"/>
    <w:rsid w:val="00530C25"/>
    <w:rsid w:val="005315E9"/>
    <w:rsid w:val="00533CD7"/>
    <w:rsid w:val="00534CB0"/>
    <w:rsid w:val="00534D09"/>
    <w:rsid w:val="005354D0"/>
    <w:rsid w:val="00535F6F"/>
    <w:rsid w:val="00536003"/>
    <w:rsid w:val="0053643B"/>
    <w:rsid w:val="005365AD"/>
    <w:rsid w:val="0054012B"/>
    <w:rsid w:val="005408DE"/>
    <w:rsid w:val="00542662"/>
    <w:rsid w:val="00543040"/>
    <w:rsid w:val="00544659"/>
    <w:rsid w:val="00544FA1"/>
    <w:rsid w:val="00545163"/>
    <w:rsid w:val="005456B8"/>
    <w:rsid w:val="00547D70"/>
    <w:rsid w:val="0055332D"/>
    <w:rsid w:val="00555069"/>
    <w:rsid w:val="00555968"/>
    <w:rsid w:val="005559CF"/>
    <w:rsid w:val="00555F04"/>
    <w:rsid w:val="00556874"/>
    <w:rsid w:val="00557BAC"/>
    <w:rsid w:val="00560DD3"/>
    <w:rsid w:val="00560EDF"/>
    <w:rsid w:val="00561778"/>
    <w:rsid w:val="00561792"/>
    <w:rsid w:val="00561CBF"/>
    <w:rsid w:val="00561F2F"/>
    <w:rsid w:val="0056218A"/>
    <w:rsid w:val="00565C49"/>
    <w:rsid w:val="00565C75"/>
    <w:rsid w:val="00566B21"/>
    <w:rsid w:val="0056734F"/>
    <w:rsid w:val="005675D1"/>
    <w:rsid w:val="005678CC"/>
    <w:rsid w:val="00570195"/>
    <w:rsid w:val="005721F2"/>
    <w:rsid w:val="00572642"/>
    <w:rsid w:val="00573585"/>
    <w:rsid w:val="00573C4D"/>
    <w:rsid w:val="0057452B"/>
    <w:rsid w:val="00575566"/>
    <w:rsid w:val="0057668D"/>
    <w:rsid w:val="00580086"/>
    <w:rsid w:val="00580715"/>
    <w:rsid w:val="00580A5C"/>
    <w:rsid w:val="00580EC9"/>
    <w:rsid w:val="005837D0"/>
    <w:rsid w:val="00583F49"/>
    <w:rsid w:val="00584788"/>
    <w:rsid w:val="00584805"/>
    <w:rsid w:val="00584A64"/>
    <w:rsid w:val="005855B8"/>
    <w:rsid w:val="00586839"/>
    <w:rsid w:val="00586D46"/>
    <w:rsid w:val="0058716A"/>
    <w:rsid w:val="005872F3"/>
    <w:rsid w:val="00587485"/>
    <w:rsid w:val="0059083B"/>
    <w:rsid w:val="005925E2"/>
    <w:rsid w:val="005927F9"/>
    <w:rsid w:val="00592B2F"/>
    <w:rsid w:val="00593380"/>
    <w:rsid w:val="00594364"/>
    <w:rsid w:val="005944D1"/>
    <w:rsid w:val="00595341"/>
    <w:rsid w:val="005956C5"/>
    <w:rsid w:val="00595DCF"/>
    <w:rsid w:val="00596C7A"/>
    <w:rsid w:val="00597A0C"/>
    <w:rsid w:val="00597EF4"/>
    <w:rsid w:val="005A034C"/>
    <w:rsid w:val="005A0D37"/>
    <w:rsid w:val="005A4F4F"/>
    <w:rsid w:val="005A54D1"/>
    <w:rsid w:val="005A750A"/>
    <w:rsid w:val="005B0F5E"/>
    <w:rsid w:val="005B2A20"/>
    <w:rsid w:val="005B4A25"/>
    <w:rsid w:val="005B4BA3"/>
    <w:rsid w:val="005B5397"/>
    <w:rsid w:val="005B60F8"/>
    <w:rsid w:val="005B662D"/>
    <w:rsid w:val="005B675A"/>
    <w:rsid w:val="005B717F"/>
    <w:rsid w:val="005B7894"/>
    <w:rsid w:val="005B78F6"/>
    <w:rsid w:val="005B7BA4"/>
    <w:rsid w:val="005C0245"/>
    <w:rsid w:val="005C1282"/>
    <w:rsid w:val="005C1623"/>
    <w:rsid w:val="005C1A44"/>
    <w:rsid w:val="005C1FE1"/>
    <w:rsid w:val="005C41B5"/>
    <w:rsid w:val="005C49AA"/>
    <w:rsid w:val="005C4D69"/>
    <w:rsid w:val="005C58C4"/>
    <w:rsid w:val="005C6E05"/>
    <w:rsid w:val="005C6EB9"/>
    <w:rsid w:val="005C732B"/>
    <w:rsid w:val="005C74C9"/>
    <w:rsid w:val="005C7F53"/>
    <w:rsid w:val="005D037D"/>
    <w:rsid w:val="005D0572"/>
    <w:rsid w:val="005D23AB"/>
    <w:rsid w:val="005D324F"/>
    <w:rsid w:val="005D3CA3"/>
    <w:rsid w:val="005D45AB"/>
    <w:rsid w:val="005D4C07"/>
    <w:rsid w:val="005D5508"/>
    <w:rsid w:val="005D5AD4"/>
    <w:rsid w:val="005D6361"/>
    <w:rsid w:val="005D643F"/>
    <w:rsid w:val="005D7C93"/>
    <w:rsid w:val="005D7F1D"/>
    <w:rsid w:val="005E098B"/>
    <w:rsid w:val="005E09DB"/>
    <w:rsid w:val="005E0FF0"/>
    <w:rsid w:val="005E23DC"/>
    <w:rsid w:val="005E3284"/>
    <w:rsid w:val="005E3C9A"/>
    <w:rsid w:val="005E540A"/>
    <w:rsid w:val="005E5947"/>
    <w:rsid w:val="005E7CB0"/>
    <w:rsid w:val="005F02EA"/>
    <w:rsid w:val="005F1BBC"/>
    <w:rsid w:val="005F2572"/>
    <w:rsid w:val="005F3AEF"/>
    <w:rsid w:val="005F3F3A"/>
    <w:rsid w:val="005F4285"/>
    <w:rsid w:val="005F4C8D"/>
    <w:rsid w:val="005F5BAF"/>
    <w:rsid w:val="005F67C2"/>
    <w:rsid w:val="005F6AB1"/>
    <w:rsid w:val="005F6FF4"/>
    <w:rsid w:val="0060070B"/>
    <w:rsid w:val="00600B63"/>
    <w:rsid w:val="006011C9"/>
    <w:rsid w:val="0060232D"/>
    <w:rsid w:val="006025AD"/>
    <w:rsid w:val="00602783"/>
    <w:rsid w:val="00602AA5"/>
    <w:rsid w:val="00602B89"/>
    <w:rsid w:val="00603E13"/>
    <w:rsid w:val="006040A6"/>
    <w:rsid w:val="00604BFA"/>
    <w:rsid w:val="0060688D"/>
    <w:rsid w:val="006076F6"/>
    <w:rsid w:val="00607B8D"/>
    <w:rsid w:val="0061058A"/>
    <w:rsid w:val="00614735"/>
    <w:rsid w:val="00614AFF"/>
    <w:rsid w:val="00614F77"/>
    <w:rsid w:val="006153E2"/>
    <w:rsid w:val="00616766"/>
    <w:rsid w:val="0061681B"/>
    <w:rsid w:val="0061688A"/>
    <w:rsid w:val="006173B5"/>
    <w:rsid w:val="006175D8"/>
    <w:rsid w:val="00621006"/>
    <w:rsid w:val="006215F4"/>
    <w:rsid w:val="006223BB"/>
    <w:rsid w:val="00623EAC"/>
    <w:rsid w:val="006241D2"/>
    <w:rsid w:val="00624506"/>
    <w:rsid w:val="00624816"/>
    <w:rsid w:val="00624DDA"/>
    <w:rsid w:val="00625DBC"/>
    <w:rsid w:val="00625DC3"/>
    <w:rsid w:val="00626B9E"/>
    <w:rsid w:val="00627180"/>
    <w:rsid w:val="006272B5"/>
    <w:rsid w:val="00627497"/>
    <w:rsid w:val="00627BF1"/>
    <w:rsid w:val="00630E91"/>
    <w:rsid w:val="00630ECC"/>
    <w:rsid w:val="00631F22"/>
    <w:rsid w:val="006325DB"/>
    <w:rsid w:val="00633B6D"/>
    <w:rsid w:val="00633BC7"/>
    <w:rsid w:val="00635E5F"/>
    <w:rsid w:val="00636BC7"/>
    <w:rsid w:val="00637368"/>
    <w:rsid w:val="006401A1"/>
    <w:rsid w:val="0064128D"/>
    <w:rsid w:val="0064201A"/>
    <w:rsid w:val="00642296"/>
    <w:rsid w:val="00642818"/>
    <w:rsid w:val="00642D6B"/>
    <w:rsid w:val="00644948"/>
    <w:rsid w:val="006466B8"/>
    <w:rsid w:val="00646DC3"/>
    <w:rsid w:val="00646EFA"/>
    <w:rsid w:val="006511FC"/>
    <w:rsid w:val="00651778"/>
    <w:rsid w:val="006518DD"/>
    <w:rsid w:val="00651B0B"/>
    <w:rsid w:val="00652639"/>
    <w:rsid w:val="006527D1"/>
    <w:rsid w:val="006536CA"/>
    <w:rsid w:val="006601B4"/>
    <w:rsid w:val="006612C5"/>
    <w:rsid w:val="00661A33"/>
    <w:rsid w:val="0066288A"/>
    <w:rsid w:val="006644AF"/>
    <w:rsid w:val="00664649"/>
    <w:rsid w:val="00667ABB"/>
    <w:rsid w:val="00667DC4"/>
    <w:rsid w:val="006708F3"/>
    <w:rsid w:val="006726E8"/>
    <w:rsid w:val="006737F1"/>
    <w:rsid w:val="00673EA1"/>
    <w:rsid w:val="00676173"/>
    <w:rsid w:val="00677435"/>
    <w:rsid w:val="00680A9E"/>
    <w:rsid w:val="00681DE8"/>
    <w:rsid w:val="00682BDA"/>
    <w:rsid w:val="00683FAF"/>
    <w:rsid w:val="0068476C"/>
    <w:rsid w:val="00684B82"/>
    <w:rsid w:val="006851D9"/>
    <w:rsid w:val="006864E2"/>
    <w:rsid w:val="00686743"/>
    <w:rsid w:val="006905E9"/>
    <w:rsid w:val="00691A3F"/>
    <w:rsid w:val="00692E03"/>
    <w:rsid w:val="0069459E"/>
    <w:rsid w:val="00695DB1"/>
    <w:rsid w:val="00696633"/>
    <w:rsid w:val="006A01D7"/>
    <w:rsid w:val="006A0817"/>
    <w:rsid w:val="006A1C21"/>
    <w:rsid w:val="006A30C4"/>
    <w:rsid w:val="006A335A"/>
    <w:rsid w:val="006A3B6A"/>
    <w:rsid w:val="006A3EE7"/>
    <w:rsid w:val="006A437E"/>
    <w:rsid w:val="006A4645"/>
    <w:rsid w:val="006A71B3"/>
    <w:rsid w:val="006A7C89"/>
    <w:rsid w:val="006B1282"/>
    <w:rsid w:val="006B169D"/>
    <w:rsid w:val="006B253A"/>
    <w:rsid w:val="006B26D6"/>
    <w:rsid w:val="006B27F2"/>
    <w:rsid w:val="006B2918"/>
    <w:rsid w:val="006B2C3E"/>
    <w:rsid w:val="006B3182"/>
    <w:rsid w:val="006B36D0"/>
    <w:rsid w:val="006B4A9D"/>
    <w:rsid w:val="006B7269"/>
    <w:rsid w:val="006B771C"/>
    <w:rsid w:val="006B7F63"/>
    <w:rsid w:val="006C13DC"/>
    <w:rsid w:val="006C1EB2"/>
    <w:rsid w:val="006C2BCA"/>
    <w:rsid w:val="006C3844"/>
    <w:rsid w:val="006C6D7D"/>
    <w:rsid w:val="006C6EF6"/>
    <w:rsid w:val="006C773C"/>
    <w:rsid w:val="006D083A"/>
    <w:rsid w:val="006D1524"/>
    <w:rsid w:val="006D15F2"/>
    <w:rsid w:val="006D278E"/>
    <w:rsid w:val="006D2A07"/>
    <w:rsid w:val="006D3916"/>
    <w:rsid w:val="006D3BE8"/>
    <w:rsid w:val="006D3DD2"/>
    <w:rsid w:val="006D4483"/>
    <w:rsid w:val="006D572A"/>
    <w:rsid w:val="006D7C35"/>
    <w:rsid w:val="006E055F"/>
    <w:rsid w:val="006E17A5"/>
    <w:rsid w:val="006E24E8"/>
    <w:rsid w:val="006E2D1C"/>
    <w:rsid w:val="006E4C73"/>
    <w:rsid w:val="006E4FA6"/>
    <w:rsid w:val="006E5603"/>
    <w:rsid w:val="006E69A8"/>
    <w:rsid w:val="006E746D"/>
    <w:rsid w:val="006E7E8C"/>
    <w:rsid w:val="006F00EE"/>
    <w:rsid w:val="006F1087"/>
    <w:rsid w:val="006F1269"/>
    <w:rsid w:val="006F408E"/>
    <w:rsid w:val="006F4E49"/>
    <w:rsid w:val="006F7347"/>
    <w:rsid w:val="006F76A9"/>
    <w:rsid w:val="00700175"/>
    <w:rsid w:val="007003D1"/>
    <w:rsid w:val="007013F4"/>
    <w:rsid w:val="00701651"/>
    <w:rsid w:val="00701BF7"/>
    <w:rsid w:val="007022E4"/>
    <w:rsid w:val="00703302"/>
    <w:rsid w:val="00707083"/>
    <w:rsid w:val="007073CC"/>
    <w:rsid w:val="0071010F"/>
    <w:rsid w:val="0071282F"/>
    <w:rsid w:val="00713865"/>
    <w:rsid w:val="00713B4F"/>
    <w:rsid w:val="00714299"/>
    <w:rsid w:val="00714EA7"/>
    <w:rsid w:val="0071597F"/>
    <w:rsid w:val="0071623B"/>
    <w:rsid w:val="00716B41"/>
    <w:rsid w:val="00717215"/>
    <w:rsid w:val="007202A9"/>
    <w:rsid w:val="00720B41"/>
    <w:rsid w:val="0072118F"/>
    <w:rsid w:val="00721361"/>
    <w:rsid w:val="00723A52"/>
    <w:rsid w:val="00725967"/>
    <w:rsid w:val="0072713F"/>
    <w:rsid w:val="0072792C"/>
    <w:rsid w:val="00730CB8"/>
    <w:rsid w:val="007318D1"/>
    <w:rsid w:val="00732186"/>
    <w:rsid w:val="007354F7"/>
    <w:rsid w:val="00736368"/>
    <w:rsid w:val="0073666D"/>
    <w:rsid w:val="007369E0"/>
    <w:rsid w:val="007378F4"/>
    <w:rsid w:val="00740E73"/>
    <w:rsid w:val="007417EE"/>
    <w:rsid w:val="007421C4"/>
    <w:rsid w:val="00742991"/>
    <w:rsid w:val="007430CE"/>
    <w:rsid w:val="00744053"/>
    <w:rsid w:val="00744531"/>
    <w:rsid w:val="00744842"/>
    <w:rsid w:val="00745124"/>
    <w:rsid w:val="007453BE"/>
    <w:rsid w:val="00745578"/>
    <w:rsid w:val="00745EC9"/>
    <w:rsid w:val="00746537"/>
    <w:rsid w:val="00746912"/>
    <w:rsid w:val="00746CE7"/>
    <w:rsid w:val="00747587"/>
    <w:rsid w:val="00747E8A"/>
    <w:rsid w:val="00750B8B"/>
    <w:rsid w:val="00750C2B"/>
    <w:rsid w:val="007517FE"/>
    <w:rsid w:val="00751A7A"/>
    <w:rsid w:val="00752552"/>
    <w:rsid w:val="00752D6F"/>
    <w:rsid w:val="00753003"/>
    <w:rsid w:val="00753DF9"/>
    <w:rsid w:val="007540DE"/>
    <w:rsid w:val="00754E54"/>
    <w:rsid w:val="00755EE2"/>
    <w:rsid w:val="00756C3E"/>
    <w:rsid w:val="00757935"/>
    <w:rsid w:val="0076079B"/>
    <w:rsid w:val="00760FB9"/>
    <w:rsid w:val="007625B4"/>
    <w:rsid w:val="007630F8"/>
    <w:rsid w:val="00764678"/>
    <w:rsid w:val="00766E5A"/>
    <w:rsid w:val="007671D7"/>
    <w:rsid w:val="00767449"/>
    <w:rsid w:val="0077052B"/>
    <w:rsid w:val="00770CE0"/>
    <w:rsid w:val="00771C34"/>
    <w:rsid w:val="007730B2"/>
    <w:rsid w:val="0077566C"/>
    <w:rsid w:val="0077781E"/>
    <w:rsid w:val="00780A0B"/>
    <w:rsid w:val="00781FE0"/>
    <w:rsid w:val="007825FF"/>
    <w:rsid w:val="0078357F"/>
    <w:rsid w:val="00784342"/>
    <w:rsid w:val="00785B38"/>
    <w:rsid w:val="00786B3B"/>
    <w:rsid w:val="00787705"/>
    <w:rsid w:val="0079078E"/>
    <w:rsid w:val="00791A34"/>
    <w:rsid w:val="00791E27"/>
    <w:rsid w:val="00792FF1"/>
    <w:rsid w:val="00793E3C"/>
    <w:rsid w:val="007940C0"/>
    <w:rsid w:val="0079483D"/>
    <w:rsid w:val="007948ED"/>
    <w:rsid w:val="007971D8"/>
    <w:rsid w:val="007976DC"/>
    <w:rsid w:val="00797C9E"/>
    <w:rsid w:val="007A0B57"/>
    <w:rsid w:val="007A1301"/>
    <w:rsid w:val="007A14A4"/>
    <w:rsid w:val="007A1562"/>
    <w:rsid w:val="007A2B38"/>
    <w:rsid w:val="007A4498"/>
    <w:rsid w:val="007A54C8"/>
    <w:rsid w:val="007A5907"/>
    <w:rsid w:val="007A64A0"/>
    <w:rsid w:val="007A736C"/>
    <w:rsid w:val="007A7D3A"/>
    <w:rsid w:val="007B2137"/>
    <w:rsid w:val="007B25D3"/>
    <w:rsid w:val="007B271F"/>
    <w:rsid w:val="007B3CDA"/>
    <w:rsid w:val="007B4202"/>
    <w:rsid w:val="007B6B95"/>
    <w:rsid w:val="007B798E"/>
    <w:rsid w:val="007C10E1"/>
    <w:rsid w:val="007C1C95"/>
    <w:rsid w:val="007C249A"/>
    <w:rsid w:val="007C29DA"/>
    <w:rsid w:val="007C309C"/>
    <w:rsid w:val="007C3DE3"/>
    <w:rsid w:val="007C47FF"/>
    <w:rsid w:val="007C4839"/>
    <w:rsid w:val="007C4C64"/>
    <w:rsid w:val="007C661E"/>
    <w:rsid w:val="007D0525"/>
    <w:rsid w:val="007D076F"/>
    <w:rsid w:val="007D1115"/>
    <w:rsid w:val="007D1899"/>
    <w:rsid w:val="007D1A55"/>
    <w:rsid w:val="007D2FDA"/>
    <w:rsid w:val="007D2FDD"/>
    <w:rsid w:val="007D396D"/>
    <w:rsid w:val="007D670F"/>
    <w:rsid w:val="007D6ABD"/>
    <w:rsid w:val="007E2B01"/>
    <w:rsid w:val="007E31AB"/>
    <w:rsid w:val="007E398D"/>
    <w:rsid w:val="007E3D87"/>
    <w:rsid w:val="007E4E37"/>
    <w:rsid w:val="007E4F52"/>
    <w:rsid w:val="007E52DA"/>
    <w:rsid w:val="007E5CA3"/>
    <w:rsid w:val="007E6C41"/>
    <w:rsid w:val="007F0395"/>
    <w:rsid w:val="007F268E"/>
    <w:rsid w:val="007F28B5"/>
    <w:rsid w:val="007F3B26"/>
    <w:rsid w:val="007F4EED"/>
    <w:rsid w:val="007F5021"/>
    <w:rsid w:val="007F5A35"/>
    <w:rsid w:val="008004DA"/>
    <w:rsid w:val="008008BC"/>
    <w:rsid w:val="00800EB6"/>
    <w:rsid w:val="008013D5"/>
    <w:rsid w:val="0080199E"/>
    <w:rsid w:val="008042F9"/>
    <w:rsid w:val="00804D19"/>
    <w:rsid w:val="008050DB"/>
    <w:rsid w:val="00805242"/>
    <w:rsid w:val="008057EF"/>
    <w:rsid w:val="00805E4D"/>
    <w:rsid w:val="00806872"/>
    <w:rsid w:val="00806F15"/>
    <w:rsid w:val="008076FC"/>
    <w:rsid w:val="00810FE7"/>
    <w:rsid w:val="00814287"/>
    <w:rsid w:val="008145EE"/>
    <w:rsid w:val="0081468B"/>
    <w:rsid w:val="00817473"/>
    <w:rsid w:val="008202C2"/>
    <w:rsid w:val="00820307"/>
    <w:rsid w:val="00820390"/>
    <w:rsid w:val="00820F71"/>
    <w:rsid w:val="008219AE"/>
    <w:rsid w:val="00821AA9"/>
    <w:rsid w:val="00825B03"/>
    <w:rsid w:val="0082609A"/>
    <w:rsid w:val="00827B66"/>
    <w:rsid w:val="00827DE0"/>
    <w:rsid w:val="00830874"/>
    <w:rsid w:val="0083518C"/>
    <w:rsid w:val="00836C8A"/>
    <w:rsid w:val="00840057"/>
    <w:rsid w:val="00840BA3"/>
    <w:rsid w:val="00840D63"/>
    <w:rsid w:val="008424C9"/>
    <w:rsid w:val="00842967"/>
    <w:rsid w:val="00843320"/>
    <w:rsid w:val="0084420A"/>
    <w:rsid w:val="008478FE"/>
    <w:rsid w:val="00847E4C"/>
    <w:rsid w:val="0085045A"/>
    <w:rsid w:val="00850B64"/>
    <w:rsid w:val="00851D87"/>
    <w:rsid w:val="00852CF2"/>
    <w:rsid w:val="0085407D"/>
    <w:rsid w:val="0085452F"/>
    <w:rsid w:val="0085458F"/>
    <w:rsid w:val="008561D8"/>
    <w:rsid w:val="00856FFA"/>
    <w:rsid w:val="008578BB"/>
    <w:rsid w:val="0086062C"/>
    <w:rsid w:val="00860B21"/>
    <w:rsid w:val="00860CD7"/>
    <w:rsid w:val="008613B3"/>
    <w:rsid w:val="0086219E"/>
    <w:rsid w:val="00862665"/>
    <w:rsid w:val="00862F74"/>
    <w:rsid w:val="00863668"/>
    <w:rsid w:val="00863675"/>
    <w:rsid w:val="0086412D"/>
    <w:rsid w:val="00864744"/>
    <w:rsid w:val="00864AE2"/>
    <w:rsid w:val="0086507B"/>
    <w:rsid w:val="0086744C"/>
    <w:rsid w:val="0087141E"/>
    <w:rsid w:val="00871FD3"/>
    <w:rsid w:val="00872A62"/>
    <w:rsid w:val="008740C3"/>
    <w:rsid w:val="00874BDE"/>
    <w:rsid w:val="00874D91"/>
    <w:rsid w:val="008761E5"/>
    <w:rsid w:val="008765C2"/>
    <w:rsid w:val="00876CE5"/>
    <w:rsid w:val="008770DD"/>
    <w:rsid w:val="008805F0"/>
    <w:rsid w:val="00880E7F"/>
    <w:rsid w:val="00881FD6"/>
    <w:rsid w:val="0088234D"/>
    <w:rsid w:val="008835D9"/>
    <w:rsid w:val="00883D59"/>
    <w:rsid w:val="008841F8"/>
    <w:rsid w:val="00885329"/>
    <w:rsid w:val="0088627F"/>
    <w:rsid w:val="008862D6"/>
    <w:rsid w:val="008864B0"/>
    <w:rsid w:val="00886C4A"/>
    <w:rsid w:val="00886DA2"/>
    <w:rsid w:val="008874C0"/>
    <w:rsid w:val="00891748"/>
    <w:rsid w:val="0089207B"/>
    <w:rsid w:val="008928F8"/>
    <w:rsid w:val="00892C0F"/>
    <w:rsid w:val="0089351E"/>
    <w:rsid w:val="008941FB"/>
    <w:rsid w:val="00894AC7"/>
    <w:rsid w:val="00895E64"/>
    <w:rsid w:val="00896EEA"/>
    <w:rsid w:val="00897062"/>
    <w:rsid w:val="00897F1B"/>
    <w:rsid w:val="008A0554"/>
    <w:rsid w:val="008A0746"/>
    <w:rsid w:val="008A1DD3"/>
    <w:rsid w:val="008A2A8B"/>
    <w:rsid w:val="008A57DA"/>
    <w:rsid w:val="008A5926"/>
    <w:rsid w:val="008A610E"/>
    <w:rsid w:val="008A633F"/>
    <w:rsid w:val="008A698D"/>
    <w:rsid w:val="008A6B10"/>
    <w:rsid w:val="008A720D"/>
    <w:rsid w:val="008B0698"/>
    <w:rsid w:val="008B0AF1"/>
    <w:rsid w:val="008B1BB0"/>
    <w:rsid w:val="008B25F4"/>
    <w:rsid w:val="008B3111"/>
    <w:rsid w:val="008B3203"/>
    <w:rsid w:val="008B3B6F"/>
    <w:rsid w:val="008B3E69"/>
    <w:rsid w:val="008B3ED4"/>
    <w:rsid w:val="008B4528"/>
    <w:rsid w:val="008B4592"/>
    <w:rsid w:val="008B511D"/>
    <w:rsid w:val="008B5A27"/>
    <w:rsid w:val="008B6931"/>
    <w:rsid w:val="008B70B2"/>
    <w:rsid w:val="008B791E"/>
    <w:rsid w:val="008C26B9"/>
    <w:rsid w:val="008C35EE"/>
    <w:rsid w:val="008C3A02"/>
    <w:rsid w:val="008C42B6"/>
    <w:rsid w:val="008C4854"/>
    <w:rsid w:val="008C4FA7"/>
    <w:rsid w:val="008C6310"/>
    <w:rsid w:val="008C67A2"/>
    <w:rsid w:val="008D01B6"/>
    <w:rsid w:val="008D04D7"/>
    <w:rsid w:val="008D2F73"/>
    <w:rsid w:val="008D609C"/>
    <w:rsid w:val="008D64F9"/>
    <w:rsid w:val="008D6B41"/>
    <w:rsid w:val="008D7764"/>
    <w:rsid w:val="008D7AD6"/>
    <w:rsid w:val="008D7D02"/>
    <w:rsid w:val="008E1D45"/>
    <w:rsid w:val="008E38BD"/>
    <w:rsid w:val="008E4001"/>
    <w:rsid w:val="008E44C7"/>
    <w:rsid w:val="008E508D"/>
    <w:rsid w:val="008E5A98"/>
    <w:rsid w:val="008E6225"/>
    <w:rsid w:val="008E645C"/>
    <w:rsid w:val="008E6885"/>
    <w:rsid w:val="008E6FD8"/>
    <w:rsid w:val="008E7AB4"/>
    <w:rsid w:val="008E7B43"/>
    <w:rsid w:val="008E7D80"/>
    <w:rsid w:val="008F0037"/>
    <w:rsid w:val="008F010F"/>
    <w:rsid w:val="008F10F5"/>
    <w:rsid w:val="008F3C0B"/>
    <w:rsid w:val="008F45F6"/>
    <w:rsid w:val="008F514B"/>
    <w:rsid w:val="008F60EC"/>
    <w:rsid w:val="008F687E"/>
    <w:rsid w:val="008F710B"/>
    <w:rsid w:val="008F72C7"/>
    <w:rsid w:val="008F7BAE"/>
    <w:rsid w:val="00900081"/>
    <w:rsid w:val="009001E2"/>
    <w:rsid w:val="0090031C"/>
    <w:rsid w:val="009003DC"/>
    <w:rsid w:val="0090063C"/>
    <w:rsid w:val="009008B1"/>
    <w:rsid w:val="00902092"/>
    <w:rsid w:val="009024A6"/>
    <w:rsid w:val="0090282F"/>
    <w:rsid w:val="00902B09"/>
    <w:rsid w:val="0090370A"/>
    <w:rsid w:val="009037C9"/>
    <w:rsid w:val="009039DA"/>
    <w:rsid w:val="00903C61"/>
    <w:rsid w:val="00903FCE"/>
    <w:rsid w:val="00904603"/>
    <w:rsid w:val="00906A85"/>
    <w:rsid w:val="00906CAF"/>
    <w:rsid w:val="009122EF"/>
    <w:rsid w:val="00913056"/>
    <w:rsid w:val="0091319E"/>
    <w:rsid w:val="00914FB2"/>
    <w:rsid w:val="009163C0"/>
    <w:rsid w:val="009205C9"/>
    <w:rsid w:val="00920B15"/>
    <w:rsid w:val="00920F32"/>
    <w:rsid w:val="00921D6C"/>
    <w:rsid w:val="00923F52"/>
    <w:rsid w:val="0092482F"/>
    <w:rsid w:val="0092490E"/>
    <w:rsid w:val="00927FD6"/>
    <w:rsid w:val="0093126C"/>
    <w:rsid w:val="00935264"/>
    <w:rsid w:val="00935557"/>
    <w:rsid w:val="00935EAF"/>
    <w:rsid w:val="00937D7E"/>
    <w:rsid w:val="00940F8F"/>
    <w:rsid w:val="009415EC"/>
    <w:rsid w:val="00942466"/>
    <w:rsid w:val="0094335F"/>
    <w:rsid w:val="009433AF"/>
    <w:rsid w:val="00944211"/>
    <w:rsid w:val="00944FCF"/>
    <w:rsid w:val="009454E4"/>
    <w:rsid w:val="00945510"/>
    <w:rsid w:val="00945D3E"/>
    <w:rsid w:val="00947725"/>
    <w:rsid w:val="00950581"/>
    <w:rsid w:val="00952AB5"/>
    <w:rsid w:val="00952CE8"/>
    <w:rsid w:val="00953D80"/>
    <w:rsid w:val="0095467D"/>
    <w:rsid w:val="0095576D"/>
    <w:rsid w:val="0095728B"/>
    <w:rsid w:val="009618C1"/>
    <w:rsid w:val="0096257A"/>
    <w:rsid w:val="00964901"/>
    <w:rsid w:val="00964CA7"/>
    <w:rsid w:val="00965B3E"/>
    <w:rsid w:val="009702B1"/>
    <w:rsid w:val="0097299D"/>
    <w:rsid w:val="00972A20"/>
    <w:rsid w:val="009741C5"/>
    <w:rsid w:val="0097620E"/>
    <w:rsid w:val="00977F1C"/>
    <w:rsid w:val="00980CDF"/>
    <w:rsid w:val="00981D94"/>
    <w:rsid w:val="00982CAC"/>
    <w:rsid w:val="00983263"/>
    <w:rsid w:val="00983691"/>
    <w:rsid w:val="00984BAE"/>
    <w:rsid w:val="00986D2E"/>
    <w:rsid w:val="0098729C"/>
    <w:rsid w:val="00987663"/>
    <w:rsid w:val="0099266B"/>
    <w:rsid w:val="00993941"/>
    <w:rsid w:val="009940A2"/>
    <w:rsid w:val="009940FE"/>
    <w:rsid w:val="009944DC"/>
    <w:rsid w:val="00994DB1"/>
    <w:rsid w:val="009950BC"/>
    <w:rsid w:val="00995339"/>
    <w:rsid w:val="00997661"/>
    <w:rsid w:val="009A09D3"/>
    <w:rsid w:val="009A2E67"/>
    <w:rsid w:val="009A310A"/>
    <w:rsid w:val="009A436E"/>
    <w:rsid w:val="009A43C5"/>
    <w:rsid w:val="009A6A6A"/>
    <w:rsid w:val="009B039A"/>
    <w:rsid w:val="009B1064"/>
    <w:rsid w:val="009B108F"/>
    <w:rsid w:val="009B3345"/>
    <w:rsid w:val="009B4D96"/>
    <w:rsid w:val="009B5088"/>
    <w:rsid w:val="009B50BA"/>
    <w:rsid w:val="009B51B4"/>
    <w:rsid w:val="009B5975"/>
    <w:rsid w:val="009B5F44"/>
    <w:rsid w:val="009B6919"/>
    <w:rsid w:val="009B7B46"/>
    <w:rsid w:val="009C22A9"/>
    <w:rsid w:val="009C546A"/>
    <w:rsid w:val="009C56EE"/>
    <w:rsid w:val="009C58CB"/>
    <w:rsid w:val="009C603B"/>
    <w:rsid w:val="009C6FF9"/>
    <w:rsid w:val="009D0D7A"/>
    <w:rsid w:val="009D15D6"/>
    <w:rsid w:val="009D3764"/>
    <w:rsid w:val="009D37B4"/>
    <w:rsid w:val="009D5B71"/>
    <w:rsid w:val="009D7654"/>
    <w:rsid w:val="009E1182"/>
    <w:rsid w:val="009E1515"/>
    <w:rsid w:val="009E243B"/>
    <w:rsid w:val="009E365A"/>
    <w:rsid w:val="009E38BB"/>
    <w:rsid w:val="009E3EDE"/>
    <w:rsid w:val="009E5A18"/>
    <w:rsid w:val="009E6464"/>
    <w:rsid w:val="009E6ADD"/>
    <w:rsid w:val="009E71EA"/>
    <w:rsid w:val="009E7A7C"/>
    <w:rsid w:val="009F049B"/>
    <w:rsid w:val="009F0C05"/>
    <w:rsid w:val="009F10EF"/>
    <w:rsid w:val="009F1DE1"/>
    <w:rsid w:val="009F308A"/>
    <w:rsid w:val="009F6072"/>
    <w:rsid w:val="009F607F"/>
    <w:rsid w:val="009F71D9"/>
    <w:rsid w:val="009F7FDC"/>
    <w:rsid w:val="00A0041E"/>
    <w:rsid w:val="00A0163D"/>
    <w:rsid w:val="00A01AB8"/>
    <w:rsid w:val="00A01E29"/>
    <w:rsid w:val="00A0213C"/>
    <w:rsid w:val="00A0236E"/>
    <w:rsid w:val="00A024E5"/>
    <w:rsid w:val="00A030D3"/>
    <w:rsid w:val="00A0384E"/>
    <w:rsid w:val="00A04D7B"/>
    <w:rsid w:val="00A064A7"/>
    <w:rsid w:val="00A06724"/>
    <w:rsid w:val="00A06F6A"/>
    <w:rsid w:val="00A073E9"/>
    <w:rsid w:val="00A078B9"/>
    <w:rsid w:val="00A10122"/>
    <w:rsid w:val="00A10E17"/>
    <w:rsid w:val="00A116DB"/>
    <w:rsid w:val="00A11808"/>
    <w:rsid w:val="00A118BF"/>
    <w:rsid w:val="00A11E2B"/>
    <w:rsid w:val="00A141E6"/>
    <w:rsid w:val="00A21367"/>
    <w:rsid w:val="00A22708"/>
    <w:rsid w:val="00A23F84"/>
    <w:rsid w:val="00A25C15"/>
    <w:rsid w:val="00A27677"/>
    <w:rsid w:val="00A30C1D"/>
    <w:rsid w:val="00A3139D"/>
    <w:rsid w:val="00A327E6"/>
    <w:rsid w:val="00A3575F"/>
    <w:rsid w:val="00A36052"/>
    <w:rsid w:val="00A3703C"/>
    <w:rsid w:val="00A4011D"/>
    <w:rsid w:val="00A40EA2"/>
    <w:rsid w:val="00A415C7"/>
    <w:rsid w:val="00A4346C"/>
    <w:rsid w:val="00A43C8C"/>
    <w:rsid w:val="00A44F0F"/>
    <w:rsid w:val="00A454E7"/>
    <w:rsid w:val="00A5016E"/>
    <w:rsid w:val="00A5036A"/>
    <w:rsid w:val="00A50DF0"/>
    <w:rsid w:val="00A50E76"/>
    <w:rsid w:val="00A5277B"/>
    <w:rsid w:val="00A53495"/>
    <w:rsid w:val="00A5385F"/>
    <w:rsid w:val="00A5401B"/>
    <w:rsid w:val="00A550A3"/>
    <w:rsid w:val="00A56EDD"/>
    <w:rsid w:val="00A56FF1"/>
    <w:rsid w:val="00A609B7"/>
    <w:rsid w:val="00A6127B"/>
    <w:rsid w:val="00A62F09"/>
    <w:rsid w:val="00A63652"/>
    <w:rsid w:val="00A63D11"/>
    <w:rsid w:val="00A643C6"/>
    <w:rsid w:val="00A645C3"/>
    <w:rsid w:val="00A65BF4"/>
    <w:rsid w:val="00A671B0"/>
    <w:rsid w:val="00A67FBE"/>
    <w:rsid w:val="00A70628"/>
    <w:rsid w:val="00A73665"/>
    <w:rsid w:val="00A73762"/>
    <w:rsid w:val="00A76A13"/>
    <w:rsid w:val="00A80452"/>
    <w:rsid w:val="00A81177"/>
    <w:rsid w:val="00A819C4"/>
    <w:rsid w:val="00A82817"/>
    <w:rsid w:val="00A8325C"/>
    <w:rsid w:val="00A84642"/>
    <w:rsid w:val="00A858B1"/>
    <w:rsid w:val="00A86845"/>
    <w:rsid w:val="00A87F01"/>
    <w:rsid w:val="00A92224"/>
    <w:rsid w:val="00A926EE"/>
    <w:rsid w:val="00A92970"/>
    <w:rsid w:val="00A9303E"/>
    <w:rsid w:val="00A931FF"/>
    <w:rsid w:val="00A93358"/>
    <w:rsid w:val="00A95746"/>
    <w:rsid w:val="00A96860"/>
    <w:rsid w:val="00A9773E"/>
    <w:rsid w:val="00A97BA3"/>
    <w:rsid w:val="00AA2270"/>
    <w:rsid w:val="00AA4F0A"/>
    <w:rsid w:val="00AA56DB"/>
    <w:rsid w:val="00AA65BD"/>
    <w:rsid w:val="00AA7402"/>
    <w:rsid w:val="00AA75FE"/>
    <w:rsid w:val="00AB1A0D"/>
    <w:rsid w:val="00AB1F57"/>
    <w:rsid w:val="00AB273E"/>
    <w:rsid w:val="00AB2DCF"/>
    <w:rsid w:val="00AB3230"/>
    <w:rsid w:val="00AB3680"/>
    <w:rsid w:val="00AB3EC2"/>
    <w:rsid w:val="00AB4316"/>
    <w:rsid w:val="00AB5391"/>
    <w:rsid w:val="00AB5B05"/>
    <w:rsid w:val="00AB5C33"/>
    <w:rsid w:val="00AB774C"/>
    <w:rsid w:val="00AC11D5"/>
    <w:rsid w:val="00AC1E4A"/>
    <w:rsid w:val="00AC2A94"/>
    <w:rsid w:val="00AC2C0C"/>
    <w:rsid w:val="00AC309E"/>
    <w:rsid w:val="00AC366B"/>
    <w:rsid w:val="00AC40DB"/>
    <w:rsid w:val="00AC434C"/>
    <w:rsid w:val="00AC43A8"/>
    <w:rsid w:val="00AC6A75"/>
    <w:rsid w:val="00AC7457"/>
    <w:rsid w:val="00AD0370"/>
    <w:rsid w:val="00AD0A55"/>
    <w:rsid w:val="00AD13C0"/>
    <w:rsid w:val="00AD2194"/>
    <w:rsid w:val="00AD23ED"/>
    <w:rsid w:val="00AD35E9"/>
    <w:rsid w:val="00AD3C5D"/>
    <w:rsid w:val="00AD4268"/>
    <w:rsid w:val="00AD4742"/>
    <w:rsid w:val="00AD5349"/>
    <w:rsid w:val="00AD5624"/>
    <w:rsid w:val="00AD6938"/>
    <w:rsid w:val="00AD6B93"/>
    <w:rsid w:val="00AE0182"/>
    <w:rsid w:val="00AE0CFB"/>
    <w:rsid w:val="00AE1195"/>
    <w:rsid w:val="00AE223F"/>
    <w:rsid w:val="00AE4385"/>
    <w:rsid w:val="00AE5796"/>
    <w:rsid w:val="00AF0D26"/>
    <w:rsid w:val="00AF1EBA"/>
    <w:rsid w:val="00AF24C6"/>
    <w:rsid w:val="00AF269E"/>
    <w:rsid w:val="00AF2A66"/>
    <w:rsid w:val="00AF2A99"/>
    <w:rsid w:val="00AF328B"/>
    <w:rsid w:val="00AF60B7"/>
    <w:rsid w:val="00B01D17"/>
    <w:rsid w:val="00B02B3D"/>
    <w:rsid w:val="00B031E0"/>
    <w:rsid w:val="00B048DF"/>
    <w:rsid w:val="00B06349"/>
    <w:rsid w:val="00B067A1"/>
    <w:rsid w:val="00B07201"/>
    <w:rsid w:val="00B07232"/>
    <w:rsid w:val="00B07F64"/>
    <w:rsid w:val="00B10037"/>
    <w:rsid w:val="00B10985"/>
    <w:rsid w:val="00B10C94"/>
    <w:rsid w:val="00B11210"/>
    <w:rsid w:val="00B12FF9"/>
    <w:rsid w:val="00B13AF4"/>
    <w:rsid w:val="00B1467E"/>
    <w:rsid w:val="00B1709B"/>
    <w:rsid w:val="00B174A7"/>
    <w:rsid w:val="00B1794B"/>
    <w:rsid w:val="00B17BFC"/>
    <w:rsid w:val="00B2079B"/>
    <w:rsid w:val="00B20B01"/>
    <w:rsid w:val="00B23BE3"/>
    <w:rsid w:val="00B272B8"/>
    <w:rsid w:val="00B27824"/>
    <w:rsid w:val="00B30059"/>
    <w:rsid w:val="00B300D9"/>
    <w:rsid w:val="00B3043C"/>
    <w:rsid w:val="00B30FB8"/>
    <w:rsid w:val="00B31A41"/>
    <w:rsid w:val="00B332CE"/>
    <w:rsid w:val="00B33E98"/>
    <w:rsid w:val="00B34E29"/>
    <w:rsid w:val="00B35AFF"/>
    <w:rsid w:val="00B366D1"/>
    <w:rsid w:val="00B3755F"/>
    <w:rsid w:val="00B37839"/>
    <w:rsid w:val="00B40CE6"/>
    <w:rsid w:val="00B4111F"/>
    <w:rsid w:val="00B435FA"/>
    <w:rsid w:val="00B44665"/>
    <w:rsid w:val="00B458C8"/>
    <w:rsid w:val="00B4590C"/>
    <w:rsid w:val="00B45EF1"/>
    <w:rsid w:val="00B4623B"/>
    <w:rsid w:val="00B470A2"/>
    <w:rsid w:val="00B50853"/>
    <w:rsid w:val="00B50CFF"/>
    <w:rsid w:val="00B51197"/>
    <w:rsid w:val="00B517CA"/>
    <w:rsid w:val="00B51B4E"/>
    <w:rsid w:val="00B51B7E"/>
    <w:rsid w:val="00B53CFA"/>
    <w:rsid w:val="00B54072"/>
    <w:rsid w:val="00B55C66"/>
    <w:rsid w:val="00B55F1D"/>
    <w:rsid w:val="00B563F6"/>
    <w:rsid w:val="00B56CAA"/>
    <w:rsid w:val="00B6050B"/>
    <w:rsid w:val="00B60B3D"/>
    <w:rsid w:val="00B60DD5"/>
    <w:rsid w:val="00B60EAC"/>
    <w:rsid w:val="00B6157D"/>
    <w:rsid w:val="00B61AF4"/>
    <w:rsid w:val="00B621D6"/>
    <w:rsid w:val="00B62B3D"/>
    <w:rsid w:val="00B63157"/>
    <w:rsid w:val="00B6370C"/>
    <w:rsid w:val="00B640D1"/>
    <w:rsid w:val="00B64ACE"/>
    <w:rsid w:val="00B65820"/>
    <w:rsid w:val="00B65E4B"/>
    <w:rsid w:val="00B6612E"/>
    <w:rsid w:val="00B66186"/>
    <w:rsid w:val="00B66C36"/>
    <w:rsid w:val="00B66FC7"/>
    <w:rsid w:val="00B673C2"/>
    <w:rsid w:val="00B67CCB"/>
    <w:rsid w:val="00B70104"/>
    <w:rsid w:val="00B7045B"/>
    <w:rsid w:val="00B70961"/>
    <w:rsid w:val="00B71F26"/>
    <w:rsid w:val="00B720AE"/>
    <w:rsid w:val="00B7267B"/>
    <w:rsid w:val="00B7307E"/>
    <w:rsid w:val="00B733E4"/>
    <w:rsid w:val="00B74B54"/>
    <w:rsid w:val="00B75381"/>
    <w:rsid w:val="00B75BDC"/>
    <w:rsid w:val="00B7766F"/>
    <w:rsid w:val="00B77F6D"/>
    <w:rsid w:val="00B80316"/>
    <w:rsid w:val="00B81477"/>
    <w:rsid w:val="00B828EF"/>
    <w:rsid w:val="00B85201"/>
    <w:rsid w:val="00B852E0"/>
    <w:rsid w:val="00B85D6E"/>
    <w:rsid w:val="00B862F5"/>
    <w:rsid w:val="00B91428"/>
    <w:rsid w:val="00B9266B"/>
    <w:rsid w:val="00B926B9"/>
    <w:rsid w:val="00B92B66"/>
    <w:rsid w:val="00B9353D"/>
    <w:rsid w:val="00B93A00"/>
    <w:rsid w:val="00B93ABE"/>
    <w:rsid w:val="00B952F4"/>
    <w:rsid w:val="00B972BA"/>
    <w:rsid w:val="00BA0430"/>
    <w:rsid w:val="00BA0467"/>
    <w:rsid w:val="00BA28B9"/>
    <w:rsid w:val="00BA2A7D"/>
    <w:rsid w:val="00BA5AEF"/>
    <w:rsid w:val="00BA611A"/>
    <w:rsid w:val="00BA61CE"/>
    <w:rsid w:val="00BA7CCB"/>
    <w:rsid w:val="00BA7DCC"/>
    <w:rsid w:val="00BB041A"/>
    <w:rsid w:val="00BB073F"/>
    <w:rsid w:val="00BB0D75"/>
    <w:rsid w:val="00BB0F49"/>
    <w:rsid w:val="00BB148D"/>
    <w:rsid w:val="00BB4B8F"/>
    <w:rsid w:val="00BB60D7"/>
    <w:rsid w:val="00BB7123"/>
    <w:rsid w:val="00BB7593"/>
    <w:rsid w:val="00BB7AA9"/>
    <w:rsid w:val="00BB7ADD"/>
    <w:rsid w:val="00BC047B"/>
    <w:rsid w:val="00BC06A5"/>
    <w:rsid w:val="00BC0E4F"/>
    <w:rsid w:val="00BC106F"/>
    <w:rsid w:val="00BC1ABD"/>
    <w:rsid w:val="00BC2197"/>
    <w:rsid w:val="00BC2D12"/>
    <w:rsid w:val="00BC421F"/>
    <w:rsid w:val="00BC4530"/>
    <w:rsid w:val="00BC4B11"/>
    <w:rsid w:val="00BC50C2"/>
    <w:rsid w:val="00BC59DE"/>
    <w:rsid w:val="00BC5E5E"/>
    <w:rsid w:val="00BC6C27"/>
    <w:rsid w:val="00BC796B"/>
    <w:rsid w:val="00BC79F2"/>
    <w:rsid w:val="00BD04B2"/>
    <w:rsid w:val="00BD0B44"/>
    <w:rsid w:val="00BD1948"/>
    <w:rsid w:val="00BD24FB"/>
    <w:rsid w:val="00BD469D"/>
    <w:rsid w:val="00BD4782"/>
    <w:rsid w:val="00BD4DB3"/>
    <w:rsid w:val="00BD6CC1"/>
    <w:rsid w:val="00BD6F69"/>
    <w:rsid w:val="00BD7220"/>
    <w:rsid w:val="00BD73BC"/>
    <w:rsid w:val="00BD7555"/>
    <w:rsid w:val="00BD7D3F"/>
    <w:rsid w:val="00BD7D5F"/>
    <w:rsid w:val="00BE04CE"/>
    <w:rsid w:val="00BE0C42"/>
    <w:rsid w:val="00BE20F3"/>
    <w:rsid w:val="00BE2236"/>
    <w:rsid w:val="00BE469F"/>
    <w:rsid w:val="00BE46D1"/>
    <w:rsid w:val="00BE52CB"/>
    <w:rsid w:val="00BE57C7"/>
    <w:rsid w:val="00BE59E0"/>
    <w:rsid w:val="00BE5A77"/>
    <w:rsid w:val="00BE6D01"/>
    <w:rsid w:val="00BE6EF2"/>
    <w:rsid w:val="00BF0887"/>
    <w:rsid w:val="00BF1524"/>
    <w:rsid w:val="00BF1E90"/>
    <w:rsid w:val="00BF29D6"/>
    <w:rsid w:val="00BF4D10"/>
    <w:rsid w:val="00BF577E"/>
    <w:rsid w:val="00BF5D98"/>
    <w:rsid w:val="00BF6D28"/>
    <w:rsid w:val="00C006AD"/>
    <w:rsid w:val="00C00879"/>
    <w:rsid w:val="00C01D30"/>
    <w:rsid w:val="00C02841"/>
    <w:rsid w:val="00C028B5"/>
    <w:rsid w:val="00C031D8"/>
    <w:rsid w:val="00C04B3F"/>
    <w:rsid w:val="00C04F74"/>
    <w:rsid w:val="00C07FFB"/>
    <w:rsid w:val="00C115AC"/>
    <w:rsid w:val="00C11AA9"/>
    <w:rsid w:val="00C11BDD"/>
    <w:rsid w:val="00C126FC"/>
    <w:rsid w:val="00C12B88"/>
    <w:rsid w:val="00C12C7D"/>
    <w:rsid w:val="00C13929"/>
    <w:rsid w:val="00C14440"/>
    <w:rsid w:val="00C14CBF"/>
    <w:rsid w:val="00C154CF"/>
    <w:rsid w:val="00C162A7"/>
    <w:rsid w:val="00C163E9"/>
    <w:rsid w:val="00C178EE"/>
    <w:rsid w:val="00C17F5B"/>
    <w:rsid w:val="00C201A2"/>
    <w:rsid w:val="00C22EBA"/>
    <w:rsid w:val="00C2353F"/>
    <w:rsid w:val="00C23F81"/>
    <w:rsid w:val="00C245AB"/>
    <w:rsid w:val="00C24D5E"/>
    <w:rsid w:val="00C2530E"/>
    <w:rsid w:val="00C258A3"/>
    <w:rsid w:val="00C25FEB"/>
    <w:rsid w:val="00C263B8"/>
    <w:rsid w:val="00C2697E"/>
    <w:rsid w:val="00C271CF"/>
    <w:rsid w:val="00C2762C"/>
    <w:rsid w:val="00C30EF8"/>
    <w:rsid w:val="00C31ED4"/>
    <w:rsid w:val="00C3333C"/>
    <w:rsid w:val="00C33341"/>
    <w:rsid w:val="00C3487A"/>
    <w:rsid w:val="00C358D9"/>
    <w:rsid w:val="00C36034"/>
    <w:rsid w:val="00C363DC"/>
    <w:rsid w:val="00C364C4"/>
    <w:rsid w:val="00C369F7"/>
    <w:rsid w:val="00C37B5F"/>
    <w:rsid w:val="00C40413"/>
    <w:rsid w:val="00C41D5A"/>
    <w:rsid w:val="00C429A1"/>
    <w:rsid w:val="00C42C17"/>
    <w:rsid w:val="00C43DB1"/>
    <w:rsid w:val="00C43F93"/>
    <w:rsid w:val="00C4452C"/>
    <w:rsid w:val="00C4544A"/>
    <w:rsid w:val="00C4564C"/>
    <w:rsid w:val="00C46032"/>
    <w:rsid w:val="00C46B9C"/>
    <w:rsid w:val="00C47625"/>
    <w:rsid w:val="00C47DF9"/>
    <w:rsid w:val="00C51FB2"/>
    <w:rsid w:val="00C5256B"/>
    <w:rsid w:val="00C52FF1"/>
    <w:rsid w:val="00C5444A"/>
    <w:rsid w:val="00C54DC2"/>
    <w:rsid w:val="00C5508E"/>
    <w:rsid w:val="00C5511B"/>
    <w:rsid w:val="00C55938"/>
    <w:rsid w:val="00C56214"/>
    <w:rsid w:val="00C56471"/>
    <w:rsid w:val="00C56A6F"/>
    <w:rsid w:val="00C61BC6"/>
    <w:rsid w:val="00C61C43"/>
    <w:rsid w:val="00C61F23"/>
    <w:rsid w:val="00C62A47"/>
    <w:rsid w:val="00C62A9A"/>
    <w:rsid w:val="00C64BB3"/>
    <w:rsid w:val="00C64C75"/>
    <w:rsid w:val="00C65219"/>
    <w:rsid w:val="00C655DF"/>
    <w:rsid w:val="00C7068F"/>
    <w:rsid w:val="00C709EB"/>
    <w:rsid w:val="00C70D1A"/>
    <w:rsid w:val="00C712B3"/>
    <w:rsid w:val="00C718F8"/>
    <w:rsid w:val="00C71C28"/>
    <w:rsid w:val="00C724A1"/>
    <w:rsid w:val="00C7272A"/>
    <w:rsid w:val="00C739A0"/>
    <w:rsid w:val="00C75318"/>
    <w:rsid w:val="00C75830"/>
    <w:rsid w:val="00C8081D"/>
    <w:rsid w:val="00C8151B"/>
    <w:rsid w:val="00C82EF9"/>
    <w:rsid w:val="00C83589"/>
    <w:rsid w:val="00C83979"/>
    <w:rsid w:val="00C8440A"/>
    <w:rsid w:val="00C84A03"/>
    <w:rsid w:val="00C85122"/>
    <w:rsid w:val="00C86FAE"/>
    <w:rsid w:val="00C9042A"/>
    <w:rsid w:val="00C908DA"/>
    <w:rsid w:val="00C927CF"/>
    <w:rsid w:val="00C93041"/>
    <w:rsid w:val="00C934AB"/>
    <w:rsid w:val="00C93A66"/>
    <w:rsid w:val="00C96C80"/>
    <w:rsid w:val="00C97039"/>
    <w:rsid w:val="00CA0D30"/>
    <w:rsid w:val="00CA1548"/>
    <w:rsid w:val="00CA3BA8"/>
    <w:rsid w:val="00CA4360"/>
    <w:rsid w:val="00CA4C5D"/>
    <w:rsid w:val="00CA541F"/>
    <w:rsid w:val="00CA55F4"/>
    <w:rsid w:val="00CA6313"/>
    <w:rsid w:val="00CA73D9"/>
    <w:rsid w:val="00CB0DEB"/>
    <w:rsid w:val="00CB1D19"/>
    <w:rsid w:val="00CB258B"/>
    <w:rsid w:val="00CB2EF3"/>
    <w:rsid w:val="00CB7383"/>
    <w:rsid w:val="00CC0B7B"/>
    <w:rsid w:val="00CC1912"/>
    <w:rsid w:val="00CC2477"/>
    <w:rsid w:val="00CC31B7"/>
    <w:rsid w:val="00CC4442"/>
    <w:rsid w:val="00CC72AC"/>
    <w:rsid w:val="00CC78DB"/>
    <w:rsid w:val="00CD0550"/>
    <w:rsid w:val="00CD0755"/>
    <w:rsid w:val="00CD3809"/>
    <w:rsid w:val="00CD4434"/>
    <w:rsid w:val="00CD49C7"/>
    <w:rsid w:val="00CD4DD5"/>
    <w:rsid w:val="00CD56E5"/>
    <w:rsid w:val="00CD57FA"/>
    <w:rsid w:val="00CD5CC8"/>
    <w:rsid w:val="00CD69DD"/>
    <w:rsid w:val="00CD75D0"/>
    <w:rsid w:val="00CD7995"/>
    <w:rsid w:val="00CE0A51"/>
    <w:rsid w:val="00CE0FD3"/>
    <w:rsid w:val="00CE1428"/>
    <w:rsid w:val="00CE37D8"/>
    <w:rsid w:val="00CE40E1"/>
    <w:rsid w:val="00CE4238"/>
    <w:rsid w:val="00CE4F09"/>
    <w:rsid w:val="00CE5FAB"/>
    <w:rsid w:val="00CE790C"/>
    <w:rsid w:val="00CE7EBD"/>
    <w:rsid w:val="00CF01A1"/>
    <w:rsid w:val="00CF0393"/>
    <w:rsid w:val="00CF054D"/>
    <w:rsid w:val="00CF1B97"/>
    <w:rsid w:val="00CF2F32"/>
    <w:rsid w:val="00CF4113"/>
    <w:rsid w:val="00CF43F5"/>
    <w:rsid w:val="00CF4F4A"/>
    <w:rsid w:val="00CF6E19"/>
    <w:rsid w:val="00D00313"/>
    <w:rsid w:val="00D01FA5"/>
    <w:rsid w:val="00D026B9"/>
    <w:rsid w:val="00D03D27"/>
    <w:rsid w:val="00D0403F"/>
    <w:rsid w:val="00D0511F"/>
    <w:rsid w:val="00D054B4"/>
    <w:rsid w:val="00D06094"/>
    <w:rsid w:val="00D06E37"/>
    <w:rsid w:val="00D07876"/>
    <w:rsid w:val="00D07FFA"/>
    <w:rsid w:val="00D105FD"/>
    <w:rsid w:val="00D109C1"/>
    <w:rsid w:val="00D11244"/>
    <w:rsid w:val="00D1247F"/>
    <w:rsid w:val="00D1334D"/>
    <w:rsid w:val="00D14DF0"/>
    <w:rsid w:val="00D164A1"/>
    <w:rsid w:val="00D16DF6"/>
    <w:rsid w:val="00D20354"/>
    <w:rsid w:val="00D203E2"/>
    <w:rsid w:val="00D20658"/>
    <w:rsid w:val="00D20E11"/>
    <w:rsid w:val="00D218AB"/>
    <w:rsid w:val="00D223F6"/>
    <w:rsid w:val="00D2287F"/>
    <w:rsid w:val="00D2480D"/>
    <w:rsid w:val="00D27238"/>
    <w:rsid w:val="00D30513"/>
    <w:rsid w:val="00D3091D"/>
    <w:rsid w:val="00D311E2"/>
    <w:rsid w:val="00D31681"/>
    <w:rsid w:val="00D325B3"/>
    <w:rsid w:val="00D32B03"/>
    <w:rsid w:val="00D32D95"/>
    <w:rsid w:val="00D34C7B"/>
    <w:rsid w:val="00D355F1"/>
    <w:rsid w:val="00D358C4"/>
    <w:rsid w:val="00D36EF6"/>
    <w:rsid w:val="00D37621"/>
    <w:rsid w:val="00D40D41"/>
    <w:rsid w:val="00D40DAB"/>
    <w:rsid w:val="00D422D9"/>
    <w:rsid w:val="00D432A4"/>
    <w:rsid w:val="00D438F4"/>
    <w:rsid w:val="00D43EE8"/>
    <w:rsid w:val="00D46283"/>
    <w:rsid w:val="00D46494"/>
    <w:rsid w:val="00D47328"/>
    <w:rsid w:val="00D50DFE"/>
    <w:rsid w:val="00D51066"/>
    <w:rsid w:val="00D520E7"/>
    <w:rsid w:val="00D52ADC"/>
    <w:rsid w:val="00D53046"/>
    <w:rsid w:val="00D53966"/>
    <w:rsid w:val="00D5475D"/>
    <w:rsid w:val="00D54765"/>
    <w:rsid w:val="00D55936"/>
    <w:rsid w:val="00D559EA"/>
    <w:rsid w:val="00D56C31"/>
    <w:rsid w:val="00D57090"/>
    <w:rsid w:val="00D60080"/>
    <w:rsid w:val="00D6131B"/>
    <w:rsid w:val="00D61A74"/>
    <w:rsid w:val="00D61CDF"/>
    <w:rsid w:val="00D62399"/>
    <w:rsid w:val="00D70121"/>
    <w:rsid w:val="00D70EE4"/>
    <w:rsid w:val="00D71A4D"/>
    <w:rsid w:val="00D71FEC"/>
    <w:rsid w:val="00D728B9"/>
    <w:rsid w:val="00D7380C"/>
    <w:rsid w:val="00D7419F"/>
    <w:rsid w:val="00D74361"/>
    <w:rsid w:val="00D7784A"/>
    <w:rsid w:val="00D77BA5"/>
    <w:rsid w:val="00D77C3F"/>
    <w:rsid w:val="00D8233E"/>
    <w:rsid w:val="00D82C07"/>
    <w:rsid w:val="00D8374F"/>
    <w:rsid w:val="00D84519"/>
    <w:rsid w:val="00D846D4"/>
    <w:rsid w:val="00D85198"/>
    <w:rsid w:val="00D852B1"/>
    <w:rsid w:val="00D8539A"/>
    <w:rsid w:val="00D86B86"/>
    <w:rsid w:val="00D87689"/>
    <w:rsid w:val="00D87FB2"/>
    <w:rsid w:val="00D915C9"/>
    <w:rsid w:val="00D91941"/>
    <w:rsid w:val="00D91E61"/>
    <w:rsid w:val="00D933CA"/>
    <w:rsid w:val="00D937DC"/>
    <w:rsid w:val="00D95609"/>
    <w:rsid w:val="00D95D4B"/>
    <w:rsid w:val="00D962B1"/>
    <w:rsid w:val="00D972EA"/>
    <w:rsid w:val="00DA139E"/>
    <w:rsid w:val="00DA1E8F"/>
    <w:rsid w:val="00DA2C8F"/>
    <w:rsid w:val="00DA7399"/>
    <w:rsid w:val="00DA76D4"/>
    <w:rsid w:val="00DA7AD1"/>
    <w:rsid w:val="00DB0183"/>
    <w:rsid w:val="00DB01C4"/>
    <w:rsid w:val="00DB1810"/>
    <w:rsid w:val="00DB214F"/>
    <w:rsid w:val="00DB2D0F"/>
    <w:rsid w:val="00DB32A7"/>
    <w:rsid w:val="00DB62A9"/>
    <w:rsid w:val="00DB6722"/>
    <w:rsid w:val="00DB75FA"/>
    <w:rsid w:val="00DC0866"/>
    <w:rsid w:val="00DC3C84"/>
    <w:rsid w:val="00DC45E0"/>
    <w:rsid w:val="00DC5E13"/>
    <w:rsid w:val="00DC6618"/>
    <w:rsid w:val="00DC70D0"/>
    <w:rsid w:val="00DD03F2"/>
    <w:rsid w:val="00DD1182"/>
    <w:rsid w:val="00DD12D1"/>
    <w:rsid w:val="00DD16DD"/>
    <w:rsid w:val="00DD1C84"/>
    <w:rsid w:val="00DD30D2"/>
    <w:rsid w:val="00DD4181"/>
    <w:rsid w:val="00DD45DE"/>
    <w:rsid w:val="00DD4CAE"/>
    <w:rsid w:val="00DD5845"/>
    <w:rsid w:val="00DD675E"/>
    <w:rsid w:val="00DD7393"/>
    <w:rsid w:val="00DD7A8D"/>
    <w:rsid w:val="00DE0DBE"/>
    <w:rsid w:val="00DE1460"/>
    <w:rsid w:val="00DE1766"/>
    <w:rsid w:val="00DE4B44"/>
    <w:rsid w:val="00DE547E"/>
    <w:rsid w:val="00DF0E78"/>
    <w:rsid w:val="00DF253E"/>
    <w:rsid w:val="00DF2580"/>
    <w:rsid w:val="00DF2DAF"/>
    <w:rsid w:val="00DF2ED9"/>
    <w:rsid w:val="00DF35A5"/>
    <w:rsid w:val="00DF374B"/>
    <w:rsid w:val="00DF48E9"/>
    <w:rsid w:val="00DF4ABA"/>
    <w:rsid w:val="00DF615F"/>
    <w:rsid w:val="00DF6964"/>
    <w:rsid w:val="00DF6ED3"/>
    <w:rsid w:val="00DF7446"/>
    <w:rsid w:val="00DF7ABA"/>
    <w:rsid w:val="00DF7F7D"/>
    <w:rsid w:val="00E00D29"/>
    <w:rsid w:val="00E01253"/>
    <w:rsid w:val="00E01516"/>
    <w:rsid w:val="00E03930"/>
    <w:rsid w:val="00E05C60"/>
    <w:rsid w:val="00E05F79"/>
    <w:rsid w:val="00E06319"/>
    <w:rsid w:val="00E065F2"/>
    <w:rsid w:val="00E06805"/>
    <w:rsid w:val="00E07C67"/>
    <w:rsid w:val="00E1116A"/>
    <w:rsid w:val="00E12A3F"/>
    <w:rsid w:val="00E13413"/>
    <w:rsid w:val="00E1372E"/>
    <w:rsid w:val="00E14677"/>
    <w:rsid w:val="00E147BC"/>
    <w:rsid w:val="00E15518"/>
    <w:rsid w:val="00E167D9"/>
    <w:rsid w:val="00E1701C"/>
    <w:rsid w:val="00E17356"/>
    <w:rsid w:val="00E201CD"/>
    <w:rsid w:val="00E203BD"/>
    <w:rsid w:val="00E210B8"/>
    <w:rsid w:val="00E2221B"/>
    <w:rsid w:val="00E22A7D"/>
    <w:rsid w:val="00E22CDE"/>
    <w:rsid w:val="00E23660"/>
    <w:rsid w:val="00E24338"/>
    <w:rsid w:val="00E2453F"/>
    <w:rsid w:val="00E27145"/>
    <w:rsid w:val="00E2759D"/>
    <w:rsid w:val="00E27838"/>
    <w:rsid w:val="00E31DE4"/>
    <w:rsid w:val="00E32B3F"/>
    <w:rsid w:val="00E33191"/>
    <w:rsid w:val="00E34575"/>
    <w:rsid w:val="00E356DC"/>
    <w:rsid w:val="00E35899"/>
    <w:rsid w:val="00E35944"/>
    <w:rsid w:val="00E363D3"/>
    <w:rsid w:val="00E368C5"/>
    <w:rsid w:val="00E3695F"/>
    <w:rsid w:val="00E36F71"/>
    <w:rsid w:val="00E37660"/>
    <w:rsid w:val="00E40542"/>
    <w:rsid w:val="00E41505"/>
    <w:rsid w:val="00E41F70"/>
    <w:rsid w:val="00E42A99"/>
    <w:rsid w:val="00E43DFD"/>
    <w:rsid w:val="00E450AE"/>
    <w:rsid w:val="00E45400"/>
    <w:rsid w:val="00E45C1C"/>
    <w:rsid w:val="00E46FED"/>
    <w:rsid w:val="00E50E70"/>
    <w:rsid w:val="00E52986"/>
    <w:rsid w:val="00E53106"/>
    <w:rsid w:val="00E532EA"/>
    <w:rsid w:val="00E53B1D"/>
    <w:rsid w:val="00E54947"/>
    <w:rsid w:val="00E553F4"/>
    <w:rsid w:val="00E55E34"/>
    <w:rsid w:val="00E56D38"/>
    <w:rsid w:val="00E57310"/>
    <w:rsid w:val="00E5794E"/>
    <w:rsid w:val="00E57E96"/>
    <w:rsid w:val="00E610A6"/>
    <w:rsid w:val="00E61863"/>
    <w:rsid w:val="00E6276A"/>
    <w:rsid w:val="00E62EBA"/>
    <w:rsid w:val="00E63646"/>
    <w:rsid w:val="00E64006"/>
    <w:rsid w:val="00E64192"/>
    <w:rsid w:val="00E642CA"/>
    <w:rsid w:val="00E64505"/>
    <w:rsid w:val="00E6486D"/>
    <w:rsid w:val="00E64E09"/>
    <w:rsid w:val="00E64E51"/>
    <w:rsid w:val="00E66604"/>
    <w:rsid w:val="00E6694A"/>
    <w:rsid w:val="00E66FB3"/>
    <w:rsid w:val="00E67A02"/>
    <w:rsid w:val="00E67BF3"/>
    <w:rsid w:val="00E70203"/>
    <w:rsid w:val="00E7185C"/>
    <w:rsid w:val="00E72471"/>
    <w:rsid w:val="00E726F4"/>
    <w:rsid w:val="00E7439C"/>
    <w:rsid w:val="00E74DE6"/>
    <w:rsid w:val="00E7654E"/>
    <w:rsid w:val="00E7665C"/>
    <w:rsid w:val="00E775B0"/>
    <w:rsid w:val="00E77F1C"/>
    <w:rsid w:val="00E80AA3"/>
    <w:rsid w:val="00E80DA9"/>
    <w:rsid w:val="00E833C6"/>
    <w:rsid w:val="00E83D9A"/>
    <w:rsid w:val="00E873F6"/>
    <w:rsid w:val="00E876F2"/>
    <w:rsid w:val="00E9161E"/>
    <w:rsid w:val="00E92D18"/>
    <w:rsid w:val="00E93138"/>
    <w:rsid w:val="00E943C9"/>
    <w:rsid w:val="00E978C6"/>
    <w:rsid w:val="00EA029C"/>
    <w:rsid w:val="00EA174E"/>
    <w:rsid w:val="00EA254B"/>
    <w:rsid w:val="00EA3383"/>
    <w:rsid w:val="00EA358D"/>
    <w:rsid w:val="00EA3920"/>
    <w:rsid w:val="00EA41BA"/>
    <w:rsid w:val="00EA4227"/>
    <w:rsid w:val="00EA46DE"/>
    <w:rsid w:val="00EA770A"/>
    <w:rsid w:val="00EB0868"/>
    <w:rsid w:val="00EB0AB7"/>
    <w:rsid w:val="00EB18F0"/>
    <w:rsid w:val="00EB2E10"/>
    <w:rsid w:val="00EB3856"/>
    <w:rsid w:val="00EB4511"/>
    <w:rsid w:val="00EB5B7C"/>
    <w:rsid w:val="00EB5CEE"/>
    <w:rsid w:val="00EB6CEA"/>
    <w:rsid w:val="00EB7F61"/>
    <w:rsid w:val="00EC03C3"/>
    <w:rsid w:val="00EC1228"/>
    <w:rsid w:val="00EC1EA7"/>
    <w:rsid w:val="00EC2C43"/>
    <w:rsid w:val="00EC33B1"/>
    <w:rsid w:val="00EC3C9A"/>
    <w:rsid w:val="00EC48E4"/>
    <w:rsid w:val="00EC574E"/>
    <w:rsid w:val="00EC7117"/>
    <w:rsid w:val="00EC779D"/>
    <w:rsid w:val="00ED0E53"/>
    <w:rsid w:val="00ED10EA"/>
    <w:rsid w:val="00ED1403"/>
    <w:rsid w:val="00ED460F"/>
    <w:rsid w:val="00ED4D03"/>
    <w:rsid w:val="00ED541A"/>
    <w:rsid w:val="00ED55BF"/>
    <w:rsid w:val="00ED6986"/>
    <w:rsid w:val="00ED6F46"/>
    <w:rsid w:val="00EE0A29"/>
    <w:rsid w:val="00EE1535"/>
    <w:rsid w:val="00EE1C8A"/>
    <w:rsid w:val="00EE276B"/>
    <w:rsid w:val="00EE35B3"/>
    <w:rsid w:val="00EE44EF"/>
    <w:rsid w:val="00EF03E3"/>
    <w:rsid w:val="00EF102D"/>
    <w:rsid w:val="00EF14A8"/>
    <w:rsid w:val="00EF1E4D"/>
    <w:rsid w:val="00EF277D"/>
    <w:rsid w:val="00EF2EF2"/>
    <w:rsid w:val="00EF39EC"/>
    <w:rsid w:val="00EF46E9"/>
    <w:rsid w:val="00EF60F3"/>
    <w:rsid w:val="00EF7395"/>
    <w:rsid w:val="00EF79ED"/>
    <w:rsid w:val="00F004B1"/>
    <w:rsid w:val="00F01CD5"/>
    <w:rsid w:val="00F01D91"/>
    <w:rsid w:val="00F024CF"/>
    <w:rsid w:val="00F031A2"/>
    <w:rsid w:val="00F03315"/>
    <w:rsid w:val="00F0357B"/>
    <w:rsid w:val="00F10A47"/>
    <w:rsid w:val="00F128DC"/>
    <w:rsid w:val="00F13D83"/>
    <w:rsid w:val="00F14DDD"/>
    <w:rsid w:val="00F15043"/>
    <w:rsid w:val="00F15A99"/>
    <w:rsid w:val="00F1655B"/>
    <w:rsid w:val="00F16FE5"/>
    <w:rsid w:val="00F17057"/>
    <w:rsid w:val="00F17133"/>
    <w:rsid w:val="00F2300D"/>
    <w:rsid w:val="00F25C4D"/>
    <w:rsid w:val="00F279E2"/>
    <w:rsid w:val="00F27A37"/>
    <w:rsid w:val="00F30096"/>
    <w:rsid w:val="00F3062F"/>
    <w:rsid w:val="00F312DA"/>
    <w:rsid w:val="00F317A1"/>
    <w:rsid w:val="00F32356"/>
    <w:rsid w:val="00F33759"/>
    <w:rsid w:val="00F34333"/>
    <w:rsid w:val="00F3473D"/>
    <w:rsid w:val="00F3534F"/>
    <w:rsid w:val="00F3555E"/>
    <w:rsid w:val="00F35910"/>
    <w:rsid w:val="00F36422"/>
    <w:rsid w:val="00F37600"/>
    <w:rsid w:val="00F37DFE"/>
    <w:rsid w:val="00F4070A"/>
    <w:rsid w:val="00F411A4"/>
    <w:rsid w:val="00F41925"/>
    <w:rsid w:val="00F428FA"/>
    <w:rsid w:val="00F42A02"/>
    <w:rsid w:val="00F42FF0"/>
    <w:rsid w:val="00F43C71"/>
    <w:rsid w:val="00F45B5D"/>
    <w:rsid w:val="00F504C7"/>
    <w:rsid w:val="00F5070F"/>
    <w:rsid w:val="00F513B8"/>
    <w:rsid w:val="00F5283C"/>
    <w:rsid w:val="00F53823"/>
    <w:rsid w:val="00F5398E"/>
    <w:rsid w:val="00F53B06"/>
    <w:rsid w:val="00F5533C"/>
    <w:rsid w:val="00F55BAC"/>
    <w:rsid w:val="00F55EE5"/>
    <w:rsid w:val="00F5640B"/>
    <w:rsid w:val="00F56FA7"/>
    <w:rsid w:val="00F5780D"/>
    <w:rsid w:val="00F6012A"/>
    <w:rsid w:val="00F608B8"/>
    <w:rsid w:val="00F63776"/>
    <w:rsid w:val="00F64234"/>
    <w:rsid w:val="00F65B41"/>
    <w:rsid w:val="00F66B1C"/>
    <w:rsid w:val="00F67171"/>
    <w:rsid w:val="00F67302"/>
    <w:rsid w:val="00F703ED"/>
    <w:rsid w:val="00F7221A"/>
    <w:rsid w:val="00F7318E"/>
    <w:rsid w:val="00F757FA"/>
    <w:rsid w:val="00F778AA"/>
    <w:rsid w:val="00F8018C"/>
    <w:rsid w:val="00F818A0"/>
    <w:rsid w:val="00F81F05"/>
    <w:rsid w:val="00F824DD"/>
    <w:rsid w:val="00F825EA"/>
    <w:rsid w:val="00F83967"/>
    <w:rsid w:val="00F83A0B"/>
    <w:rsid w:val="00F842DA"/>
    <w:rsid w:val="00F8442E"/>
    <w:rsid w:val="00F8525F"/>
    <w:rsid w:val="00F87507"/>
    <w:rsid w:val="00F90C10"/>
    <w:rsid w:val="00F9196C"/>
    <w:rsid w:val="00F92113"/>
    <w:rsid w:val="00F92975"/>
    <w:rsid w:val="00F929E8"/>
    <w:rsid w:val="00F94251"/>
    <w:rsid w:val="00F9709F"/>
    <w:rsid w:val="00FA175F"/>
    <w:rsid w:val="00FA1C93"/>
    <w:rsid w:val="00FA1FA8"/>
    <w:rsid w:val="00FA3975"/>
    <w:rsid w:val="00FA3AD5"/>
    <w:rsid w:val="00FA4329"/>
    <w:rsid w:val="00FA4392"/>
    <w:rsid w:val="00FA44FF"/>
    <w:rsid w:val="00FA55D8"/>
    <w:rsid w:val="00FA5A37"/>
    <w:rsid w:val="00FA63F3"/>
    <w:rsid w:val="00FA6C59"/>
    <w:rsid w:val="00FA771D"/>
    <w:rsid w:val="00FA799C"/>
    <w:rsid w:val="00FB03A2"/>
    <w:rsid w:val="00FB0605"/>
    <w:rsid w:val="00FB148B"/>
    <w:rsid w:val="00FB3123"/>
    <w:rsid w:val="00FB3B95"/>
    <w:rsid w:val="00FB3F0C"/>
    <w:rsid w:val="00FB429F"/>
    <w:rsid w:val="00FB5076"/>
    <w:rsid w:val="00FB67DA"/>
    <w:rsid w:val="00FB6800"/>
    <w:rsid w:val="00FB6A8E"/>
    <w:rsid w:val="00FB6FCF"/>
    <w:rsid w:val="00FB7B2E"/>
    <w:rsid w:val="00FC0203"/>
    <w:rsid w:val="00FC0494"/>
    <w:rsid w:val="00FC04DB"/>
    <w:rsid w:val="00FC117A"/>
    <w:rsid w:val="00FC20A7"/>
    <w:rsid w:val="00FC3AAE"/>
    <w:rsid w:val="00FC4322"/>
    <w:rsid w:val="00FC52C5"/>
    <w:rsid w:val="00FC5980"/>
    <w:rsid w:val="00FD07CF"/>
    <w:rsid w:val="00FD1899"/>
    <w:rsid w:val="00FD19A5"/>
    <w:rsid w:val="00FD1B8C"/>
    <w:rsid w:val="00FD2B61"/>
    <w:rsid w:val="00FD5EC1"/>
    <w:rsid w:val="00FD6724"/>
    <w:rsid w:val="00FD69F4"/>
    <w:rsid w:val="00FD7815"/>
    <w:rsid w:val="00FE0664"/>
    <w:rsid w:val="00FE10DF"/>
    <w:rsid w:val="00FE12F8"/>
    <w:rsid w:val="00FE39C0"/>
    <w:rsid w:val="00FE3E53"/>
    <w:rsid w:val="00FE49F7"/>
    <w:rsid w:val="00FE56BC"/>
    <w:rsid w:val="00FE6C7E"/>
    <w:rsid w:val="00FE705A"/>
    <w:rsid w:val="00FF00E6"/>
    <w:rsid w:val="00FF0E8C"/>
    <w:rsid w:val="00FF170F"/>
    <w:rsid w:val="00FF180E"/>
    <w:rsid w:val="00FF2BC5"/>
    <w:rsid w:val="00FF44BA"/>
    <w:rsid w:val="00FF5631"/>
    <w:rsid w:val="00FF595F"/>
    <w:rsid w:val="00FF73B5"/>
    <w:rsid w:val="00FF76E4"/>
    <w:rsid w:val="00FF7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52F4A"/>
  <w15:chartTrackingRefBased/>
  <w15:docId w15:val="{ECB7A346-BDB8-41CA-AF4F-7B0F0390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5E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17471"/>
    <w:rPr>
      <w:rFonts w:ascii="Helvetica" w:hAnsi="Helvetica" w:hint="default"/>
      <w:b w:val="0"/>
      <w:bCs w:val="0"/>
      <w:i w:val="0"/>
      <w:iCs w:val="0"/>
      <w:color w:val="242021"/>
      <w:sz w:val="18"/>
      <w:szCs w:val="18"/>
    </w:rPr>
  </w:style>
  <w:style w:type="paragraph" w:styleId="Header">
    <w:name w:val="header"/>
    <w:basedOn w:val="Normal"/>
    <w:link w:val="HeaderChar"/>
    <w:uiPriority w:val="99"/>
    <w:unhideWhenUsed/>
    <w:rsid w:val="00E57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E96"/>
  </w:style>
  <w:style w:type="paragraph" w:styleId="Footer">
    <w:name w:val="footer"/>
    <w:basedOn w:val="Normal"/>
    <w:link w:val="FooterChar"/>
    <w:uiPriority w:val="99"/>
    <w:unhideWhenUsed/>
    <w:rsid w:val="00E57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E96"/>
  </w:style>
  <w:style w:type="character" w:customStyle="1" w:styleId="fontstyle21">
    <w:name w:val="fontstyle21"/>
    <w:basedOn w:val="DefaultParagraphFont"/>
    <w:rsid w:val="00534D09"/>
    <w:rPr>
      <w:rFonts w:ascii="AvenirNextLTPro-Regular" w:hAnsi="AvenirNextLTPro-Regular" w:hint="default"/>
      <w:b w:val="0"/>
      <w:bCs w:val="0"/>
      <w:i w:val="0"/>
      <w:iCs w:val="0"/>
      <w:color w:val="242021"/>
      <w:sz w:val="16"/>
      <w:szCs w:val="16"/>
    </w:rPr>
  </w:style>
  <w:style w:type="paragraph" w:styleId="FootnoteText">
    <w:name w:val="footnote text"/>
    <w:basedOn w:val="Normal"/>
    <w:link w:val="FootnoteTextChar"/>
    <w:uiPriority w:val="99"/>
    <w:semiHidden/>
    <w:unhideWhenUsed/>
    <w:rsid w:val="00607B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B8D"/>
    <w:rPr>
      <w:sz w:val="20"/>
      <w:szCs w:val="20"/>
    </w:rPr>
  </w:style>
  <w:style w:type="character" w:styleId="FootnoteReference">
    <w:name w:val="footnote reference"/>
    <w:basedOn w:val="DefaultParagraphFont"/>
    <w:uiPriority w:val="99"/>
    <w:semiHidden/>
    <w:unhideWhenUsed/>
    <w:rsid w:val="00607B8D"/>
    <w:rPr>
      <w:vertAlign w:val="superscript"/>
    </w:rPr>
  </w:style>
  <w:style w:type="character" w:customStyle="1" w:styleId="Heading3Char">
    <w:name w:val="Heading 3 Char"/>
    <w:basedOn w:val="DefaultParagraphFont"/>
    <w:link w:val="Heading3"/>
    <w:uiPriority w:val="9"/>
    <w:rsid w:val="00E55E3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55E34"/>
    <w:rPr>
      <w:color w:val="0000FF"/>
      <w:u w:val="single"/>
    </w:rPr>
  </w:style>
  <w:style w:type="table" w:styleId="TableGrid">
    <w:name w:val="Table Grid"/>
    <w:basedOn w:val="TableNormal"/>
    <w:uiPriority w:val="39"/>
    <w:rsid w:val="001D3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3320"/>
    <w:pPr>
      <w:ind w:left="720"/>
      <w:contextualSpacing/>
    </w:pPr>
  </w:style>
  <w:style w:type="character" w:customStyle="1" w:styleId="fontstyle31">
    <w:name w:val="fontstyle31"/>
    <w:basedOn w:val="DefaultParagraphFont"/>
    <w:rsid w:val="00117A5F"/>
    <w:rPr>
      <w:rFonts w:ascii="AdvTTb8864ccf.B" w:hAnsi="AdvTTb8864ccf.B" w:hint="default"/>
      <w:b w:val="0"/>
      <w:bCs w:val="0"/>
      <w:i w:val="0"/>
      <w:iCs w:val="0"/>
      <w:color w:val="242021"/>
      <w:sz w:val="18"/>
      <w:szCs w:val="18"/>
    </w:rPr>
  </w:style>
  <w:style w:type="character" w:customStyle="1" w:styleId="fontstyle41">
    <w:name w:val="fontstyle41"/>
    <w:basedOn w:val="DefaultParagraphFont"/>
    <w:rsid w:val="00117A5F"/>
    <w:rPr>
      <w:rFonts w:ascii="AdvTT6120e2aa+20" w:hAnsi="AdvTT6120e2aa+20" w:hint="default"/>
      <w:b w:val="0"/>
      <w:bCs w:val="0"/>
      <w:i w:val="0"/>
      <w:iCs w:val="0"/>
      <w:color w:val="242021"/>
      <w:sz w:val="18"/>
      <w:szCs w:val="18"/>
    </w:rPr>
  </w:style>
  <w:style w:type="character" w:customStyle="1" w:styleId="searchhistory-search-term">
    <w:name w:val="searchhistory-search-term"/>
    <w:basedOn w:val="DefaultParagraphFont"/>
    <w:rsid w:val="008E6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915">
      <w:bodyDiv w:val="1"/>
      <w:marLeft w:val="0"/>
      <w:marRight w:val="0"/>
      <w:marTop w:val="0"/>
      <w:marBottom w:val="0"/>
      <w:divBdr>
        <w:top w:val="none" w:sz="0" w:space="0" w:color="auto"/>
        <w:left w:val="none" w:sz="0" w:space="0" w:color="auto"/>
        <w:bottom w:val="none" w:sz="0" w:space="0" w:color="auto"/>
        <w:right w:val="none" w:sz="0" w:space="0" w:color="auto"/>
      </w:divBdr>
      <w:divsChild>
        <w:div w:id="1859586872">
          <w:marLeft w:val="547"/>
          <w:marRight w:val="0"/>
          <w:marTop w:val="0"/>
          <w:marBottom w:val="0"/>
          <w:divBdr>
            <w:top w:val="none" w:sz="0" w:space="0" w:color="auto"/>
            <w:left w:val="none" w:sz="0" w:space="0" w:color="auto"/>
            <w:bottom w:val="none" w:sz="0" w:space="0" w:color="auto"/>
            <w:right w:val="none" w:sz="0" w:space="0" w:color="auto"/>
          </w:divBdr>
        </w:div>
        <w:div w:id="1262685238">
          <w:marLeft w:val="547"/>
          <w:marRight w:val="0"/>
          <w:marTop w:val="0"/>
          <w:marBottom w:val="0"/>
          <w:divBdr>
            <w:top w:val="none" w:sz="0" w:space="0" w:color="auto"/>
            <w:left w:val="none" w:sz="0" w:space="0" w:color="auto"/>
            <w:bottom w:val="none" w:sz="0" w:space="0" w:color="auto"/>
            <w:right w:val="none" w:sz="0" w:space="0" w:color="auto"/>
          </w:divBdr>
        </w:div>
      </w:divsChild>
    </w:div>
    <w:div w:id="203718215">
      <w:bodyDiv w:val="1"/>
      <w:marLeft w:val="0"/>
      <w:marRight w:val="0"/>
      <w:marTop w:val="0"/>
      <w:marBottom w:val="0"/>
      <w:divBdr>
        <w:top w:val="none" w:sz="0" w:space="0" w:color="auto"/>
        <w:left w:val="none" w:sz="0" w:space="0" w:color="auto"/>
        <w:bottom w:val="none" w:sz="0" w:space="0" w:color="auto"/>
        <w:right w:val="none" w:sz="0" w:space="0" w:color="auto"/>
      </w:divBdr>
    </w:div>
    <w:div w:id="543568423">
      <w:bodyDiv w:val="1"/>
      <w:marLeft w:val="0"/>
      <w:marRight w:val="0"/>
      <w:marTop w:val="0"/>
      <w:marBottom w:val="0"/>
      <w:divBdr>
        <w:top w:val="none" w:sz="0" w:space="0" w:color="auto"/>
        <w:left w:val="none" w:sz="0" w:space="0" w:color="auto"/>
        <w:bottom w:val="none" w:sz="0" w:space="0" w:color="auto"/>
        <w:right w:val="none" w:sz="0" w:space="0" w:color="auto"/>
      </w:divBdr>
    </w:div>
    <w:div w:id="107775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E7EA0-6B62-4011-A159-7BEAB74C5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13204</TotalTime>
  <Pages>28</Pages>
  <Words>44215</Words>
  <Characters>252031</Characters>
  <Application>Microsoft Office Word</Application>
  <DocSecurity>0</DocSecurity>
  <Lines>2100</Lines>
  <Paragraphs>591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Opoku</dc:creator>
  <cp:keywords/>
  <dc:description/>
  <cp:lastModifiedBy>Eric Opoku</cp:lastModifiedBy>
  <cp:revision>2707</cp:revision>
  <cp:lastPrinted>2021-11-01T14:46:00Z</cp:lastPrinted>
  <dcterms:created xsi:type="dcterms:W3CDTF">2021-10-01T02:57:00Z</dcterms:created>
  <dcterms:modified xsi:type="dcterms:W3CDTF">2021-11-04T21:41:00Z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844426af-cdae-3fe5-9630-47bd6a3fa389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