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7404" w14:textId="77777777" w:rsidR="00210C58" w:rsidRPr="007A28AF" w:rsidRDefault="00210C58" w:rsidP="00F632B7">
      <w:pPr>
        <w:spacing w:line="480" w:lineRule="auto"/>
        <w:jc w:val="both"/>
        <w:rPr>
          <w:rFonts w:ascii="Times New Roman" w:hAnsi="Times New Roman" w:cs="Times New Roman"/>
          <w:b/>
          <w:bCs/>
          <w:sz w:val="24"/>
          <w:szCs w:val="24"/>
          <w:u w:val="single"/>
        </w:rPr>
      </w:pPr>
    </w:p>
    <w:p w14:paraId="3AEDEB56" w14:textId="41AAF03E" w:rsidR="00944411" w:rsidRPr="007A28AF" w:rsidRDefault="002854B9" w:rsidP="009C2CA1">
      <w:pPr>
        <w:spacing w:line="480" w:lineRule="auto"/>
        <w:jc w:val="center"/>
        <w:rPr>
          <w:rFonts w:ascii="Times New Roman" w:hAnsi="Times New Roman" w:cs="Times New Roman"/>
          <w:b/>
          <w:bCs/>
          <w:sz w:val="24"/>
          <w:szCs w:val="24"/>
          <w:u w:val="single"/>
        </w:rPr>
      </w:pPr>
      <w:r w:rsidRPr="007A28AF">
        <w:rPr>
          <w:rFonts w:ascii="Times New Roman" w:hAnsi="Times New Roman" w:cs="Times New Roman"/>
          <w:b/>
          <w:bCs/>
          <w:sz w:val="24"/>
          <w:szCs w:val="24"/>
          <w:u w:val="single"/>
        </w:rPr>
        <w:t>EQUITY</w:t>
      </w:r>
      <w:r w:rsidR="00E9013D" w:rsidRPr="007A28AF">
        <w:rPr>
          <w:rFonts w:ascii="Times New Roman" w:hAnsi="Times New Roman" w:cs="Times New Roman"/>
          <w:b/>
          <w:bCs/>
          <w:sz w:val="24"/>
          <w:szCs w:val="24"/>
          <w:u w:val="single"/>
        </w:rPr>
        <w:t xml:space="preserve">-FOCUSED POPULATION HEALTH </w:t>
      </w:r>
      <w:r w:rsidR="00B1229D" w:rsidRPr="007A28AF">
        <w:rPr>
          <w:rFonts w:ascii="Times New Roman" w:hAnsi="Times New Roman" w:cs="Times New Roman"/>
          <w:b/>
          <w:bCs/>
          <w:sz w:val="24"/>
          <w:szCs w:val="24"/>
          <w:u w:val="single"/>
        </w:rPr>
        <w:t xml:space="preserve">INTERVENTION </w:t>
      </w:r>
      <w:r w:rsidR="00E9013D" w:rsidRPr="007A28AF">
        <w:rPr>
          <w:rFonts w:ascii="Times New Roman" w:hAnsi="Times New Roman" w:cs="Times New Roman"/>
          <w:b/>
          <w:bCs/>
          <w:sz w:val="24"/>
          <w:szCs w:val="24"/>
          <w:u w:val="single"/>
        </w:rPr>
        <w:t xml:space="preserve">RESEARCH </w:t>
      </w:r>
      <w:r w:rsidR="00FB4C78" w:rsidRPr="007A28AF">
        <w:rPr>
          <w:rFonts w:ascii="Times New Roman" w:hAnsi="Times New Roman" w:cs="Times New Roman"/>
          <w:b/>
          <w:bCs/>
          <w:sz w:val="24"/>
          <w:szCs w:val="24"/>
          <w:u w:val="single"/>
        </w:rPr>
        <w:t xml:space="preserve">FRAMEWORK </w:t>
      </w:r>
      <w:r w:rsidR="00E9013D" w:rsidRPr="007A28AF">
        <w:rPr>
          <w:rFonts w:ascii="Times New Roman" w:hAnsi="Times New Roman" w:cs="Times New Roman"/>
          <w:b/>
          <w:bCs/>
          <w:sz w:val="24"/>
          <w:szCs w:val="24"/>
          <w:u w:val="single"/>
        </w:rPr>
        <w:t>(Equi</w:t>
      </w:r>
      <w:r w:rsidR="00F350D4" w:rsidRPr="007A28AF">
        <w:rPr>
          <w:rFonts w:ascii="Times New Roman" w:hAnsi="Times New Roman" w:cs="Times New Roman"/>
          <w:b/>
          <w:bCs/>
          <w:sz w:val="24"/>
          <w:szCs w:val="24"/>
          <w:u w:val="single"/>
        </w:rPr>
        <w:t>-</w:t>
      </w:r>
      <w:r w:rsidR="00E9013D" w:rsidRPr="007A28AF">
        <w:rPr>
          <w:rFonts w:ascii="Times New Roman" w:hAnsi="Times New Roman" w:cs="Times New Roman"/>
          <w:b/>
          <w:bCs/>
          <w:sz w:val="24"/>
          <w:szCs w:val="24"/>
          <w:u w:val="single"/>
        </w:rPr>
        <w:t>PH</w:t>
      </w:r>
      <w:r w:rsidR="00B1229D" w:rsidRPr="007A28AF">
        <w:rPr>
          <w:rFonts w:ascii="Times New Roman" w:hAnsi="Times New Roman" w:cs="Times New Roman"/>
          <w:b/>
          <w:bCs/>
          <w:sz w:val="24"/>
          <w:szCs w:val="24"/>
          <w:u w:val="single"/>
        </w:rPr>
        <w:t>I</w:t>
      </w:r>
      <w:r w:rsidR="00E9013D" w:rsidRPr="007A28AF">
        <w:rPr>
          <w:rFonts w:ascii="Times New Roman" w:hAnsi="Times New Roman" w:cs="Times New Roman"/>
          <w:b/>
          <w:bCs/>
          <w:sz w:val="24"/>
          <w:szCs w:val="24"/>
          <w:u w:val="single"/>
        </w:rPr>
        <w:t>R)</w:t>
      </w:r>
      <w:r w:rsidR="00FB4C78" w:rsidRPr="007A28AF">
        <w:rPr>
          <w:rFonts w:ascii="Times New Roman" w:hAnsi="Times New Roman" w:cs="Times New Roman"/>
          <w:b/>
          <w:bCs/>
          <w:sz w:val="24"/>
          <w:szCs w:val="24"/>
          <w:u w:val="single"/>
        </w:rPr>
        <w:t xml:space="preserve">: A MODEL FOR HEALTH RESEARCHERS AND </w:t>
      </w:r>
      <w:r w:rsidR="000E7D11" w:rsidRPr="007A28AF">
        <w:rPr>
          <w:rFonts w:ascii="Times New Roman" w:hAnsi="Times New Roman" w:cs="Times New Roman"/>
          <w:b/>
          <w:bCs/>
          <w:sz w:val="24"/>
          <w:szCs w:val="24"/>
          <w:u w:val="single"/>
        </w:rPr>
        <w:t>PRACTITIONERS</w:t>
      </w:r>
    </w:p>
    <w:p w14:paraId="2C89A8DE" w14:textId="382012EF" w:rsidR="00405E3A" w:rsidRPr="007A28AF" w:rsidRDefault="00405E3A" w:rsidP="009C2CA1">
      <w:pPr>
        <w:spacing w:line="480" w:lineRule="auto"/>
        <w:jc w:val="center"/>
        <w:rPr>
          <w:rFonts w:ascii="Times New Roman" w:hAnsi="Times New Roman" w:cs="Times New Roman"/>
          <w:b/>
          <w:bCs/>
          <w:sz w:val="24"/>
          <w:szCs w:val="24"/>
          <w:u w:val="single"/>
        </w:rPr>
      </w:pPr>
    </w:p>
    <w:p w14:paraId="41831CD6" w14:textId="5DF6188E" w:rsidR="00405E3A" w:rsidRPr="007A28AF" w:rsidRDefault="00405E3A" w:rsidP="009C2CA1">
      <w:pPr>
        <w:spacing w:line="480" w:lineRule="auto"/>
        <w:jc w:val="center"/>
        <w:rPr>
          <w:rFonts w:ascii="Times New Roman" w:hAnsi="Times New Roman" w:cs="Times New Roman"/>
          <w:b/>
          <w:bCs/>
          <w:sz w:val="24"/>
          <w:szCs w:val="24"/>
          <w:u w:val="single"/>
        </w:rPr>
      </w:pPr>
    </w:p>
    <w:p w14:paraId="4518DF1F" w14:textId="7F265590" w:rsidR="00405E3A" w:rsidRPr="007A28AF" w:rsidRDefault="00405E3A" w:rsidP="009C2CA1">
      <w:pPr>
        <w:spacing w:line="480" w:lineRule="auto"/>
        <w:jc w:val="center"/>
        <w:rPr>
          <w:rFonts w:ascii="Times New Roman" w:hAnsi="Times New Roman" w:cs="Times New Roman"/>
          <w:b/>
          <w:bCs/>
          <w:sz w:val="24"/>
          <w:szCs w:val="24"/>
        </w:rPr>
      </w:pPr>
      <w:r w:rsidRPr="007A28AF">
        <w:rPr>
          <w:rFonts w:ascii="Times New Roman" w:hAnsi="Times New Roman" w:cs="Times New Roman"/>
          <w:b/>
          <w:bCs/>
          <w:sz w:val="24"/>
          <w:szCs w:val="24"/>
        </w:rPr>
        <w:t>NAME: ERIC OPOKU</w:t>
      </w:r>
    </w:p>
    <w:p w14:paraId="7CAD84A6" w14:textId="27C6C094" w:rsidR="00BC3DE9" w:rsidRPr="007A28AF" w:rsidRDefault="00BC3DE9" w:rsidP="009C2CA1">
      <w:pPr>
        <w:spacing w:line="480" w:lineRule="auto"/>
        <w:jc w:val="center"/>
        <w:rPr>
          <w:rFonts w:ascii="Times New Roman" w:hAnsi="Times New Roman" w:cs="Times New Roman"/>
          <w:b/>
          <w:bCs/>
          <w:sz w:val="24"/>
          <w:szCs w:val="24"/>
        </w:rPr>
      </w:pPr>
    </w:p>
    <w:p w14:paraId="0ED6B361" w14:textId="5DAC39E6" w:rsidR="00BC3DE9" w:rsidRPr="007A28AF" w:rsidRDefault="00BC3DE9" w:rsidP="009C2CA1">
      <w:pPr>
        <w:spacing w:line="480" w:lineRule="auto"/>
        <w:jc w:val="center"/>
        <w:rPr>
          <w:rFonts w:ascii="Times New Roman" w:hAnsi="Times New Roman" w:cs="Times New Roman"/>
          <w:b/>
          <w:bCs/>
          <w:sz w:val="24"/>
          <w:szCs w:val="24"/>
        </w:rPr>
      </w:pPr>
    </w:p>
    <w:p w14:paraId="33360618" w14:textId="3A94A2E2" w:rsidR="00BC3DE9" w:rsidRPr="007A28AF" w:rsidRDefault="00BC3DE9" w:rsidP="009C2CA1">
      <w:pPr>
        <w:spacing w:line="480" w:lineRule="auto"/>
        <w:jc w:val="center"/>
        <w:rPr>
          <w:rFonts w:ascii="Times New Roman" w:hAnsi="Times New Roman" w:cs="Times New Roman"/>
          <w:b/>
          <w:bCs/>
          <w:sz w:val="24"/>
          <w:szCs w:val="24"/>
        </w:rPr>
      </w:pPr>
    </w:p>
    <w:p w14:paraId="7F4802C2" w14:textId="77777777" w:rsidR="00BC3DE9" w:rsidRPr="007A28AF" w:rsidRDefault="00BC3DE9" w:rsidP="009C2CA1">
      <w:pPr>
        <w:spacing w:line="480" w:lineRule="auto"/>
        <w:jc w:val="center"/>
        <w:rPr>
          <w:rFonts w:ascii="Times New Roman" w:hAnsi="Times New Roman" w:cs="Times New Roman"/>
          <w:sz w:val="24"/>
          <w:szCs w:val="24"/>
        </w:rPr>
      </w:pPr>
      <w:r w:rsidRPr="007A28AF">
        <w:rPr>
          <w:rFonts w:ascii="Times New Roman" w:hAnsi="Times New Roman" w:cs="Times New Roman"/>
          <w:sz w:val="24"/>
          <w:szCs w:val="24"/>
        </w:rPr>
        <w:t>COURSE: INTRODUCTION TO HEALTH SERVICES RESEARCH</w:t>
      </w:r>
    </w:p>
    <w:p w14:paraId="73397B9C" w14:textId="1B40DB6C" w:rsidR="00BC3DE9" w:rsidRPr="007A28AF" w:rsidRDefault="00BC3DE9" w:rsidP="009C2CA1">
      <w:pPr>
        <w:spacing w:line="480" w:lineRule="auto"/>
        <w:jc w:val="center"/>
        <w:rPr>
          <w:rFonts w:ascii="Times New Roman" w:hAnsi="Times New Roman" w:cs="Times New Roman"/>
          <w:b/>
          <w:bCs/>
          <w:sz w:val="24"/>
          <w:szCs w:val="24"/>
        </w:rPr>
      </w:pPr>
    </w:p>
    <w:p w14:paraId="222E8771" w14:textId="6E0EBF48" w:rsidR="000D1FC0" w:rsidRPr="007A28AF" w:rsidRDefault="000D1FC0" w:rsidP="009C2CA1">
      <w:pPr>
        <w:spacing w:line="480" w:lineRule="auto"/>
        <w:jc w:val="center"/>
        <w:rPr>
          <w:rFonts w:ascii="Times New Roman" w:hAnsi="Times New Roman" w:cs="Times New Roman"/>
          <w:b/>
          <w:bCs/>
          <w:sz w:val="24"/>
          <w:szCs w:val="24"/>
        </w:rPr>
      </w:pPr>
    </w:p>
    <w:p w14:paraId="46CD2711" w14:textId="4D71960F" w:rsidR="000D1FC0" w:rsidRPr="007A28AF" w:rsidRDefault="000D1FC0" w:rsidP="00F632B7">
      <w:pPr>
        <w:spacing w:line="480" w:lineRule="auto"/>
        <w:jc w:val="both"/>
        <w:rPr>
          <w:rFonts w:ascii="Times New Roman" w:hAnsi="Times New Roman" w:cs="Times New Roman"/>
          <w:b/>
          <w:bCs/>
          <w:sz w:val="24"/>
          <w:szCs w:val="24"/>
        </w:rPr>
      </w:pPr>
    </w:p>
    <w:p w14:paraId="199689F4" w14:textId="3F371A93" w:rsidR="006B62CE" w:rsidRPr="007A28AF" w:rsidRDefault="006B62CE" w:rsidP="00F632B7">
      <w:pPr>
        <w:spacing w:line="480" w:lineRule="auto"/>
        <w:jc w:val="both"/>
        <w:rPr>
          <w:rFonts w:ascii="Times New Roman" w:hAnsi="Times New Roman" w:cs="Times New Roman"/>
          <w:b/>
          <w:bCs/>
          <w:sz w:val="24"/>
          <w:szCs w:val="24"/>
        </w:rPr>
      </w:pPr>
    </w:p>
    <w:p w14:paraId="40035770" w14:textId="5B3E3BF4" w:rsidR="006B62CE" w:rsidRPr="007A28AF" w:rsidRDefault="006B62CE" w:rsidP="00F632B7">
      <w:pPr>
        <w:spacing w:line="480" w:lineRule="auto"/>
        <w:jc w:val="both"/>
        <w:rPr>
          <w:rFonts w:ascii="Times New Roman" w:hAnsi="Times New Roman" w:cs="Times New Roman"/>
          <w:b/>
          <w:bCs/>
          <w:sz w:val="24"/>
          <w:szCs w:val="24"/>
        </w:rPr>
      </w:pPr>
    </w:p>
    <w:p w14:paraId="7D8ED86D" w14:textId="6C11D72A" w:rsidR="006B62CE" w:rsidRPr="007A28AF" w:rsidRDefault="006B62CE" w:rsidP="00F632B7">
      <w:pPr>
        <w:spacing w:line="480" w:lineRule="auto"/>
        <w:jc w:val="both"/>
        <w:rPr>
          <w:rFonts w:ascii="Times New Roman" w:hAnsi="Times New Roman" w:cs="Times New Roman"/>
          <w:b/>
          <w:bCs/>
          <w:sz w:val="24"/>
          <w:szCs w:val="24"/>
        </w:rPr>
      </w:pPr>
    </w:p>
    <w:p w14:paraId="037852FC" w14:textId="3A14303D" w:rsidR="006B62CE" w:rsidRPr="007A28AF" w:rsidRDefault="006B62CE" w:rsidP="00F632B7">
      <w:pPr>
        <w:spacing w:line="480" w:lineRule="auto"/>
        <w:jc w:val="both"/>
        <w:rPr>
          <w:rFonts w:ascii="Times New Roman" w:hAnsi="Times New Roman" w:cs="Times New Roman"/>
          <w:b/>
          <w:bCs/>
          <w:sz w:val="24"/>
          <w:szCs w:val="24"/>
        </w:rPr>
      </w:pPr>
    </w:p>
    <w:p w14:paraId="338B71D2" w14:textId="77777777" w:rsidR="006B62CE" w:rsidRPr="007A28AF" w:rsidRDefault="006B62CE" w:rsidP="00F632B7">
      <w:pPr>
        <w:spacing w:line="480" w:lineRule="auto"/>
        <w:jc w:val="both"/>
        <w:rPr>
          <w:rFonts w:ascii="Times New Roman" w:hAnsi="Times New Roman" w:cs="Times New Roman"/>
          <w:b/>
          <w:bCs/>
          <w:sz w:val="24"/>
          <w:szCs w:val="24"/>
        </w:rPr>
      </w:pPr>
    </w:p>
    <w:p w14:paraId="5BF63729" w14:textId="0FAF1742" w:rsidR="000D1FC0" w:rsidRPr="007A28AF" w:rsidRDefault="000D1FC0" w:rsidP="00F632B7">
      <w:pPr>
        <w:spacing w:line="480" w:lineRule="auto"/>
        <w:jc w:val="both"/>
        <w:rPr>
          <w:rFonts w:ascii="Times New Roman" w:hAnsi="Times New Roman" w:cs="Times New Roman"/>
          <w:b/>
          <w:bCs/>
          <w:sz w:val="24"/>
          <w:szCs w:val="24"/>
        </w:rPr>
      </w:pPr>
    </w:p>
    <w:p w14:paraId="111A6C2A" w14:textId="40CCCEA3" w:rsidR="000D1FC0" w:rsidRPr="00BE3CA9" w:rsidRDefault="000D1FC0" w:rsidP="00F632B7">
      <w:pPr>
        <w:spacing w:line="480" w:lineRule="auto"/>
        <w:jc w:val="both"/>
        <w:rPr>
          <w:rFonts w:ascii="Times New Roman" w:hAnsi="Times New Roman" w:cs="Times New Roman"/>
          <w:b/>
          <w:bCs/>
          <w:sz w:val="20"/>
          <w:szCs w:val="20"/>
        </w:rPr>
      </w:pPr>
      <w:r w:rsidRPr="00BE3CA9">
        <w:rPr>
          <w:rFonts w:ascii="Times New Roman" w:hAnsi="Times New Roman" w:cs="Times New Roman"/>
          <w:b/>
          <w:bCs/>
          <w:sz w:val="20"/>
          <w:szCs w:val="20"/>
        </w:rPr>
        <w:t>Abstract</w:t>
      </w:r>
    </w:p>
    <w:p w14:paraId="3DB44C91" w14:textId="5D35228F" w:rsidR="000D1FC0" w:rsidRPr="00BE3CA9" w:rsidRDefault="000D1FC0" w:rsidP="00F632B7">
      <w:pPr>
        <w:spacing w:line="480" w:lineRule="auto"/>
        <w:jc w:val="both"/>
        <w:rPr>
          <w:rFonts w:ascii="Times New Roman" w:hAnsi="Times New Roman" w:cs="Times New Roman"/>
          <w:sz w:val="20"/>
          <w:szCs w:val="20"/>
        </w:rPr>
      </w:pPr>
      <w:r w:rsidRPr="00BE3CA9">
        <w:rPr>
          <w:rFonts w:ascii="Times New Roman" w:hAnsi="Times New Roman" w:cs="Times New Roman"/>
          <w:b/>
          <w:bCs/>
          <w:i/>
          <w:iCs/>
          <w:sz w:val="20"/>
          <w:szCs w:val="20"/>
        </w:rPr>
        <w:t>Background</w:t>
      </w:r>
      <w:r w:rsidRPr="00BE3CA9">
        <w:rPr>
          <w:rFonts w:ascii="Times New Roman" w:hAnsi="Times New Roman" w:cs="Times New Roman"/>
          <w:sz w:val="20"/>
          <w:szCs w:val="20"/>
        </w:rPr>
        <w:t xml:space="preserve">: </w:t>
      </w:r>
      <w:r w:rsidR="007B303B" w:rsidRPr="00BE3CA9">
        <w:rPr>
          <w:rFonts w:ascii="Times New Roman" w:hAnsi="Times New Roman" w:cs="Times New Roman"/>
          <w:sz w:val="20"/>
          <w:szCs w:val="20"/>
        </w:rPr>
        <w:t>Population h</w:t>
      </w:r>
      <w:r w:rsidR="007B303B" w:rsidRPr="00BE3CA9">
        <w:rPr>
          <w:rFonts w:ascii="Times New Roman" w:hAnsi="Times New Roman" w:cs="Times New Roman"/>
          <w:color w:val="242021"/>
          <w:sz w:val="20"/>
          <w:szCs w:val="20"/>
        </w:rPr>
        <w:t>ealth</w:t>
      </w:r>
      <w:r w:rsidR="007B303B" w:rsidRPr="00BE3CA9">
        <w:rPr>
          <w:rFonts w:ascii="Times New Roman" w:hAnsi="Times New Roman" w:cs="Times New Roman"/>
          <w:sz w:val="20"/>
          <w:szCs w:val="20"/>
        </w:rPr>
        <w:t xml:space="preserve"> intervention research (PHIR) is increasingly used to develop and evaluate policies, programs and other interventions that are aimed at impacting/improving population health and/or health equity through interventions that modify the underlying determinants of health or directly influence health behaviors. </w:t>
      </w:r>
      <w:r w:rsidR="004979DE" w:rsidRPr="00BE3CA9">
        <w:rPr>
          <w:rFonts w:ascii="Times New Roman" w:hAnsi="Times New Roman" w:cs="Times New Roman"/>
          <w:sz w:val="20"/>
          <w:szCs w:val="20"/>
        </w:rPr>
        <w:t xml:space="preserve">PHIR helps to identify the contexts, </w:t>
      </w:r>
      <w:r w:rsidR="0083275B" w:rsidRPr="00BE3CA9">
        <w:rPr>
          <w:rFonts w:ascii="Times New Roman" w:hAnsi="Times New Roman" w:cs="Times New Roman"/>
          <w:sz w:val="20"/>
          <w:szCs w:val="20"/>
        </w:rPr>
        <w:t>mechanisms,</w:t>
      </w:r>
      <w:r w:rsidR="004979DE" w:rsidRPr="00BE3CA9">
        <w:rPr>
          <w:rFonts w:ascii="Times New Roman" w:hAnsi="Times New Roman" w:cs="Times New Roman"/>
          <w:sz w:val="20"/>
          <w:szCs w:val="20"/>
        </w:rPr>
        <w:t xml:space="preserve"> and outcomes </w:t>
      </w:r>
      <w:r w:rsidR="008837A0" w:rsidRPr="00BE3CA9">
        <w:rPr>
          <w:rFonts w:ascii="Times New Roman" w:hAnsi="Times New Roman" w:cs="Times New Roman"/>
          <w:sz w:val="20"/>
          <w:szCs w:val="20"/>
        </w:rPr>
        <w:t xml:space="preserve">(CMO) </w:t>
      </w:r>
      <w:r w:rsidR="004979DE" w:rsidRPr="00BE3CA9">
        <w:rPr>
          <w:rFonts w:ascii="Times New Roman" w:hAnsi="Times New Roman" w:cs="Times New Roman"/>
          <w:sz w:val="20"/>
          <w:szCs w:val="20"/>
        </w:rPr>
        <w:t>of population health interventions</w:t>
      </w:r>
      <w:r w:rsidR="001B39E2" w:rsidRPr="00BE3CA9">
        <w:rPr>
          <w:rFonts w:ascii="Times New Roman" w:hAnsi="Times New Roman" w:cs="Times New Roman"/>
          <w:sz w:val="20"/>
          <w:szCs w:val="20"/>
        </w:rPr>
        <w:t xml:space="preserve"> influencing policy formulation, </w:t>
      </w:r>
      <w:r w:rsidR="00DE43C8" w:rsidRPr="00BE3CA9">
        <w:rPr>
          <w:rFonts w:ascii="Times New Roman" w:hAnsi="Times New Roman" w:cs="Times New Roman"/>
          <w:sz w:val="20"/>
          <w:szCs w:val="20"/>
        </w:rPr>
        <w:t>implementation,</w:t>
      </w:r>
      <w:r w:rsidR="001B39E2" w:rsidRPr="00BE3CA9">
        <w:rPr>
          <w:rFonts w:ascii="Times New Roman" w:hAnsi="Times New Roman" w:cs="Times New Roman"/>
          <w:sz w:val="20"/>
          <w:szCs w:val="20"/>
        </w:rPr>
        <w:t xml:space="preserve"> and analysis</w:t>
      </w:r>
      <w:r w:rsidR="004979DE" w:rsidRPr="00BE3CA9">
        <w:rPr>
          <w:rFonts w:ascii="Times New Roman" w:hAnsi="Times New Roman" w:cs="Times New Roman"/>
          <w:sz w:val="20"/>
          <w:szCs w:val="20"/>
        </w:rPr>
        <w:t>.</w:t>
      </w:r>
    </w:p>
    <w:p w14:paraId="0A66F251" w14:textId="36F9329C" w:rsidR="001034FC" w:rsidRPr="00BE3CA9" w:rsidRDefault="000D1FC0" w:rsidP="00F632B7">
      <w:pPr>
        <w:spacing w:line="480" w:lineRule="auto"/>
        <w:jc w:val="both"/>
        <w:rPr>
          <w:rStyle w:val="fontstyle01"/>
          <w:rFonts w:ascii="Times New Roman" w:hAnsi="Times New Roman" w:cs="Times New Roman"/>
          <w:b w:val="0"/>
          <w:bCs w:val="0"/>
          <w:sz w:val="20"/>
          <w:szCs w:val="20"/>
        </w:rPr>
      </w:pPr>
      <w:r w:rsidRPr="00BE3CA9">
        <w:rPr>
          <w:rFonts w:ascii="Times New Roman" w:hAnsi="Times New Roman" w:cs="Times New Roman"/>
          <w:b/>
          <w:bCs/>
          <w:i/>
          <w:iCs/>
          <w:sz w:val="20"/>
          <w:szCs w:val="20"/>
        </w:rPr>
        <w:t>Objective</w:t>
      </w:r>
      <w:r w:rsidRPr="00BE3CA9">
        <w:rPr>
          <w:rFonts w:ascii="Times New Roman" w:hAnsi="Times New Roman" w:cs="Times New Roman"/>
          <w:sz w:val="20"/>
          <w:szCs w:val="20"/>
        </w:rPr>
        <w:t xml:space="preserve">: </w:t>
      </w:r>
      <w:r w:rsidR="001034FC" w:rsidRPr="00BE3CA9">
        <w:rPr>
          <w:rStyle w:val="fontstyle01"/>
          <w:rFonts w:ascii="Times New Roman" w:hAnsi="Times New Roman" w:cs="Times New Roman"/>
          <w:b w:val="0"/>
          <w:bCs w:val="0"/>
          <w:sz w:val="20"/>
          <w:szCs w:val="20"/>
        </w:rPr>
        <w:t xml:space="preserve">To develop and propose an equity-based comprehensive </w:t>
      </w:r>
      <w:r w:rsidR="0099771C" w:rsidRPr="00BE3CA9">
        <w:rPr>
          <w:rStyle w:val="fontstyle01"/>
          <w:rFonts w:ascii="Times New Roman" w:hAnsi="Times New Roman" w:cs="Times New Roman"/>
          <w:b w:val="0"/>
          <w:bCs w:val="0"/>
          <w:sz w:val="20"/>
          <w:szCs w:val="20"/>
        </w:rPr>
        <w:t xml:space="preserve">and evaluative </w:t>
      </w:r>
      <w:r w:rsidR="001034FC" w:rsidRPr="00BE3CA9">
        <w:rPr>
          <w:rStyle w:val="fontstyle01"/>
          <w:rFonts w:ascii="Times New Roman" w:hAnsi="Times New Roman" w:cs="Times New Roman"/>
          <w:b w:val="0"/>
          <w:bCs w:val="0"/>
          <w:sz w:val="20"/>
          <w:szCs w:val="20"/>
        </w:rPr>
        <w:t xml:space="preserve">conceptual framework for population health </w:t>
      </w:r>
      <w:r w:rsidR="006C07E2" w:rsidRPr="00BE3CA9">
        <w:rPr>
          <w:rStyle w:val="fontstyle01"/>
          <w:rFonts w:ascii="Times New Roman" w:hAnsi="Times New Roman" w:cs="Times New Roman"/>
          <w:b w:val="0"/>
          <w:bCs w:val="0"/>
          <w:sz w:val="20"/>
          <w:szCs w:val="20"/>
        </w:rPr>
        <w:t xml:space="preserve">intervention </w:t>
      </w:r>
      <w:r w:rsidR="001034FC" w:rsidRPr="00BE3CA9">
        <w:rPr>
          <w:rStyle w:val="fontstyle01"/>
          <w:rFonts w:ascii="Times New Roman" w:hAnsi="Times New Roman" w:cs="Times New Roman"/>
          <w:b w:val="0"/>
          <w:bCs w:val="0"/>
          <w:sz w:val="20"/>
          <w:szCs w:val="20"/>
        </w:rPr>
        <w:t>research</w:t>
      </w:r>
      <w:r w:rsidR="006C07E2" w:rsidRPr="00BE3CA9">
        <w:rPr>
          <w:rStyle w:val="fontstyle01"/>
          <w:rFonts w:ascii="Times New Roman" w:hAnsi="Times New Roman" w:cs="Times New Roman"/>
          <w:b w:val="0"/>
          <w:bCs w:val="0"/>
          <w:sz w:val="20"/>
          <w:szCs w:val="20"/>
        </w:rPr>
        <w:t xml:space="preserve"> (Equi-PHIR)</w:t>
      </w:r>
      <w:r w:rsidR="001034FC" w:rsidRPr="00BE3CA9">
        <w:rPr>
          <w:rStyle w:val="fontstyle01"/>
          <w:rFonts w:ascii="Times New Roman" w:hAnsi="Times New Roman" w:cs="Times New Roman"/>
          <w:b w:val="0"/>
          <w:bCs w:val="0"/>
          <w:sz w:val="20"/>
          <w:szCs w:val="20"/>
        </w:rPr>
        <w:t xml:space="preserve"> of health interventions, programs, </w:t>
      </w:r>
      <w:r w:rsidR="00534FD4" w:rsidRPr="00BE3CA9">
        <w:rPr>
          <w:rStyle w:val="fontstyle01"/>
          <w:rFonts w:ascii="Times New Roman" w:hAnsi="Times New Roman" w:cs="Times New Roman"/>
          <w:b w:val="0"/>
          <w:bCs w:val="0"/>
          <w:sz w:val="20"/>
          <w:szCs w:val="20"/>
        </w:rPr>
        <w:t>policies,</w:t>
      </w:r>
      <w:r w:rsidR="001034FC" w:rsidRPr="00BE3CA9">
        <w:rPr>
          <w:rStyle w:val="fontstyle01"/>
          <w:rFonts w:ascii="Times New Roman" w:hAnsi="Times New Roman" w:cs="Times New Roman"/>
          <w:b w:val="0"/>
          <w:bCs w:val="0"/>
          <w:sz w:val="20"/>
          <w:szCs w:val="20"/>
        </w:rPr>
        <w:t xml:space="preserve"> and strategies.</w:t>
      </w:r>
    </w:p>
    <w:p w14:paraId="0C105728" w14:textId="71FD1658" w:rsidR="00DC65B1" w:rsidRPr="00BE3CA9" w:rsidRDefault="000D1FC0" w:rsidP="00F632B7">
      <w:pPr>
        <w:spacing w:line="480" w:lineRule="auto"/>
        <w:jc w:val="both"/>
        <w:rPr>
          <w:rFonts w:ascii="Times New Roman" w:hAnsi="Times New Roman" w:cs="Times New Roman"/>
          <w:sz w:val="20"/>
          <w:szCs w:val="20"/>
        </w:rPr>
      </w:pPr>
      <w:r w:rsidRPr="00BE3CA9">
        <w:rPr>
          <w:rFonts w:ascii="Times New Roman" w:hAnsi="Times New Roman" w:cs="Times New Roman"/>
          <w:b/>
          <w:bCs/>
          <w:i/>
          <w:iCs/>
          <w:sz w:val="20"/>
          <w:szCs w:val="20"/>
        </w:rPr>
        <w:t>Methods</w:t>
      </w:r>
      <w:r w:rsidRPr="00BE3CA9">
        <w:rPr>
          <w:rFonts w:ascii="Times New Roman" w:hAnsi="Times New Roman" w:cs="Times New Roman"/>
          <w:sz w:val="20"/>
          <w:szCs w:val="20"/>
        </w:rPr>
        <w:t xml:space="preserve">: </w:t>
      </w:r>
      <w:r w:rsidR="00012C39" w:rsidRPr="00BE3CA9">
        <w:rPr>
          <w:rFonts w:ascii="Times New Roman" w:hAnsi="Times New Roman" w:cs="Times New Roman"/>
          <w:sz w:val="20"/>
          <w:szCs w:val="20"/>
        </w:rPr>
        <w:t xml:space="preserve">A </w:t>
      </w:r>
      <w:r w:rsidR="009026A1" w:rsidRPr="00BE3CA9">
        <w:rPr>
          <w:rFonts w:ascii="Times New Roman" w:hAnsi="Times New Roman" w:cs="Times New Roman"/>
          <w:sz w:val="20"/>
          <w:szCs w:val="20"/>
        </w:rPr>
        <w:t>literature review</w:t>
      </w:r>
      <w:r w:rsidR="00012C39" w:rsidRPr="00BE3CA9">
        <w:rPr>
          <w:rFonts w:ascii="Times New Roman" w:hAnsi="Times New Roman" w:cs="Times New Roman"/>
          <w:sz w:val="20"/>
          <w:szCs w:val="20"/>
        </w:rPr>
        <w:t xml:space="preserve"> of models and conceptual frameworks </w:t>
      </w:r>
      <w:r w:rsidR="00292D65">
        <w:rPr>
          <w:rFonts w:ascii="Times New Roman" w:hAnsi="Times New Roman" w:cs="Times New Roman"/>
          <w:sz w:val="20"/>
          <w:szCs w:val="20"/>
        </w:rPr>
        <w:t>focusing on</w:t>
      </w:r>
      <w:r w:rsidR="00012C39" w:rsidRPr="00BE3CA9">
        <w:rPr>
          <w:rFonts w:ascii="Times New Roman" w:hAnsi="Times New Roman" w:cs="Times New Roman"/>
          <w:sz w:val="20"/>
          <w:szCs w:val="20"/>
        </w:rPr>
        <w:t xml:space="preserve"> equity and studies that assessed the health and non-health benefits of health policy interventions was conducted in</w:t>
      </w:r>
      <w:r w:rsidRPr="00BE3CA9">
        <w:rPr>
          <w:rFonts w:ascii="Times New Roman" w:hAnsi="Times New Roman" w:cs="Times New Roman"/>
          <w:sz w:val="20"/>
          <w:szCs w:val="20"/>
        </w:rPr>
        <w:t xml:space="preserve"> five databases (i.e., MEDLINE, EMBASE, APA </w:t>
      </w:r>
      <w:proofErr w:type="spellStart"/>
      <w:r w:rsidRPr="00BE3CA9">
        <w:rPr>
          <w:rFonts w:ascii="Times New Roman" w:hAnsi="Times New Roman" w:cs="Times New Roman"/>
          <w:sz w:val="20"/>
          <w:szCs w:val="20"/>
        </w:rPr>
        <w:t>PsycInfo</w:t>
      </w:r>
      <w:proofErr w:type="spellEnd"/>
      <w:r w:rsidRPr="00BE3CA9">
        <w:rPr>
          <w:rFonts w:ascii="Times New Roman" w:hAnsi="Times New Roman" w:cs="Times New Roman"/>
          <w:sz w:val="20"/>
          <w:szCs w:val="20"/>
        </w:rPr>
        <w:t>, Google scholar and ScienceDirect)</w:t>
      </w:r>
      <w:r w:rsidR="00DC65B1" w:rsidRPr="00BE3CA9">
        <w:rPr>
          <w:rFonts w:ascii="Times New Roman" w:hAnsi="Times New Roman" w:cs="Times New Roman"/>
          <w:sz w:val="20"/>
          <w:szCs w:val="20"/>
        </w:rPr>
        <w:t>. Key characteristics of models and conceptual frameworks were summarized and reported.</w:t>
      </w:r>
      <w:r w:rsidR="001C014E" w:rsidRPr="00BE3CA9">
        <w:rPr>
          <w:rFonts w:ascii="Times New Roman" w:hAnsi="Times New Roman" w:cs="Times New Roman"/>
          <w:sz w:val="20"/>
          <w:szCs w:val="20"/>
        </w:rPr>
        <w:t xml:space="preserve"> I </w:t>
      </w:r>
      <w:r w:rsidR="0010019F" w:rsidRPr="00BE3CA9">
        <w:rPr>
          <w:rFonts w:ascii="Times New Roman" w:hAnsi="Times New Roman" w:cs="Times New Roman"/>
          <w:sz w:val="20"/>
          <w:szCs w:val="20"/>
        </w:rPr>
        <w:t>gathered information relat</w:t>
      </w:r>
      <w:r w:rsidR="000A3CE8">
        <w:rPr>
          <w:rFonts w:ascii="Times New Roman" w:hAnsi="Times New Roman" w:cs="Times New Roman"/>
          <w:sz w:val="20"/>
          <w:szCs w:val="20"/>
        </w:rPr>
        <w:t>ing</w:t>
      </w:r>
      <w:r w:rsidR="0010019F" w:rsidRPr="00BE3CA9">
        <w:rPr>
          <w:rFonts w:ascii="Times New Roman" w:hAnsi="Times New Roman" w:cs="Times New Roman"/>
          <w:sz w:val="20"/>
          <w:szCs w:val="20"/>
        </w:rPr>
        <w:t xml:space="preserve"> to contextual factors within which PHIR</w:t>
      </w:r>
      <w:r w:rsidR="000A3CE8">
        <w:rPr>
          <w:rFonts w:ascii="Times New Roman" w:hAnsi="Times New Roman" w:cs="Times New Roman"/>
          <w:sz w:val="20"/>
          <w:szCs w:val="20"/>
        </w:rPr>
        <w:t>s</w:t>
      </w:r>
      <w:r w:rsidR="0010019F" w:rsidRPr="00BE3CA9">
        <w:rPr>
          <w:rFonts w:ascii="Times New Roman" w:hAnsi="Times New Roman" w:cs="Times New Roman"/>
          <w:sz w:val="20"/>
          <w:szCs w:val="20"/>
        </w:rPr>
        <w:t xml:space="preserve"> operate, the mechanism of implementation and outcomes of population health interventions and equity consideration. </w:t>
      </w:r>
    </w:p>
    <w:p w14:paraId="4810F919" w14:textId="7CC6AC1E" w:rsidR="0025389C" w:rsidRPr="00BE3CA9" w:rsidRDefault="000D1FC0" w:rsidP="00F632B7">
      <w:pPr>
        <w:spacing w:line="480" w:lineRule="auto"/>
        <w:jc w:val="both"/>
        <w:rPr>
          <w:rFonts w:ascii="Times New Roman" w:hAnsi="Times New Roman" w:cs="Times New Roman"/>
          <w:sz w:val="20"/>
          <w:szCs w:val="20"/>
        </w:rPr>
      </w:pPr>
      <w:r w:rsidRPr="00BE3CA9">
        <w:rPr>
          <w:rFonts w:ascii="Times New Roman" w:hAnsi="Times New Roman" w:cs="Times New Roman"/>
          <w:b/>
          <w:bCs/>
          <w:i/>
          <w:iCs/>
          <w:sz w:val="20"/>
          <w:szCs w:val="20"/>
        </w:rPr>
        <w:t>Results</w:t>
      </w:r>
      <w:r w:rsidRPr="00BE3CA9">
        <w:rPr>
          <w:rFonts w:ascii="Times New Roman" w:hAnsi="Times New Roman" w:cs="Times New Roman"/>
          <w:sz w:val="20"/>
          <w:szCs w:val="20"/>
        </w:rPr>
        <w:t xml:space="preserve">: </w:t>
      </w:r>
      <w:bookmarkStart w:id="0" w:name="_Hlk91147326"/>
      <w:r w:rsidR="0025389C" w:rsidRPr="00BE3CA9">
        <w:rPr>
          <w:rFonts w:ascii="Times New Roman" w:hAnsi="Times New Roman" w:cs="Times New Roman"/>
          <w:sz w:val="20"/>
          <w:szCs w:val="20"/>
        </w:rPr>
        <w:t xml:space="preserve">A conceptual framework </w:t>
      </w:r>
      <w:r w:rsidR="00513263">
        <w:rPr>
          <w:rFonts w:ascii="Times New Roman" w:hAnsi="Times New Roman" w:cs="Times New Roman"/>
          <w:sz w:val="20"/>
          <w:szCs w:val="20"/>
        </w:rPr>
        <w:t xml:space="preserve">(i.e., </w:t>
      </w:r>
      <w:r w:rsidR="0025389C" w:rsidRPr="00BE3CA9">
        <w:rPr>
          <w:rFonts w:ascii="Times New Roman" w:hAnsi="Times New Roman" w:cs="Times New Roman"/>
          <w:sz w:val="20"/>
          <w:szCs w:val="20"/>
        </w:rPr>
        <w:t>Equi-PHIR</w:t>
      </w:r>
      <w:r w:rsidR="00513263">
        <w:rPr>
          <w:rFonts w:ascii="Times New Roman" w:hAnsi="Times New Roman" w:cs="Times New Roman"/>
          <w:sz w:val="20"/>
          <w:szCs w:val="20"/>
        </w:rPr>
        <w:t>)</w:t>
      </w:r>
      <w:r w:rsidR="0025389C" w:rsidRPr="00BE3CA9">
        <w:rPr>
          <w:rFonts w:ascii="Times New Roman" w:hAnsi="Times New Roman" w:cs="Times New Roman"/>
          <w:sz w:val="20"/>
          <w:szCs w:val="20"/>
        </w:rPr>
        <w:t xml:space="preserve"> was developed.</w:t>
      </w:r>
      <w:r w:rsidR="0047315F" w:rsidRPr="00BE3CA9">
        <w:rPr>
          <w:rFonts w:ascii="Times New Roman" w:hAnsi="Times New Roman" w:cs="Times New Roman"/>
          <w:sz w:val="20"/>
          <w:szCs w:val="20"/>
        </w:rPr>
        <w:t xml:space="preserve"> It encompasses</w:t>
      </w:r>
      <w:r w:rsidR="004C32B2" w:rsidRPr="00BE3CA9">
        <w:rPr>
          <w:rFonts w:ascii="Times New Roman" w:hAnsi="Times New Roman" w:cs="Times New Roman"/>
          <w:sz w:val="20"/>
          <w:szCs w:val="20"/>
        </w:rPr>
        <w:t xml:space="preserve"> elements of equity-focused PHIR </w:t>
      </w:r>
      <w:r w:rsidR="00F739D6">
        <w:rPr>
          <w:rFonts w:ascii="Times New Roman" w:hAnsi="Times New Roman" w:cs="Times New Roman"/>
          <w:sz w:val="20"/>
          <w:szCs w:val="20"/>
        </w:rPr>
        <w:t xml:space="preserve">and the mechanism of population health intervention </w:t>
      </w:r>
      <w:r w:rsidR="00CE15B3" w:rsidRPr="00BE3CA9">
        <w:rPr>
          <w:rFonts w:ascii="Times New Roman" w:hAnsi="Times New Roman" w:cs="Times New Roman"/>
          <w:sz w:val="20"/>
          <w:szCs w:val="20"/>
        </w:rPr>
        <w:t>implementation</w:t>
      </w:r>
      <w:r w:rsidR="00F739D6">
        <w:rPr>
          <w:rFonts w:ascii="Times New Roman" w:hAnsi="Times New Roman" w:cs="Times New Roman"/>
          <w:sz w:val="20"/>
          <w:szCs w:val="20"/>
        </w:rPr>
        <w:t>.</w:t>
      </w:r>
      <w:r w:rsidR="00947E3C">
        <w:rPr>
          <w:rFonts w:ascii="Times New Roman" w:hAnsi="Times New Roman" w:cs="Times New Roman"/>
          <w:sz w:val="20"/>
          <w:szCs w:val="20"/>
        </w:rPr>
        <w:t xml:space="preserve"> </w:t>
      </w:r>
      <w:r w:rsidR="00F739D6">
        <w:rPr>
          <w:rFonts w:ascii="Times New Roman" w:hAnsi="Times New Roman" w:cs="Times New Roman"/>
          <w:sz w:val="20"/>
          <w:szCs w:val="20"/>
        </w:rPr>
        <w:t>T</w:t>
      </w:r>
      <w:r w:rsidR="00DA5953">
        <w:rPr>
          <w:rFonts w:ascii="Times New Roman" w:hAnsi="Times New Roman" w:cs="Times New Roman"/>
          <w:sz w:val="20"/>
          <w:szCs w:val="20"/>
        </w:rPr>
        <w:t>hus</w:t>
      </w:r>
      <w:r w:rsidR="00F739D6">
        <w:rPr>
          <w:rFonts w:ascii="Times New Roman" w:hAnsi="Times New Roman" w:cs="Times New Roman"/>
          <w:sz w:val="20"/>
          <w:szCs w:val="20"/>
        </w:rPr>
        <w:t>,</w:t>
      </w:r>
      <w:r w:rsidR="00DA5953">
        <w:rPr>
          <w:rFonts w:ascii="Times New Roman" w:hAnsi="Times New Roman" w:cs="Times New Roman"/>
          <w:sz w:val="20"/>
          <w:szCs w:val="20"/>
        </w:rPr>
        <w:t xml:space="preserve"> the </w:t>
      </w:r>
      <w:r w:rsidR="00064124" w:rsidRPr="00BE3CA9">
        <w:rPr>
          <w:rFonts w:ascii="Times New Roman" w:hAnsi="Times New Roman" w:cs="Times New Roman"/>
          <w:sz w:val="20"/>
          <w:szCs w:val="20"/>
        </w:rPr>
        <w:t xml:space="preserve">impact </w:t>
      </w:r>
      <w:r w:rsidR="00DA5953">
        <w:rPr>
          <w:rFonts w:ascii="Times New Roman" w:hAnsi="Times New Roman" w:cs="Times New Roman"/>
          <w:sz w:val="20"/>
          <w:szCs w:val="20"/>
        </w:rPr>
        <w:t xml:space="preserve">of population health intervention </w:t>
      </w:r>
      <w:r w:rsidR="00064124" w:rsidRPr="00BE3CA9">
        <w:rPr>
          <w:rFonts w:ascii="Times New Roman" w:hAnsi="Times New Roman" w:cs="Times New Roman"/>
          <w:sz w:val="20"/>
          <w:szCs w:val="20"/>
        </w:rPr>
        <w:t>on Universal Health Coverage (UHC)</w:t>
      </w:r>
      <w:r w:rsidR="004C32B2" w:rsidRPr="00BE3CA9">
        <w:rPr>
          <w:rFonts w:ascii="Times New Roman" w:hAnsi="Times New Roman" w:cs="Times New Roman"/>
          <w:sz w:val="20"/>
          <w:szCs w:val="20"/>
        </w:rPr>
        <w:t>,</w:t>
      </w:r>
      <w:r w:rsidR="00DA5953">
        <w:rPr>
          <w:rFonts w:ascii="Times New Roman" w:hAnsi="Times New Roman" w:cs="Times New Roman"/>
          <w:sz w:val="20"/>
          <w:szCs w:val="20"/>
        </w:rPr>
        <w:t xml:space="preserve"> determinants of health</w:t>
      </w:r>
      <w:r w:rsidR="004C32B2" w:rsidRPr="00BE3CA9">
        <w:rPr>
          <w:rFonts w:ascii="Times New Roman" w:hAnsi="Times New Roman" w:cs="Times New Roman"/>
          <w:sz w:val="20"/>
          <w:szCs w:val="20"/>
        </w:rPr>
        <w:t xml:space="preserve"> and the social distribution of </w:t>
      </w:r>
      <w:r w:rsidR="000D3F88" w:rsidRPr="00BE3CA9">
        <w:rPr>
          <w:rFonts w:ascii="Times New Roman" w:hAnsi="Times New Roman" w:cs="Times New Roman"/>
          <w:sz w:val="20"/>
          <w:szCs w:val="20"/>
        </w:rPr>
        <w:t xml:space="preserve">health and non-health </w:t>
      </w:r>
      <w:r w:rsidR="004C32B2" w:rsidRPr="00BE3CA9">
        <w:rPr>
          <w:rFonts w:ascii="Times New Roman" w:hAnsi="Times New Roman" w:cs="Times New Roman"/>
          <w:sz w:val="20"/>
          <w:szCs w:val="20"/>
        </w:rPr>
        <w:t>outcomes.</w:t>
      </w:r>
      <w:r w:rsidR="00A90258">
        <w:rPr>
          <w:rFonts w:ascii="Times New Roman" w:hAnsi="Times New Roman" w:cs="Times New Roman"/>
          <w:sz w:val="20"/>
          <w:szCs w:val="20"/>
        </w:rPr>
        <w:t xml:space="preserve"> A tool for assessing the inclusion of contextual factors (i.e., ERIC-A) in intervention formulation and implementation was developed and proposed by the study.</w:t>
      </w:r>
      <w:bookmarkEnd w:id="0"/>
    </w:p>
    <w:p w14:paraId="4402368C" w14:textId="77777777" w:rsidR="001A09B6" w:rsidRDefault="000D1FC0" w:rsidP="00F632B7">
      <w:pPr>
        <w:spacing w:line="480" w:lineRule="auto"/>
        <w:jc w:val="both"/>
        <w:rPr>
          <w:rFonts w:ascii="Times New Roman" w:hAnsi="Times New Roman" w:cs="Times New Roman"/>
          <w:sz w:val="20"/>
          <w:szCs w:val="20"/>
        </w:rPr>
      </w:pPr>
      <w:r w:rsidRPr="00BE3CA9">
        <w:rPr>
          <w:rFonts w:ascii="Times New Roman" w:hAnsi="Times New Roman" w:cs="Times New Roman"/>
          <w:b/>
          <w:bCs/>
          <w:i/>
          <w:iCs/>
          <w:sz w:val="20"/>
          <w:szCs w:val="20"/>
        </w:rPr>
        <w:t>Conclusions</w:t>
      </w:r>
      <w:r w:rsidRPr="00BE3CA9">
        <w:rPr>
          <w:rFonts w:ascii="Times New Roman" w:hAnsi="Times New Roman" w:cs="Times New Roman"/>
          <w:sz w:val="20"/>
          <w:szCs w:val="20"/>
        </w:rPr>
        <w:t xml:space="preserve">: </w:t>
      </w:r>
      <w:r w:rsidR="00E40062" w:rsidRPr="00BE3CA9">
        <w:rPr>
          <w:rFonts w:ascii="Times New Roman" w:hAnsi="Times New Roman" w:cs="Times New Roman"/>
          <w:sz w:val="20"/>
          <w:szCs w:val="20"/>
        </w:rPr>
        <w:t xml:space="preserve">Equi-PHIR is a comprehensive conceptual framework proposed for use by policy-makers and </w:t>
      </w:r>
      <w:r w:rsidR="00FE26FA" w:rsidRPr="00BE3CA9">
        <w:rPr>
          <w:rFonts w:ascii="Times New Roman" w:hAnsi="Times New Roman" w:cs="Times New Roman"/>
          <w:sz w:val="20"/>
          <w:szCs w:val="20"/>
        </w:rPr>
        <w:t>researchers during</w:t>
      </w:r>
      <w:r w:rsidR="00E40062" w:rsidRPr="00BE3CA9">
        <w:rPr>
          <w:rFonts w:ascii="Times New Roman" w:hAnsi="Times New Roman" w:cs="Times New Roman"/>
          <w:sz w:val="20"/>
          <w:szCs w:val="20"/>
        </w:rPr>
        <w:t xml:space="preserve"> the formulation, implementation and analysis of health interventions, policies, programs, and strategies</w:t>
      </w:r>
      <w:r w:rsidR="00F0238B">
        <w:rPr>
          <w:rFonts w:ascii="Times New Roman" w:hAnsi="Times New Roman" w:cs="Times New Roman"/>
          <w:sz w:val="20"/>
          <w:szCs w:val="20"/>
        </w:rPr>
        <w:t xml:space="preserve">. </w:t>
      </w:r>
      <w:r w:rsidR="00591C4F">
        <w:rPr>
          <w:rFonts w:ascii="Times New Roman" w:hAnsi="Times New Roman" w:cs="Times New Roman"/>
          <w:sz w:val="20"/>
          <w:szCs w:val="20"/>
        </w:rPr>
        <w:t>D</w:t>
      </w:r>
      <w:r w:rsidR="00591C4F" w:rsidRPr="00F0238B">
        <w:rPr>
          <w:rFonts w:ascii="Times New Roman" w:hAnsi="Times New Roman" w:cs="Times New Roman"/>
          <w:sz w:val="20"/>
          <w:szCs w:val="20"/>
        </w:rPr>
        <w:t xml:space="preserve">ecision-makers </w:t>
      </w:r>
      <w:r w:rsidR="00591C4F">
        <w:rPr>
          <w:rFonts w:ascii="Times New Roman" w:hAnsi="Times New Roman" w:cs="Times New Roman"/>
          <w:sz w:val="20"/>
          <w:szCs w:val="20"/>
        </w:rPr>
        <w:t>and r</w:t>
      </w:r>
      <w:r w:rsidR="00F0238B" w:rsidRPr="00F0238B">
        <w:rPr>
          <w:rFonts w:ascii="Times New Roman" w:hAnsi="Times New Roman" w:cs="Times New Roman"/>
          <w:sz w:val="20"/>
          <w:szCs w:val="20"/>
        </w:rPr>
        <w:t>esearchers should take contextual factors, equity consideration</w:t>
      </w:r>
      <w:r w:rsidR="00F0238B">
        <w:rPr>
          <w:rFonts w:ascii="Times New Roman" w:hAnsi="Times New Roman" w:cs="Times New Roman"/>
          <w:sz w:val="20"/>
          <w:szCs w:val="20"/>
        </w:rPr>
        <w:t>, determinants of health</w:t>
      </w:r>
      <w:r w:rsidR="00F0238B" w:rsidRPr="00F0238B">
        <w:rPr>
          <w:rFonts w:ascii="Times New Roman" w:hAnsi="Times New Roman" w:cs="Times New Roman"/>
          <w:sz w:val="20"/>
          <w:szCs w:val="20"/>
        </w:rPr>
        <w:t xml:space="preserve"> and the action domains of UHC into account during the formulation and implementation of population health interventions</w:t>
      </w:r>
      <w:r w:rsidR="00242661">
        <w:rPr>
          <w:rFonts w:ascii="Times New Roman" w:hAnsi="Times New Roman" w:cs="Times New Roman"/>
          <w:sz w:val="20"/>
          <w:szCs w:val="20"/>
        </w:rPr>
        <w:t xml:space="preserve"> </w:t>
      </w:r>
      <w:r w:rsidR="00F0238B" w:rsidRPr="00F0238B">
        <w:rPr>
          <w:rFonts w:ascii="Times New Roman" w:hAnsi="Times New Roman" w:cs="Times New Roman"/>
          <w:sz w:val="20"/>
          <w:szCs w:val="20"/>
        </w:rPr>
        <w:t>and PHIR</w:t>
      </w:r>
      <w:r w:rsidR="00CC20C3">
        <w:rPr>
          <w:rFonts w:ascii="Times New Roman" w:hAnsi="Times New Roman" w:cs="Times New Roman"/>
          <w:sz w:val="20"/>
          <w:szCs w:val="20"/>
        </w:rPr>
        <w:t>, respectively</w:t>
      </w:r>
      <w:r w:rsidR="00F0238B">
        <w:rPr>
          <w:rFonts w:ascii="Times New Roman" w:hAnsi="Times New Roman" w:cs="Times New Roman"/>
          <w:sz w:val="20"/>
          <w:szCs w:val="20"/>
        </w:rPr>
        <w:t>.</w:t>
      </w:r>
    </w:p>
    <w:p w14:paraId="65E1459C" w14:textId="273ECFF7" w:rsidR="006F281E" w:rsidRPr="00BE3CA9" w:rsidRDefault="006F281E" w:rsidP="00F632B7">
      <w:pPr>
        <w:spacing w:line="480" w:lineRule="auto"/>
        <w:jc w:val="both"/>
        <w:rPr>
          <w:rFonts w:ascii="Times New Roman" w:hAnsi="Times New Roman" w:cs="Times New Roman"/>
          <w:sz w:val="20"/>
          <w:szCs w:val="20"/>
        </w:rPr>
        <w:sectPr w:rsidR="006F281E" w:rsidRPr="00BE3CA9" w:rsidSect="001A09B6">
          <w:footerReference w:type="default" r:id="rId8"/>
          <w:pgSz w:w="12240" w:h="15840"/>
          <w:pgMar w:top="1440" w:right="1440" w:bottom="1440" w:left="1440" w:header="720" w:footer="720" w:gutter="0"/>
          <w:pgNumType w:fmt="lowerRoman" w:start="1"/>
          <w:cols w:space="720"/>
          <w:docGrid w:linePitch="360"/>
        </w:sectPr>
      </w:pPr>
    </w:p>
    <w:p w14:paraId="067CEF1D" w14:textId="60569CBD" w:rsidR="00D80855" w:rsidRPr="007A28AF" w:rsidRDefault="004B3A53" w:rsidP="00F632B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C3FEDD8" w14:textId="400CB21F" w:rsidR="00A3271D" w:rsidRPr="007A28AF" w:rsidRDefault="00505D94"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Population health</w:t>
      </w:r>
      <w:r w:rsidR="004163CF" w:rsidRPr="007A28AF">
        <w:rPr>
          <w:rStyle w:val="FootnoteReference"/>
          <w:rFonts w:ascii="Times New Roman" w:hAnsi="Times New Roman" w:cs="Times New Roman"/>
          <w:sz w:val="24"/>
          <w:szCs w:val="24"/>
        </w:rPr>
        <w:footnoteReference w:id="1"/>
      </w:r>
      <w:r w:rsidRPr="007A28AF">
        <w:rPr>
          <w:rFonts w:ascii="Times New Roman" w:hAnsi="Times New Roman" w:cs="Times New Roman"/>
          <w:sz w:val="24"/>
          <w:szCs w:val="24"/>
        </w:rPr>
        <w:t xml:space="preserve"> </w:t>
      </w:r>
      <w:r w:rsidR="00B63727">
        <w:rPr>
          <w:rFonts w:ascii="Times New Roman" w:hAnsi="Times New Roman" w:cs="Times New Roman"/>
          <w:sz w:val="24"/>
          <w:szCs w:val="24"/>
        </w:rPr>
        <w:t>is</w:t>
      </w:r>
      <w:r w:rsidRPr="007A28AF">
        <w:rPr>
          <w:rFonts w:ascii="Times New Roman" w:hAnsi="Times New Roman" w:cs="Times New Roman"/>
          <w:sz w:val="24"/>
          <w:szCs w:val="24"/>
        </w:rPr>
        <w:t xml:space="preserve"> described </w:t>
      </w:r>
      <w:r w:rsidR="00722962">
        <w:rPr>
          <w:rFonts w:ascii="Times New Roman" w:hAnsi="Times New Roman" w:cs="Times New Roman"/>
          <w:sz w:val="24"/>
          <w:szCs w:val="24"/>
        </w:rPr>
        <w:t xml:space="preserve">as </w:t>
      </w:r>
      <w:r w:rsidR="00F2379E" w:rsidRPr="007A28AF">
        <w:rPr>
          <w:rFonts w:ascii="Times New Roman" w:hAnsi="Times New Roman" w:cs="Times New Roman"/>
          <w:sz w:val="24"/>
          <w:szCs w:val="24"/>
        </w:rPr>
        <w:t>the science underpinning the practice of public health and understandings about health that come only from an appreciation of how health is generated in populations</w:t>
      </w:r>
      <w:r w:rsidR="000A5B86" w:rsidRPr="007A28AF">
        <w:rPr>
          <w:rFonts w:ascii="Times New Roman" w:hAnsi="Times New Roman" w:cs="Times New Roman"/>
          <w:sz w:val="24"/>
          <w:szCs w:val="24"/>
        </w:rPr>
        <w:t xml:space="preserve"> </w:t>
      </w:r>
      <w:r w:rsidR="000A5B86" w:rsidRPr="007A28AF">
        <w:rPr>
          <w:rFonts w:ascii="Times New Roman" w:hAnsi="Times New Roman" w:cs="Times New Roman"/>
          <w:sz w:val="24"/>
          <w:szCs w:val="24"/>
        </w:rPr>
        <w:fldChar w:fldCharType="begin" w:fldLock="1"/>
      </w:r>
      <w:r w:rsidR="00B16158" w:rsidRPr="007A28AF">
        <w:rPr>
          <w:rFonts w:ascii="Times New Roman" w:hAnsi="Times New Roman" w:cs="Times New Roman"/>
          <w:sz w:val="24"/>
          <w:szCs w:val="24"/>
        </w:rPr>
        <w:instrText>ADDIN CSL_CITATION {"citationItems":[{"id":"ITEM-1","itemData":{"DOI":"10.1007/bf03405503","ISSN":"00084263","PMID":"19263977","abstract":"Population-level health interventions are policies or programs that shift the distribution of health risk by addressing the underlying social, economic and environmental conditions. These interventions might be programs or policies designed and developed in the health sector, but they are more likely to be in sectors elsewhere, such as education, housing or employment. Population health intervention research attempts to capture the value and differential effect of these interventions, the processes by which they bring about change and the contexts within which they work best. In health research, unhelpful distinctions maintained in the past between research and evaluation have retarded the development of knowledge and led to patchy evidence about policies and programs. Myths about what can and cannot be achieved within community-level intervention research have similarly held the field back. The pathway forward integrates systematic inquiry approaches from a variety of disciplines.","author":[{"dropping-particle":"","family":"Hawe","given":"Penelope","non-dropping-particle":"","parse-names":false,"suffix":""},{"dropping-particle":"","family":"Potvin","given":"Louise","non-dropping-particle":"","parse-names":false,"suffix":""}],"container-title":"Canadian Journal of Public Health","id":"ITEM-1","issue":"1","issued":{"date-parts":[["2009"]]},"title":"What is population health intervention research?","type":"article-journal","volume":"100"},"uris":["http://www.mendeley.com/documents/?uuid=fb5e2a94-359f-463f-b935-6094aa8f8a44"]}],"mendeley":{"formattedCitation":"(Hawe &amp; Potvin, 2009)","manualFormatting":"(Hawe and Potvin, 2009)","plainTextFormattedCitation":"(Hawe &amp; Potvin, 2009)","previouslyFormattedCitation":"(Hawe &amp; Potvin, 2009)"},"properties":{"noteIndex":0},"schema":"https://github.com/citation-style-language/schema/raw/master/csl-citation.json"}</w:instrText>
      </w:r>
      <w:r w:rsidR="000A5B86" w:rsidRPr="007A28AF">
        <w:rPr>
          <w:rFonts w:ascii="Times New Roman" w:hAnsi="Times New Roman" w:cs="Times New Roman"/>
          <w:sz w:val="24"/>
          <w:szCs w:val="24"/>
        </w:rPr>
        <w:fldChar w:fldCharType="separate"/>
      </w:r>
      <w:r w:rsidR="000A5B86" w:rsidRPr="007A28AF">
        <w:rPr>
          <w:rFonts w:ascii="Times New Roman" w:hAnsi="Times New Roman" w:cs="Times New Roman"/>
          <w:noProof/>
          <w:sz w:val="24"/>
          <w:szCs w:val="24"/>
        </w:rPr>
        <w:t>(Hawe and Potvin, 2009)</w:t>
      </w:r>
      <w:r w:rsidR="000A5B86" w:rsidRPr="007A28AF">
        <w:rPr>
          <w:rFonts w:ascii="Times New Roman" w:hAnsi="Times New Roman" w:cs="Times New Roman"/>
          <w:sz w:val="24"/>
          <w:szCs w:val="24"/>
        </w:rPr>
        <w:fldChar w:fldCharType="end"/>
      </w:r>
      <w:r w:rsidR="00573120">
        <w:rPr>
          <w:rFonts w:ascii="Times New Roman" w:hAnsi="Times New Roman" w:cs="Times New Roman"/>
          <w:sz w:val="24"/>
          <w:szCs w:val="24"/>
        </w:rPr>
        <w:t>.</w:t>
      </w:r>
      <w:r w:rsidR="00F2379E" w:rsidRPr="007A28AF">
        <w:rPr>
          <w:rFonts w:ascii="Times New Roman" w:hAnsi="Times New Roman" w:cs="Times New Roman"/>
          <w:sz w:val="24"/>
          <w:szCs w:val="24"/>
        </w:rPr>
        <w:t xml:space="preserve"> </w:t>
      </w:r>
      <w:r w:rsidR="0056213C" w:rsidRPr="007A28AF">
        <w:rPr>
          <w:rFonts w:ascii="Times New Roman" w:hAnsi="Times New Roman" w:cs="Times New Roman"/>
          <w:sz w:val="24"/>
          <w:szCs w:val="24"/>
        </w:rPr>
        <w:t>According to the</w:t>
      </w:r>
      <w:r w:rsidR="003C0AEA" w:rsidRPr="007A28AF">
        <w:rPr>
          <w:rFonts w:ascii="Times New Roman" w:hAnsi="Times New Roman" w:cs="Times New Roman"/>
          <w:sz w:val="24"/>
          <w:szCs w:val="24"/>
        </w:rPr>
        <w:t xml:space="preserve"> Population Health Intervention Research Initiative for Canada (PHIRIC)</w:t>
      </w:r>
      <w:r w:rsidR="0056213C" w:rsidRPr="007A28AF">
        <w:rPr>
          <w:rFonts w:ascii="Times New Roman" w:hAnsi="Times New Roman" w:cs="Times New Roman"/>
          <w:sz w:val="24"/>
          <w:szCs w:val="24"/>
        </w:rPr>
        <w:t xml:space="preserve">, </w:t>
      </w:r>
      <w:r w:rsidR="00882EFD">
        <w:rPr>
          <w:rFonts w:ascii="Times New Roman" w:hAnsi="Times New Roman" w:cs="Times New Roman"/>
          <w:sz w:val="24"/>
          <w:szCs w:val="24"/>
        </w:rPr>
        <w:t xml:space="preserve">a </w:t>
      </w:r>
      <w:r w:rsidR="003C0AEA" w:rsidRPr="007A28AF">
        <w:rPr>
          <w:rFonts w:ascii="Times New Roman" w:hAnsi="Times New Roman" w:cs="Times New Roman"/>
          <w:sz w:val="24"/>
          <w:szCs w:val="24"/>
        </w:rPr>
        <w:t>population health intervention research</w:t>
      </w:r>
      <w:r w:rsidR="009A70B8" w:rsidRPr="007A28AF">
        <w:rPr>
          <w:rFonts w:ascii="Times New Roman" w:hAnsi="Times New Roman" w:cs="Times New Roman"/>
          <w:sz w:val="24"/>
          <w:szCs w:val="24"/>
        </w:rPr>
        <w:t xml:space="preserve"> </w:t>
      </w:r>
      <w:r w:rsidR="003C0AEA" w:rsidRPr="007A28AF">
        <w:rPr>
          <w:rFonts w:ascii="Times New Roman" w:hAnsi="Times New Roman" w:cs="Times New Roman"/>
          <w:sz w:val="24"/>
          <w:szCs w:val="24"/>
        </w:rPr>
        <w:t>(PHIR)</w:t>
      </w:r>
      <w:r w:rsidR="002355F1" w:rsidRPr="007A28AF">
        <w:rPr>
          <w:rFonts w:ascii="Times New Roman" w:hAnsi="Times New Roman" w:cs="Times New Roman"/>
          <w:sz w:val="24"/>
          <w:szCs w:val="24"/>
        </w:rPr>
        <w:t xml:space="preserve"> </w:t>
      </w:r>
      <w:r w:rsidR="0056213C" w:rsidRPr="007A28AF">
        <w:rPr>
          <w:rFonts w:ascii="Times New Roman" w:hAnsi="Times New Roman" w:cs="Times New Roman"/>
          <w:sz w:val="24"/>
          <w:szCs w:val="24"/>
        </w:rPr>
        <w:t>involves</w:t>
      </w:r>
      <w:r w:rsidR="002355F1" w:rsidRPr="007A28AF">
        <w:rPr>
          <w:rFonts w:ascii="Times New Roman" w:hAnsi="Times New Roman" w:cs="Times New Roman"/>
          <w:sz w:val="24"/>
          <w:szCs w:val="24"/>
        </w:rPr>
        <w:t xml:space="preserve"> the use of scientific methods to produce knowledge about policy and program interventions</w:t>
      </w:r>
      <w:r w:rsidR="00075A5A" w:rsidRPr="007A28AF">
        <w:rPr>
          <w:rFonts w:ascii="Times New Roman" w:hAnsi="Times New Roman" w:cs="Times New Roman"/>
          <w:sz w:val="24"/>
          <w:szCs w:val="24"/>
        </w:rPr>
        <w:t xml:space="preserve"> that operate within or outside of the health sector and have the potential to impact health at the population level</w:t>
      </w:r>
      <w:r w:rsidR="00F450EB" w:rsidRPr="007A28AF">
        <w:rPr>
          <w:rFonts w:ascii="Times New Roman" w:hAnsi="Times New Roman" w:cs="Times New Roman"/>
          <w:sz w:val="24"/>
          <w:szCs w:val="24"/>
        </w:rPr>
        <w:t xml:space="preserve"> </w:t>
      </w:r>
      <w:r w:rsidR="00F450EB" w:rsidRPr="007A28AF">
        <w:rPr>
          <w:rFonts w:ascii="Times New Roman" w:hAnsi="Times New Roman" w:cs="Times New Roman"/>
          <w:sz w:val="24"/>
          <w:szCs w:val="24"/>
        </w:rPr>
        <w:fldChar w:fldCharType="begin" w:fldLock="1"/>
      </w:r>
      <w:r w:rsidR="00B16158" w:rsidRPr="007A28AF">
        <w:rPr>
          <w:rFonts w:ascii="Times New Roman" w:hAnsi="Times New Roman" w:cs="Times New Roman"/>
          <w:sz w:val="24"/>
          <w:szCs w:val="24"/>
        </w:rPr>
        <w:instrText>ADDIN CSL_CITATION {"citationItems":[{"id":"ITEM-1","itemData":{"DOI":"10.1007/bf03405503","ISSN":"00084263","PMID":"19263977","abstract":"Population-level health interventions are policies or programs that shift the distribution of health risk by addressing the underlying social, economic and environmental conditions. These interventions might be programs or policies designed and developed in the health sector, but they are more likely to be in sectors elsewhere, such as education, housing or employment. Population health intervention research attempts to capture the value and differential effect of these interventions, the processes by which they bring about change and the contexts within which they work best. In health research, unhelpful distinctions maintained in the past between research and evaluation have retarded the development of knowledge and led to patchy evidence about policies and programs. Myths about what can and cannot be achieved within community-level intervention research have similarly held the field back. The pathway forward integrates systematic inquiry approaches from a variety of disciplines.","author":[{"dropping-particle":"","family":"Hawe","given":"Penelope","non-dropping-particle":"","parse-names":false,"suffix":""},{"dropping-particle":"","family":"Potvin","given":"Louise","non-dropping-particle":"","parse-names":false,"suffix":""}],"container-title":"Canadian Journal of Public Health","id":"ITEM-1","issue":"1","issued":{"date-parts":[["2009"]]},"title":"What is population health intervention research?","type":"article-journal","volume":"100"},"uris":["http://www.mendeley.com/documents/?uuid=fb5e2a94-359f-463f-b935-6094aa8f8a44"]}],"mendeley":{"formattedCitation":"(Hawe &amp; Potvin, 2009)","manualFormatting":"(Hawe and Potvin, 2009)","plainTextFormattedCitation":"(Hawe &amp; Potvin, 2009)","previouslyFormattedCitation":"(Hawe &amp; Potvin, 2009)"},"properties":{"noteIndex":0},"schema":"https://github.com/citation-style-language/schema/raw/master/csl-citation.json"}</w:instrText>
      </w:r>
      <w:r w:rsidR="00F450EB" w:rsidRPr="007A28AF">
        <w:rPr>
          <w:rFonts w:ascii="Times New Roman" w:hAnsi="Times New Roman" w:cs="Times New Roman"/>
          <w:sz w:val="24"/>
          <w:szCs w:val="24"/>
        </w:rPr>
        <w:fldChar w:fldCharType="separate"/>
      </w:r>
      <w:r w:rsidR="00F450EB" w:rsidRPr="007A28AF">
        <w:rPr>
          <w:rFonts w:ascii="Times New Roman" w:hAnsi="Times New Roman" w:cs="Times New Roman"/>
          <w:noProof/>
          <w:sz w:val="24"/>
          <w:szCs w:val="24"/>
        </w:rPr>
        <w:t>(Hawe and Potvin, 2009)</w:t>
      </w:r>
      <w:r w:rsidR="00F450EB" w:rsidRPr="007A28AF">
        <w:rPr>
          <w:rFonts w:ascii="Times New Roman" w:hAnsi="Times New Roman" w:cs="Times New Roman"/>
          <w:sz w:val="24"/>
          <w:szCs w:val="24"/>
        </w:rPr>
        <w:fldChar w:fldCharType="end"/>
      </w:r>
      <w:r w:rsidR="00075A5A" w:rsidRPr="007A28AF">
        <w:rPr>
          <w:rFonts w:ascii="Times New Roman" w:hAnsi="Times New Roman" w:cs="Times New Roman"/>
          <w:sz w:val="24"/>
          <w:szCs w:val="24"/>
        </w:rPr>
        <w:t xml:space="preserve">. </w:t>
      </w:r>
      <w:r w:rsidR="00962063" w:rsidRPr="007A28AF">
        <w:rPr>
          <w:rFonts w:ascii="Times New Roman" w:hAnsi="Times New Roman" w:cs="Times New Roman"/>
          <w:sz w:val="24"/>
          <w:szCs w:val="24"/>
        </w:rPr>
        <w:t>PHIR is increasingly used to develop and evaluate policies, programs and other</w:t>
      </w:r>
      <w:r w:rsidR="00D94CFF" w:rsidRPr="007A28AF">
        <w:rPr>
          <w:rFonts w:ascii="Times New Roman" w:hAnsi="Times New Roman" w:cs="Times New Roman"/>
          <w:sz w:val="24"/>
          <w:szCs w:val="24"/>
        </w:rPr>
        <w:t xml:space="preserve"> </w:t>
      </w:r>
      <w:r w:rsidR="00962063" w:rsidRPr="007A28AF">
        <w:rPr>
          <w:rFonts w:ascii="Times New Roman" w:hAnsi="Times New Roman" w:cs="Times New Roman"/>
          <w:sz w:val="24"/>
          <w:szCs w:val="24"/>
        </w:rPr>
        <w:t>interventions that are aimed at impacting</w:t>
      </w:r>
      <w:r w:rsidR="00D74FFA" w:rsidRPr="007A28AF">
        <w:rPr>
          <w:rFonts w:ascii="Times New Roman" w:hAnsi="Times New Roman" w:cs="Times New Roman"/>
          <w:sz w:val="24"/>
          <w:szCs w:val="24"/>
        </w:rPr>
        <w:t>/</w:t>
      </w:r>
      <w:r w:rsidR="009903CF" w:rsidRPr="007A28AF">
        <w:rPr>
          <w:rFonts w:ascii="Times New Roman" w:hAnsi="Times New Roman" w:cs="Times New Roman"/>
          <w:sz w:val="24"/>
          <w:szCs w:val="24"/>
        </w:rPr>
        <w:t>improving population</w:t>
      </w:r>
      <w:r w:rsidR="00962063" w:rsidRPr="007A28AF">
        <w:rPr>
          <w:rFonts w:ascii="Times New Roman" w:hAnsi="Times New Roman" w:cs="Times New Roman"/>
          <w:sz w:val="24"/>
          <w:szCs w:val="24"/>
        </w:rPr>
        <w:t xml:space="preserve"> health and/or health equity </w:t>
      </w:r>
      <w:r w:rsidR="006C16AC" w:rsidRPr="007A28AF">
        <w:rPr>
          <w:rFonts w:ascii="Times New Roman" w:hAnsi="Times New Roman" w:cs="Times New Roman"/>
          <w:sz w:val="24"/>
          <w:szCs w:val="24"/>
        </w:rPr>
        <w:t>through interventions that</w:t>
      </w:r>
      <w:r w:rsidR="00962063" w:rsidRPr="007A28AF">
        <w:rPr>
          <w:rFonts w:ascii="Times New Roman" w:hAnsi="Times New Roman" w:cs="Times New Roman"/>
          <w:sz w:val="24"/>
          <w:szCs w:val="24"/>
        </w:rPr>
        <w:t xml:space="preserve"> modify the underlying determinants of health or directly influenc</w:t>
      </w:r>
      <w:r w:rsidR="006C16AC" w:rsidRPr="007A28AF">
        <w:rPr>
          <w:rFonts w:ascii="Times New Roman" w:hAnsi="Times New Roman" w:cs="Times New Roman"/>
          <w:sz w:val="24"/>
          <w:szCs w:val="24"/>
        </w:rPr>
        <w:t xml:space="preserve">e </w:t>
      </w:r>
      <w:r w:rsidR="00962063" w:rsidRPr="007A28AF">
        <w:rPr>
          <w:rFonts w:ascii="Times New Roman" w:hAnsi="Times New Roman" w:cs="Times New Roman"/>
          <w:sz w:val="24"/>
          <w:szCs w:val="24"/>
        </w:rPr>
        <w:t>health behaviors</w:t>
      </w:r>
      <w:r w:rsidR="00762AC3" w:rsidRPr="007A28AF">
        <w:rPr>
          <w:rFonts w:ascii="Times New Roman" w:hAnsi="Times New Roman" w:cs="Times New Roman"/>
          <w:sz w:val="24"/>
          <w:szCs w:val="24"/>
        </w:rPr>
        <w:t xml:space="preserve"> (</w:t>
      </w:r>
      <w:r w:rsidR="00762AC3" w:rsidRPr="007A28AF">
        <w:rPr>
          <w:rFonts w:ascii="Times New Roman" w:hAnsi="Times New Roman" w:cs="Times New Roman"/>
          <w:sz w:val="24"/>
          <w:szCs w:val="24"/>
        </w:rPr>
        <w:fldChar w:fldCharType="begin" w:fldLock="1"/>
      </w:r>
      <w:r w:rsidR="00762AC3" w:rsidRPr="007A28AF">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00762AC3" w:rsidRPr="007A28AF">
        <w:rPr>
          <w:rFonts w:ascii="Times New Roman" w:hAnsi="Times New Roman" w:cs="Times New Roman"/>
          <w:sz w:val="24"/>
          <w:szCs w:val="24"/>
        </w:rPr>
        <w:fldChar w:fldCharType="separate"/>
      </w:r>
      <w:r w:rsidR="00762AC3" w:rsidRPr="007A28AF">
        <w:rPr>
          <w:rFonts w:ascii="Times New Roman" w:hAnsi="Times New Roman" w:cs="Times New Roman"/>
          <w:noProof/>
          <w:sz w:val="24"/>
          <w:szCs w:val="24"/>
        </w:rPr>
        <w:t>Craig et al., 2018)</w:t>
      </w:r>
      <w:r w:rsidR="00762AC3" w:rsidRPr="007A28AF">
        <w:rPr>
          <w:rFonts w:ascii="Times New Roman" w:hAnsi="Times New Roman" w:cs="Times New Roman"/>
          <w:sz w:val="24"/>
          <w:szCs w:val="24"/>
        </w:rPr>
        <w:fldChar w:fldCharType="end"/>
      </w:r>
      <w:r w:rsidR="00962063" w:rsidRPr="007A28AF">
        <w:rPr>
          <w:rFonts w:ascii="Times New Roman" w:hAnsi="Times New Roman" w:cs="Times New Roman"/>
          <w:sz w:val="24"/>
          <w:szCs w:val="24"/>
        </w:rPr>
        <w:t xml:space="preserve">. </w:t>
      </w:r>
    </w:p>
    <w:p w14:paraId="2FC7427C" w14:textId="5D45949E" w:rsidR="00962063" w:rsidRPr="007A28AF" w:rsidRDefault="00B606D1"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 xml:space="preserve">Studies of the impact of actions in sectors outside health, designed for purposes other than health, are included in the PHIRIC definition of </w:t>
      </w:r>
      <w:r w:rsidR="003B1909">
        <w:rPr>
          <w:rFonts w:ascii="Times New Roman" w:hAnsi="Times New Roman" w:cs="Times New Roman"/>
          <w:sz w:val="24"/>
          <w:szCs w:val="24"/>
        </w:rPr>
        <w:t>PHIR</w:t>
      </w:r>
      <w:r w:rsidRPr="007A28AF">
        <w:rPr>
          <w:rFonts w:ascii="Times New Roman" w:hAnsi="Times New Roman" w:cs="Times New Roman"/>
          <w:sz w:val="24"/>
          <w:szCs w:val="24"/>
        </w:rPr>
        <w:t xml:space="preserve"> along with ongoing practices and policies in sectors other than health (such as economic</w:t>
      </w:r>
      <w:r w:rsidR="001716E5" w:rsidRPr="007A28AF">
        <w:rPr>
          <w:rFonts w:ascii="Times New Roman" w:hAnsi="Times New Roman" w:cs="Times New Roman"/>
          <w:sz w:val="24"/>
          <w:szCs w:val="24"/>
        </w:rPr>
        <w:t>/financial</w:t>
      </w:r>
      <w:r w:rsidRPr="007A28AF">
        <w:rPr>
          <w:rFonts w:ascii="Times New Roman" w:hAnsi="Times New Roman" w:cs="Times New Roman"/>
          <w:sz w:val="24"/>
          <w:szCs w:val="24"/>
        </w:rPr>
        <w:t xml:space="preserve"> policy, education policy and environment policy) that might affect population health</w:t>
      </w:r>
      <w:r w:rsidR="001716E5" w:rsidRPr="007A28AF">
        <w:rPr>
          <w:rFonts w:ascii="Times New Roman" w:hAnsi="Times New Roman" w:cs="Times New Roman"/>
          <w:sz w:val="24"/>
          <w:szCs w:val="24"/>
        </w:rPr>
        <w:t xml:space="preserve"> </w:t>
      </w:r>
      <w:r w:rsidR="001716E5" w:rsidRPr="007A28AF">
        <w:rPr>
          <w:rFonts w:ascii="Times New Roman" w:hAnsi="Times New Roman" w:cs="Times New Roman"/>
          <w:sz w:val="24"/>
          <w:szCs w:val="24"/>
        </w:rPr>
        <w:fldChar w:fldCharType="begin" w:fldLock="1"/>
      </w:r>
      <w:r w:rsidR="00B16158" w:rsidRPr="007A28AF">
        <w:rPr>
          <w:rFonts w:ascii="Times New Roman" w:hAnsi="Times New Roman" w:cs="Times New Roman"/>
          <w:sz w:val="24"/>
          <w:szCs w:val="24"/>
        </w:rPr>
        <w:instrText>ADDIN CSL_CITATION {"citationItems":[{"id":"ITEM-1","itemData":{"DOI":"10.1007/bf03405503","ISSN":"00084263","PMID":"19263977","abstract":"Population-level health interventions are policies or programs that shift the distribution of health risk by addressing the underlying social, economic and environmental conditions. These interventions might be programs or policies designed and developed in the health sector, but they are more likely to be in sectors elsewhere, such as education, housing or employment. Population health intervention research attempts to capture the value and differential effect of these interventions, the processes by which they bring about change and the contexts within which they work best. In health research, unhelpful distinctions maintained in the past between research and evaluation have retarded the development of knowledge and led to patchy evidence about policies and programs. Myths about what can and cannot be achieved within community-level intervention research have similarly held the field back. The pathway forward integrates systematic inquiry approaches from a variety of disciplines.","author":[{"dropping-particle":"","family":"Hawe","given":"Penelope","non-dropping-particle":"","parse-names":false,"suffix":""},{"dropping-particle":"","family":"Potvin","given":"Louise","non-dropping-particle":"","parse-names":false,"suffix":""}],"container-title":"Canadian Journal of Public Health","id":"ITEM-1","issue":"1","issued":{"date-parts":[["2009"]]},"title":"What is population health intervention research?","type":"article-journal","volume":"100"},"uris":["http://www.mendeley.com/documents/?uuid=fb5e2a94-359f-463f-b935-6094aa8f8a44"]}],"mendeley":{"formattedCitation":"(Hawe &amp; Potvin, 2009)","manualFormatting":"(Hawe and Potvin, 2009)","plainTextFormattedCitation":"(Hawe &amp; Potvin, 2009)","previouslyFormattedCitation":"(Hawe &amp; Potvin, 2009)"},"properties":{"noteIndex":0},"schema":"https://github.com/citation-style-language/schema/raw/master/csl-citation.json"}</w:instrText>
      </w:r>
      <w:r w:rsidR="001716E5" w:rsidRPr="007A28AF">
        <w:rPr>
          <w:rFonts w:ascii="Times New Roman" w:hAnsi="Times New Roman" w:cs="Times New Roman"/>
          <w:sz w:val="24"/>
          <w:szCs w:val="24"/>
        </w:rPr>
        <w:fldChar w:fldCharType="separate"/>
      </w:r>
      <w:r w:rsidR="001716E5" w:rsidRPr="007A28AF">
        <w:rPr>
          <w:rFonts w:ascii="Times New Roman" w:hAnsi="Times New Roman" w:cs="Times New Roman"/>
          <w:noProof/>
          <w:sz w:val="24"/>
          <w:szCs w:val="24"/>
        </w:rPr>
        <w:t>(Hawe and Potvin, 2009)</w:t>
      </w:r>
      <w:r w:rsidR="001716E5" w:rsidRPr="007A28AF">
        <w:rPr>
          <w:rFonts w:ascii="Times New Roman" w:hAnsi="Times New Roman" w:cs="Times New Roman"/>
          <w:sz w:val="24"/>
          <w:szCs w:val="24"/>
        </w:rPr>
        <w:fldChar w:fldCharType="end"/>
      </w:r>
      <w:r w:rsidRPr="007A28AF">
        <w:rPr>
          <w:rFonts w:ascii="Times New Roman" w:hAnsi="Times New Roman" w:cs="Times New Roman"/>
          <w:sz w:val="24"/>
          <w:szCs w:val="24"/>
        </w:rPr>
        <w:t>.</w:t>
      </w:r>
      <w:r w:rsidR="00367B36" w:rsidRPr="007A28AF">
        <w:rPr>
          <w:rFonts w:ascii="Times New Roman" w:hAnsi="Times New Roman" w:cs="Times New Roman"/>
          <w:sz w:val="24"/>
          <w:szCs w:val="24"/>
        </w:rPr>
        <w:t xml:space="preserve"> </w:t>
      </w:r>
      <w:r w:rsidR="007B7050" w:rsidRPr="007A28AF">
        <w:rPr>
          <w:rFonts w:ascii="Times New Roman" w:hAnsi="Times New Roman" w:cs="Times New Roman"/>
          <w:sz w:val="24"/>
          <w:szCs w:val="24"/>
        </w:rPr>
        <w:t xml:space="preserve">There is </w:t>
      </w:r>
      <w:r w:rsidR="00545149" w:rsidRPr="007A28AF">
        <w:rPr>
          <w:rFonts w:ascii="Times New Roman" w:hAnsi="Times New Roman" w:cs="Times New Roman"/>
          <w:sz w:val="24"/>
          <w:szCs w:val="24"/>
        </w:rPr>
        <w:t xml:space="preserve">also </w:t>
      </w:r>
      <w:r w:rsidR="007B7050" w:rsidRPr="007A28AF">
        <w:rPr>
          <w:rFonts w:ascii="Times New Roman" w:hAnsi="Times New Roman" w:cs="Times New Roman"/>
          <w:sz w:val="24"/>
          <w:szCs w:val="24"/>
        </w:rPr>
        <w:t xml:space="preserve">an increasing </w:t>
      </w:r>
      <w:r w:rsidR="005C0E5D" w:rsidRPr="007A28AF">
        <w:rPr>
          <w:rFonts w:ascii="Times New Roman" w:hAnsi="Times New Roman" w:cs="Times New Roman"/>
          <w:sz w:val="24"/>
          <w:szCs w:val="24"/>
        </w:rPr>
        <w:t xml:space="preserve">global </w:t>
      </w:r>
      <w:r w:rsidR="007B7050" w:rsidRPr="007A28AF">
        <w:rPr>
          <w:rFonts w:ascii="Times New Roman" w:hAnsi="Times New Roman" w:cs="Times New Roman"/>
          <w:sz w:val="24"/>
          <w:szCs w:val="24"/>
        </w:rPr>
        <w:t>move to shift the emphasis of population health research away from purely descriptive and analytic studies and towards the study of interventions to reduce health problems and health inequities (Hawe and Potvin, 2009)</w:t>
      </w:r>
      <w:r w:rsidR="0043233A" w:rsidRPr="007A28AF">
        <w:rPr>
          <w:rFonts w:ascii="Times New Roman" w:hAnsi="Times New Roman" w:cs="Times New Roman"/>
          <w:sz w:val="24"/>
          <w:szCs w:val="24"/>
        </w:rPr>
        <w:t xml:space="preserve">. </w:t>
      </w:r>
      <w:r w:rsidR="00E05DD4" w:rsidRPr="007A28AF">
        <w:rPr>
          <w:rFonts w:ascii="Times New Roman" w:hAnsi="Times New Roman" w:cs="Times New Roman"/>
          <w:sz w:val="24"/>
          <w:szCs w:val="24"/>
        </w:rPr>
        <w:t>Over the last 15 years, t</w:t>
      </w:r>
      <w:r w:rsidR="00367B36" w:rsidRPr="007A28AF">
        <w:rPr>
          <w:rFonts w:ascii="Times New Roman" w:hAnsi="Times New Roman" w:cs="Times New Roman"/>
          <w:sz w:val="24"/>
          <w:szCs w:val="24"/>
        </w:rPr>
        <w:t xml:space="preserve">his has led to </w:t>
      </w:r>
      <w:r w:rsidR="0048102A" w:rsidRPr="007A28AF">
        <w:rPr>
          <w:rFonts w:ascii="Times New Roman" w:hAnsi="Times New Roman" w:cs="Times New Roman"/>
          <w:sz w:val="24"/>
          <w:szCs w:val="24"/>
        </w:rPr>
        <w:t>PHIR studies employing</w:t>
      </w:r>
      <w:r w:rsidR="00367B36" w:rsidRPr="007A28AF">
        <w:rPr>
          <w:rFonts w:ascii="Times New Roman" w:hAnsi="Times New Roman" w:cs="Times New Roman"/>
          <w:sz w:val="24"/>
          <w:szCs w:val="24"/>
        </w:rPr>
        <w:t xml:space="preserve"> </w:t>
      </w:r>
      <w:r w:rsidR="00EB77BE" w:rsidRPr="007A28AF">
        <w:rPr>
          <w:rFonts w:ascii="Times New Roman" w:hAnsi="Times New Roman" w:cs="Times New Roman"/>
          <w:sz w:val="24"/>
          <w:szCs w:val="24"/>
        </w:rPr>
        <w:t xml:space="preserve">new </w:t>
      </w:r>
      <w:r w:rsidR="00F80E57" w:rsidRPr="007A28AF">
        <w:rPr>
          <w:rFonts w:ascii="Times New Roman" w:hAnsi="Times New Roman" w:cs="Times New Roman"/>
          <w:sz w:val="24"/>
          <w:szCs w:val="24"/>
        </w:rPr>
        <w:t>economic evaluation</w:t>
      </w:r>
      <w:r w:rsidR="00F43AAA" w:rsidRPr="007A28AF">
        <w:rPr>
          <w:rFonts w:ascii="Times New Roman" w:hAnsi="Times New Roman" w:cs="Times New Roman"/>
          <w:sz w:val="24"/>
          <w:szCs w:val="24"/>
        </w:rPr>
        <w:t xml:space="preserve"> strategies (such as Distributional and Extended Cost-effectiveness analysis)</w:t>
      </w:r>
      <w:r w:rsidR="000F2AE9" w:rsidRPr="007A28AF">
        <w:rPr>
          <w:rFonts w:ascii="Times New Roman" w:hAnsi="Times New Roman" w:cs="Times New Roman"/>
          <w:sz w:val="24"/>
          <w:szCs w:val="24"/>
        </w:rPr>
        <w:t xml:space="preserve"> </w:t>
      </w:r>
      <w:r w:rsidR="0048102A" w:rsidRPr="007A28AF">
        <w:rPr>
          <w:rFonts w:ascii="Times New Roman" w:hAnsi="Times New Roman" w:cs="Times New Roman"/>
          <w:sz w:val="24"/>
          <w:szCs w:val="24"/>
        </w:rPr>
        <w:t>that focus on equity and health and non-health impacts</w:t>
      </w:r>
      <w:r w:rsidR="00674897" w:rsidRPr="007A28AF">
        <w:rPr>
          <w:rFonts w:ascii="Times New Roman" w:hAnsi="Times New Roman" w:cs="Times New Roman"/>
          <w:sz w:val="24"/>
          <w:szCs w:val="24"/>
        </w:rPr>
        <w:t xml:space="preserve">. </w:t>
      </w:r>
    </w:p>
    <w:p w14:paraId="569B5824" w14:textId="56215282" w:rsidR="00A64EED" w:rsidRPr="007A28AF" w:rsidRDefault="006061BF"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lastRenderedPageBreak/>
        <w:t xml:space="preserve">However, there remains a lack of </w:t>
      </w:r>
      <w:r w:rsidR="00ED2B3B">
        <w:rPr>
          <w:rFonts w:ascii="Times New Roman" w:hAnsi="Times New Roman" w:cs="Times New Roman"/>
          <w:sz w:val="24"/>
          <w:szCs w:val="24"/>
        </w:rPr>
        <w:t xml:space="preserve">a </w:t>
      </w:r>
      <w:r w:rsidRPr="007A28AF">
        <w:rPr>
          <w:rFonts w:ascii="Times New Roman" w:hAnsi="Times New Roman" w:cs="Times New Roman"/>
          <w:sz w:val="24"/>
          <w:szCs w:val="24"/>
        </w:rPr>
        <w:t xml:space="preserve">comprehensive and aggregated </w:t>
      </w:r>
      <w:r w:rsidR="00D45EEC" w:rsidRPr="007A28AF">
        <w:rPr>
          <w:rFonts w:ascii="Times New Roman" w:hAnsi="Times New Roman" w:cs="Times New Roman"/>
          <w:sz w:val="24"/>
          <w:szCs w:val="24"/>
        </w:rPr>
        <w:t xml:space="preserve">conceptual </w:t>
      </w:r>
      <w:r w:rsidRPr="007A28AF">
        <w:rPr>
          <w:rFonts w:ascii="Times New Roman" w:hAnsi="Times New Roman" w:cs="Times New Roman"/>
          <w:sz w:val="24"/>
          <w:szCs w:val="24"/>
        </w:rPr>
        <w:t xml:space="preserve">framework for </w:t>
      </w:r>
      <w:r w:rsidR="001C43BB">
        <w:rPr>
          <w:rFonts w:ascii="Times New Roman" w:hAnsi="Times New Roman" w:cs="Times New Roman"/>
          <w:sz w:val="24"/>
          <w:szCs w:val="24"/>
        </w:rPr>
        <w:t>PHIR</w:t>
      </w:r>
      <w:r w:rsidRPr="007A28AF">
        <w:rPr>
          <w:rFonts w:ascii="Times New Roman" w:hAnsi="Times New Roman" w:cs="Times New Roman"/>
          <w:sz w:val="24"/>
          <w:szCs w:val="24"/>
        </w:rPr>
        <w:t>.</w:t>
      </w:r>
      <w:r w:rsidR="00437890" w:rsidRPr="007A28AF">
        <w:rPr>
          <w:rFonts w:ascii="Times New Roman" w:hAnsi="Times New Roman" w:cs="Times New Roman"/>
          <w:sz w:val="24"/>
          <w:szCs w:val="24"/>
        </w:rPr>
        <w:t xml:space="preserve"> This study draws together recent thinking </w:t>
      </w:r>
      <w:r w:rsidR="007337E8" w:rsidRPr="007A28AF">
        <w:rPr>
          <w:rFonts w:ascii="Times New Roman" w:hAnsi="Times New Roman" w:cs="Times New Roman"/>
          <w:sz w:val="24"/>
          <w:szCs w:val="24"/>
        </w:rPr>
        <w:t xml:space="preserve">and </w:t>
      </w:r>
      <w:r w:rsidR="000B00CD" w:rsidRPr="007A28AF">
        <w:rPr>
          <w:rFonts w:ascii="Times New Roman" w:hAnsi="Times New Roman" w:cs="Times New Roman"/>
          <w:sz w:val="24"/>
          <w:szCs w:val="24"/>
        </w:rPr>
        <w:t>research</w:t>
      </w:r>
      <w:r w:rsidR="007337E8" w:rsidRPr="007A28AF">
        <w:rPr>
          <w:rFonts w:ascii="Times New Roman" w:hAnsi="Times New Roman" w:cs="Times New Roman"/>
          <w:sz w:val="24"/>
          <w:szCs w:val="24"/>
        </w:rPr>
        <w:t xml:space="preserve"> </w:t>
      </w:r>
      <w:r w:rsidR="000B00CD" w:rsidRPr="007A28AF">
        <w:rPr>
          <w:rFonts w:ascii="Times New Roman" w:hAnsi="Times New Roman" w:cs="Times New Roman"/>
          <w:sz w:val="24"/>
          <w:szCs w:val="24"/>
        </w:rPr>
        <w:t>to identify how PHIR is</w:t>
      </w:r>
      <w:r w:rsidR="00DF52B3" w:rsidRPr="007A28AF">
        <w:rPr>
          <w:rFonts w:ascii="Times New Roman" w:hAnsi="Times New Roman" w:cs="Times New Roman"/>
          <w:sz w:val="24"/>
          <w:szCs w:val="24"/>
        </w:rPr>
        <w:t xml:space="preserve"> or should be</w:t>
      </w:r>
      <w:r w:rsidR="000B00CD" w:rsidRPr="007A28AF">
        <w:rPr>
          <w:rFonts w:ascii="Times New Roman" w:hAnsi="Times New Roman" w:cs="Times New Roman"/>
          <w:sz w:val="24"/>
          <w:szCs w:val="24"/>
        </w:rPr>
        <w:t xml:space="preserve"> conceptualized within contextual factors</w:t>
      </w:r>
      <w:r w:rsidR="00457FC7" w:rsidRPr="007A28AF">
        <w:rPr>
          <w:rFonts w:ascii="Times New Roman" w:hAnsi="Times New Roman" w:cs="Times New Roman"/>
          <w:sz w:val="24"/>
          <w:szCs w:val="24"/>
        </w:rPr>
        <w:t xml:space="preserve"> </w:t>
      </w:r>
      <w:r w:rsidR="007977F8" w:rsidRPr="007A28AF">
        <w:rPr>
          <w:rFonts w:ascii="Times New Roman" w:hAnsi="Times New Roman" w:cs="Times New Roman"/>
          <w:sz w:val="24"/>
          <w:szCs w:val="24"/>
        </w:rPr>
        <w:t xml:space="preserve">while </w:t>
      </w:r>
      <w:r w:rsidR="00457FC7" w:rsidRPr="007A28AF">
        <w:rPr>
          <w:rFonts w:ascii="Times New Roman" w:hAnsi="Times New Roman" w:cs="Times New Roman"/>
          <w:sz w:val="24"/>
          <w:szCs w:val="24"/>
        </w:rPr>
        <w:t xml:space="preserve">taking </w:t>
      </w:r>
      <w:r w:rsidR="003408E3">
        <w:rPr>
          <w:rFonts w:ascii="Times New Roman" w:hAnsi="Times New Roman" w:cs="Times New Roman"/>
          <w:sz w:val="24"/>
          <w:szCs w:val="24"/>
        </w:rPr>
        <w:t xml:space="preserve">equity, </w:t>
      </w:r>
      <w:r w:rsidR="007977F8" w:rsidRPr="007A28AF">
        <w:rPr>
          <w:rFonts w:ascii="Times New Roman" w:hAnsi="Times New Roman" w:cs="Times New Roman"/>
          <w:sz w:val="24"/>
          <w:szCs w:val="24"/>
        </w:rPr>
        <w:t>health</w:t>
      </w:r>
      <w:r w:rsidR="003408E3">
        <w:rPr>
          <w:rFonts w:ascii="Times New Roman" w:hAnsi="Times New Roman" w:cs="Times New Roman"/>
          <w:sz w:val="24"/>
          <w:szCs w:val="24"/>
        </w:rPr>
        <w:t>,</w:t>
      </w:r>
      <w:r w:rsidR="007977F8" w:rsidRPr="007A28AF">
        <w:rPr>
          <w:rFonts w:ascii="Times New Roman" w:hAnsi="Times New Roman" w:cs="Times New Roman"/>
          <w:sz w:val="24"/>
          <w:szCs w:val="24"/>
        </w:rPr>
        <w:t xml:space="preserve"> and </w:t>
      </w:r>
      <w:r w:rsidR="00457FC7" w:rsidRPr="007A28AF">
        <w:rPr>
          <w:rFonts w:ascii="Times New Roman" w:hAnsi="Times New Roman" w:cs="Times New Roman"/>
          <w:sz w:val="24"/>
          <w:szCs w:val="24"/>
        </w:rPr>
        <w:t xml:space="preserve">non-health impacts of </w:t>
      </w:r>
      <w:r w:rsidR="006B6D7C">
        <w:rPr>
          <w:rFonts w:ascii="Times New Roman" w:hAnsi="Times New Roman" w:cs="Times New Roman"/>
          <w:sz w:val="24"/>
          <w:szCs w:val="24"/>
        </w:rPr>
        <w:t xml:space="preserve">population health </w:t>
      </w:r>
      <w:r w:rsidR="00457FC7" w:rsidRPr="007A28AF">
        <w:rPr>
          <w:rFonts w:ascii="Times New Roman" w:hAnsi="Times New Roman" w:cs="Times New Roman"/>
          <w:sz w:val="24"/>
          <w:szCs w:val="24"/>
        </w:rPr>
        <w:t>interventions into account</w:t>
      </w:r>
      <w:r w:rsidR="001C43BB">
        <w:rPr>
          <w:rFonts w:ascii="Times New Roman" w:hAnsi="Times New Roman" w:cs="Times New Roman"/>
          <w:sz w:val="24"/>
          <w:szCs w:val="24"/>
        </w:rPr>
        <w:t xml:space="preserve"> in research and practice</w:t>
      </w:r>
      <w:r w:rsidR="00457FC7" w:rsidRPr="007A28AF">
        <w:rPr>
          <w:rFonts w:ascii="Times New Roman" w:hAnsi="Times New Roman" w:cs="Times New Roman"/>
          <w:sz w:val="24"/>
          <w:szCs w:val="24"/>
        </w:rPr>
        <w:t>.</w:t>
      </w:r>
      <w:r w:rsidR="007337E8" w:rsidRPr="007A28AF">
        <w:rPr>
          <w:rFonts w:ascii="Times New Roman" w:hAnsi="Times New Roman" w:cs="Times New Roman"/>
          <w:sz w:val="24"/>
          <w:szCs w:val="24"/>
        </w:rPr>
        <w:t xml:space="preserve"> </w:t>
      </w:r>
      <w:r w:rsidR="00455D4C" w:rsidRPr="007A28AF">
        <w:rPr>
          <w:rFonts w:ascii="Times New Roman" w:hAnsi="Times New Roman" w:cs="Times New Roman"/>
          <w:sz w:val="24"/>
          <w:szCs w:val="24"/>
        </w:rPr>
        <w:t>Even though the primary focus of the study is on research that seeks to imp</w:t>
      </w:r>
      <w:r w:rsidR="00C32C32" w:rsidRPr="007A28AF">
        <w:rPr>
          <w:rFonts w:ascii="Times New Roman" w:hAnsi="Times New Roman" w:cs="Times New Roman"/>
          <w:sz w:val="24"/>
          <w:szCs w:val="24"/>
        </w:rPr>
        <w:t>act</w:t>
      </w:r>
      <w:r w:rsidR="00455D4C" w:rsidRPr="007A28AF">
        <w:rPr>
          <w:rFonts w:ascii="Times New Roman" w:hAnsi="Times New Roman" w:cs="Times New Roman"/>
          <w:sz w:val="24"/>
          <w:szCs w:val="24"/>
        </w:rPr>
        <w:t xml:space="preserve"> population health and health inequalities, it is also relevant across the whole range of public health and health services research.</w:t>
      </w:r>
    </w:p>
    <w:p w14:paraId="7AB60C9D" w14:textId="0432ED86" w:rsidR="00112532" w:rsidRPr="00F50451" w:rsidRDefault="003F17DB" w:rsidP="00F632B7">
      <w:pPr>
        <w:spacing w:line="480" w:lineRule="auto"/>
        <w:jc w:val="both"/>
        <w:rPr>
          <w:rFonts w:ascii="Times New Roman" w:hAnsi="Times New Roman" w:cs="Times New Roman"/>
          <w:i/>
          <w:iCs/>
          <w:sz w:val="24"/>
          <w:szCs w:val="24"/>
        </w:rPr>
      </w:pPr>
      <w:r w:rsidRPr="00F50451">
        <w:rPr>
          <w:rFonts w:ascii="Times New Roman" w:hAnsi="Times New Roman" w:cs="Times New Roman"/>
          <w:i/>
          <w:iCs/>
          <w:sz w:val="24"/>
          <w:szCs w:val="24"/>
        </w:rPr>
        <w:t>How</w:t>
      </w:r>
      <w:r w:rsidR="00112532" w:rsidRPr="00F50451">
        <w:rPr>
          <w:rFonts w:ascii="Times New Roman" w:hAnsi="Times New Roman" w:cs="Times New Roman"/>
          <w:i/>
          <w:iCs/>
          <w:sz w:val="24"/>
          <w:szCs w:val="24"/>
        </w:rPr>
        <w:t xml:space="preserve"> is </w:t>
      </w:r>
      <w:r w:rsidR="008D1B85" w:rsidRPr="00F50451">
        <w:rPr>
          <w:rFonts w:ascii="Times New Roman" w:hAnsi="Times New Roman" w:cs="Times New Roman"/>
          <w:i/>
          <w:iCs/>
          <w:sz w:val="24"/>
          <w:szCs w:val="24"/>
        </w:rPr>
        <w:t>i</w:t>
      </w:r>
      <w:r w:rsidR="00112532" w:rsidRPr="00F50451">
        <w:rPr>
          <w:rFonts w:ascii="Times New Roman" w:hAnsi="Times New Roman" w:cs="Times New Roman"/>
          <w:i/>
          <w:iCs/>
          <w:sz w:val="24"/>
          <w:szCs w:val="24"/>
        </w:rPr>
        <w:t>ntervention research different in general?</w:t>
      </w:r>
    </w:p>
    <w:p w14:paraId="03D1F944" w14:textId="3F582D13" w:rsidR="00A64EED" w:rsidRDefault="003F17DB"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If we characterize descriptive or analytic research in population health as seeking to understand</w:t>
      </w:r>
      <w:r w:rsidR="006806F3">
        <w:rPr>
          <w:rFonts w:ascii="Times New Roman" w:hAnsi="Times New Roman" w:cs="Times New Roman"/>
          <w:sz w:val="24"/>
          <w:szCs w:val="24"/>
        </w:rPr>
        <w:t xml:space="preserve"> </w:t>
      </w:r>
      <w:r w:rsidRPr="007A28AF">
        <w:rPr>
          <w:rFonts w:ascii="Times New Roman" w:hAnsi="Times New Roman" w:cs="Times New Roman"/>
          <w:sz w:val="24"/>
          <w:szCs w:val="24"/>
        </w:rPr>
        <w:t xml:space="preserve">phenomena, then </w:t>
      </w:r>
      <w:r w:rsidR="005743BA" w:rsidRPr="007A28AF">
        <w:rPr>
          <w:rFonts w:ascii="Times New Roman" w:hAnsi="Times New Roman" w:cs="Times New Roman"/>
          <w:sz w:val="24"/>
          <w:szCs w:val="24"/>
        </w:rPr>
        <w:t>intervention research</w:t>
      </w:r>
      <w:r w:rsidRPr="007A28AF">
        <w:rPr>
          <w:rFonts w:ascii="Times New Roman" w:hAnsi="Times New Roman" w:cs="Times New Roman"/>
          <w:sz w:val="24"/>
          <w:szCs w:val="24"/>
        </w:rPr>
        <w:t xml:space="preserve"> is about testing those understandings by the act of intervention in the causal mechanisms under investigation.</w:t>
      </w:r>
      <w:r w:rsidR="008D1B85" w:rsidRPr="007A28AF">
        <w:rPr>
          <w:rFonts w:ascii="Times New Roman" w:hAnsi="Times New Roman" w:cs="Times New Roman"/>
          <w:sz w:val="24"/>
          <w:szCs w:val="24"/>
        </w:rPr>
        <w:t xml:space="preserve"> According to the Canadian Institutes of Health Research</w:t>
      </w:r>
      <w:r w:rsidR="008C7611">
        <w:rPr>
          <w:rFonts w:ascii="Times New Roman" w:hAnsi="Times New Roman" w:cs="Times New Roman"/>
          <w:sz w:val="24"/>
          <w:szCs w:val="24"/>
        </w:rPr>
        <w:t xml:space="preserve"> </w:t>
      </w:r>
      <w:r w:rsidR="00476198">
        <w:rPr>
          <w:rFonts w:ascii="Times New Roman" w:hAnsi="Times New Roman" w:cs="Times New Roman"/>
          <w:sz w:val="24"/>
          <w:szCs w:val="24"/>
        </w:rPr>
        <w:t>(CIHR)-</w:t>
      </w:r>
      <w:r w:rsidR="008D1B85" w:rsidRPr="007A28AF">
        <w:rPr>
          <w:rFonts w:ascii="Times New Roman" w:hAnsi="Times New Roman" w:cs="Times New Roman"/>
          <w:sz w:val="24"/>
          <w:szCs w:val="24"/>
        </w:rPr>
        <w:t>Institute of Population and Public Health, PHIR, which</w:t>
      </w:r>
      <w:r w:rsidR="00E70C08" w:rsidRPr="007A28AF">
        <w:rPr>
          <w:rFonts w:ascii="Times New Roman" w:hAnsi="Times New Roman" w:cs="Times New Roman"/>
          <w:sz w:val="24"/>
          <w:szCs w:val="24"/>
        </w:rPr>
        <w:t xml:space="preserve"> is</w:t>
      </w:r>
      <w:r w:rsidR="008D1B85" w:rsidRPr="007A28AF">
        <w:rPr>
          <w:rFonts w:ascii="Times New Roman" w:hAnsi="Times New Roman" w:cs="Times New Roman"/>
          <w:sz w:val="24"/>
          <w:szCs w:val="24"/>
        </w:rPr>
        <w:t xml:space="preserve"> </w:t>
      </w:r>
      <w:r w:rsidR="00170CD9">
        <w:rPr>
          <w:rFonts w:ascii="Times New Roman" w:hAnsi="Times New Roman" w:cs="Times New Roman"/>
          <w:sz w:val="24"/>
          <w:szCs w:val="24"/>
        </w:rPr>
        <w:t>intervention research</w:t>
      </w:r>
      <w:r w:rsidR="008D1B85" w:rsidRPr="007A28AF">
        <w:rPr>
          <w:rFonts w:ascii="Times New Roman" w:hAnsi="Times New Roman" w:cs="Times New Roman"/>
          <w:sz w:val="24"/>
          <w:szCs w:val="24"/>
        </w:rPr>
        <w:t xml:space="preserve"> at the population</w:t>
      </w:r>
      <w:r w:rsidR="006B2A4E">
        <w:rPr>
          <w:rFonts w:ascii="Times New Roman" w:hAnsi="Times New Roman" w:cs="Times New Roman"/>
          <w:sz w:val="24"/>
          <w:szCs w:val="24"/>
        </w:rPr>
        <w:t xml:space="preserve"> </w:t>
      </w:r>
      <w:r w:rsidR="008D1B85" w:rsidRPr="007A28AF">
        <w:rPr>
          <w:rFonts w:ascii="Times New Roman" w:hAnsi="Times New Roman" w:cs="Times New Roman"/>
          <w:sz w:val="24"/>
          <w:szCs w:val="24"/>
        </w:rPr>
        <w:t>level, does not simply mean improving health or reducing health risks but, rather, involves interventions intended to change the conditions of risk in order to alter the distribution of health risk. A population health intervention is truly effective if it reduces risk exposure in successive cohorts of people within the setting(s) under investigation.</w:t>
      </w:r>
      <w:r w:rsidR="003046D6" w:rsidRPr="007A28AF">
        <w:rPr>
          <w:rFonts w:ascii="Times New Roman" w:hAnsi="Times New Roman" w:cs="Times New Roman"/>
          <w:sz w:val="24"/>
          <w:szCs w:val="24"/>
        </w:rPr>
        <w:t xml:space="preserve"> This makes </w:t>
      </w:r>
      <w:r w:rsidR="005743BA" w:rsidRPr="007A28AF">
        <w:rPr>
          <w:rFonts w:ascii="Times New Roman" w:hAnsi="Times New Roman" w:cs="Times New Roman"/>
          <w:sz w:val="24"/>
          <w:szCs w:val="24"/>
        </w:rPr>
        <w:t>intervention research</w:t>
      </w:r>
      <w:r w:rsidR="003046D6" w:rsidRPr="007A28AF">
        <w:rPr>
          <w:rFonts w:ascii="Times New Roman" w:hAnsi="Times New Roman" w:cs="Times New Roman"/>
          <w:sz w:val="24"/>
          <w:szCs w:val="24"/>
        </w:rPr>
        <w:t xml:space="preserve"> different from implementation research</w:t>
      </w:r>
      <w:r w:rsidR="0098710B">
        <w:rPr>
          <w:rFonts w:ascii="Times New Roman" w:hAnsi="Times New Roman" w:cs="Times New Roman"/>
          <w:sz w:val="24"/>
          <w:szCs w:val="24"/>
        </w:rPr>
        <w:t>,</w:t>
      </w:r>
      <w:r w:rsidR="003046D6" w:rsidRPr="007A28AF">
        <w:rPr>
          <w:rFonts w:ascii="Times New Roman" w:hAnsi="Times New Roman" w:cs="Times New Roman"/>
          <w:sz w:val="24"/>
          <w:szCs w:val="24"/>
        </w:rPr>
        <w:t xml:space="preserve"> </w:t>
      </w:r>
      <w:r w:rsidR="00B2111A" w:rsidRPr="007A28AF">
        <w:rPr>
          <w:rFonts w:ascii="Times New Roman" w:hAnsi="Times New Roman" w:cs="Times New Roman"/>
          <w:sz w:val="24"/>
          <w:szCs w:val="24"/>
        </w:rPr>
        <w:t xml:space="preserve">which uses scientific methods to study the implementation of health policies, </w:t>
      </w:r>
      <w:r w:rsidR="00AB5C02" w:rsidRPr="007A28AF">
        <w:rPr>
          <w:rFonts w:ascii="Times New Roman" w:hAnsi="Times New Roman" w:cs="Times New Roman"/>
          <w:sz w:val="24"/>
          <w:szCs w:val="24"/>
        </w:rPr>
        <w:t>programs,</w:t>
      </w:r>
      <w:r w:rsidR="00B2111A" w:rsidRPr="007A28AF">
        <w:rPr>
          <w:rFonts w:ascii="Times New Roman" w:hAnsi="Times New Roman" w:cs="Times New Roman"/>
          <w:sz w:val="24"/>
          <w:szCs w:val="24"/>
        </w:rPr>
        <w:t xml:space="preserve"> or interventions, and evaluate the effect of such policies, programs</w:t>
      </w:r>
      <w:r w:rsidR="00B961F6">
        <w:rPr>
          <w:rFonts w:ascii="Times New Roman" w:hAnsi="Times New Roman" w:cs="Times New Roman"/>
          <w:sz w:val="24"/>
          <w:szCs w:val="24"/>
        </w:rPr>
        <w:t>,</w:t>
      </w:r>
      <w:r w:rsidR="00B2111A" w:rsidRPr="007A28AF">
        <w:rPr>
          <w:rFonts w:ascii="Times New Roman" w:hAnsi="Times New Roman" w:cs="Times New Roman"/>
          <w:sz w:val="24"/>
          <w:szCs w:val="24"/>
        </w:rPr>
        <w:t xml:space="preserve"> or interventions in the community after implementation, finding scientific evidence on the real impact of implementation, based on short, medium or long-term indicators</w:t>
      </w:r>
      <w:r w:rsidR="00033E0B" w:rsidRPr="007A28AF">
        <w:rPr>
          <w:rFonts w:ascii="Times New Roman" w:hAnsi="Times New Roman" w:cs="Times New Roman"/>
          <w:sz w:val="24"/>
          <w:szCs w:val="24"/>
        </w:rPr>
        <w:t xml:space="preserve"> </w:t>
      </w:r>
      <w:r w:rsidR="00033E0B" w:rsidRPr="007A28AF">
        <w:rPr>
          <w:rFonts w:ascii="Times New Roman" w:hAnsi="Times New Roman" w:cs="Times New Roman"/>
          <w:sz w:val="24"/>
          <w:szCs w:val="24"/>
        </w:rPr>
        <w:fldChar w:fldCharType="begin" w:fldLock="1"/>
      </w:r>
      <w:r w:rsidR="00504413">
        <w:rPr>
          <w:rFonts w:ascii="Times New Roman" w:hAnsi="Times New Roman" w:cs="Times New Roman"/>
          <w:sz w:val="24"/>
          <w:szCs w:val="24"/>
        </w:rPr>
        <w:instrText>ADDIN CSL_CITATION {"citationItems":[{"id":"ITEM-1","itemData":{"DOI":"10.1186/s12939-019-0984-4","ISSN":"14759276","PMID":"31151452","abstract":"Background: Implementation research is increasingly used to identify common implementation problems and key barriers and facilitators influencing efficient access to health interventions. Objective: To develop and propose an equity-based framework for Implementation Research (EquIR) of health programs, policies and systems. Methods: A systematic search of models and conceptual frameworks involving equity in the implementation of health programs, policies and systems was conducted in Medline (PubMed), Embase, LILACS, Scopus and grey literature. Key characteristics of models and conceptual frameworks were summarized. We identified key aspects of equity in the context of seven Latin American countries-focused health programs We gathered information related to the awareness of inequalities in health policy, systems and programs, the potential negative impact of increasing inequalities in disadvantaged populations, and the strategies used to reduce them. Results: A conceptual framework of EquIR was developed. It includes elements of equity-focused implementation research, but it also links the population health status before and after the implementation, including relevant aspects of health equity before, during and after the implementation. Additionally, health sectors were included, linked with social determinants of health through the \"health in all policies\" proposal affecting universal health and the potential impact of the public health and public policies. Conclusion: EquIR is a conceptual framework that is proposed for use by decision makers and researchers during the implementation of programs, policies or health interventions, with a focus on equity, which aims to reduce or prevent the increase of existing inequalities during implementation.","author":[{"dropping-particle":"","family":"Eslava-Schmalbach","given":"J.","non-dropping-particle":"","parse-names":false,"suffix":""},{"dropping-particle":"","family":"Garzón-Orjuela","given":"N.","non-dropping-particle":"","parse-names":false,"suffix":""},{"dropping-particle":"","family":"Elias","given":"V.","non-dropping-particle":"","parse-names":false,"suffix":""},{"dropping-particle":"","family":"Reveiz","given":"L.","non-dropping-particle":"","parse-names":false,"suffix":""},{"dropping-particle":"","family":"Tran","given":"N.","non-dropping-particle":"","parse-names":false,"suffix":""},{"dropping-particle":"V.","family":"Langlois","given":"E.","non-dropping-particle":"","parse-names":false,"suffix":""}],"container-title":"International Journal for Equity in Health","id":"ITEM-1","issue":"1","issued":{"date-parts":[["2019"]]},"page":"1-11","publisher":"International Journal for Equity in Health","title":"Conceptual framework of equity-focused implementation research for health programs (EquIR)","type":"article-journal","volume":"18"},"uris":["http://www.mendeley.com/documents/?uuid=eafa9848-8489-483c-b037-215d207082cd"]}],"mendeley":{"formattedCitation":"(Eslava-Schmalbach et al., 2019)","plainTextFormattedCitation":"(Eslava-Schmalbach et al., 2019)","previouslyFormattedCitation":"(Eslava-Schmalbach et al., 2019)"},"properties":{"noteIndex":0},"schema":"https://github.com/citation-style-language/schema/raw/master/csl-citation.json"}</w:instrText>
      </w:r>
      <w:r w:rsidR="00033E0B" w:rsidRPr="007A28AF">
        <w:rPr>
          <w:rFonts w:ascii="Times New Roman" w:hAnsi="Times New Roman" w:cs="Times New Roman"/>
          <w:sz w:val="24"/>
          <w:szCs w:val="24"/>
        </w:rPr>
        <w:fldChar w:fldCharType="separate"/>
      </w:r>
      <w:r w:rsidR="00033E0B" w:rsidRPr="007A28AF">
        <w:rPr>
          <w:rFonts w:ascii="Times New Roman" w:hAnsi="Times New Roman" w:cs="Times New Roman"/>
          <w:noProof/>
          <w:sz w:val="24"/>
          <w:szCs w:val="24"/>
        </w:rPr>
        <w:t>(Eslava-Schmalbach et al., 2019)</w:t>
      </w:r>
      <w:r w:rsidR="00033E0B" w:rsidRPr="007A28AF">
        <w:rPr>
          <w:rFonts w:ascii="Times New Roman" w:hAnsi="Times New Roman" w:cs="Times New Roman"/>
          <w:sz w:val="24"/>
          <w:szCs w:val="24"/>
        </w:rPr>
        <w:fldChar w:fldCharType="end"/>
      </w:r>
      <w:r w:rsidR="00033E0B" w:rsidRPr="007A28AF">
        <w:rPr>
          <w:rFonts w:ascii="Times New Roman" w:hAnsi="Times New Roman" w:cs="Times New Roman"/>
          <w:sz w:val="24"/>
          <w:szCs w:val="24"/>
        </w:rPr>
        <w:t xml:space="preserve">. </w:t>
      </w:r>
      <w:r w:rsidR="002B7581" w:rsidRPr="007A28AF">
        <w:rPr>
          <w:rFonts w:ascii="Times New Roman" w:hAnsi="Times New Roman" w:cs="Times New Roman"/>
          <w:sz w:val="24"/>
          <w:szCs w:val="24"/>
        </w:rPr>
        <w:t>The phrase “intervention research” in the health field is more associated with the notion that its primary purpose is to test a hypothesis or causal pathway</w:t>
      </w:r>
      <w:r w:rsidR="00480E28">
        <w:rPr>
          <w:rFonts w:ascii="Times New Roman" w:hAnsi="Times New Roman" w:cs="Times New Roman"/>
          <w:sz w:val="24"/>
          <w:szCs w:val="24"/>
        </w:rPr>
        <w:t>. In contrast,</w:t>
      </w:r>
      <w:r w:rsidR="004C5D48">
        <w:rPr>
          <w:rFonts w:ascii="Times New Roman" w:hAnsi="Times New Roman" w:cs="Times New Roman"/>
          <w:sz w:val="24"/>
          <w:szCs w:val="24"/>
        </w:rPr>
        <w:t xml:space="preserve"> </w:t>
      </w:r>
      <w:r w:rsidR="004C5D48" w:rsidRPr="004C5D48">
        <w:rPr>
          <w:rFonts w:ascii="Times New Roman" w:hAnsi="Times New Roman" w:cs="Times New Roman"/>
          <w:sz w:val="24"/>
          <w:szCs w:val="24"/>
        </w:rPr>
        <w:t>some health researchers have reserved the term “implementation research” for a phase of work that follows the demonstration of a program</w:t>
      </w:r>
      <w:r w:rsidR="004C5D48">
        <w:rPr>
          <w:rFonts w:ascii="Times New Roman" w:hAnsi="Times New Roman" w:cs="Times New Roman"/>
          <w:sz w:val="24"/>
          <w:szCs w:val="24"/>
        </w:rPr>
        <w:t>’</w:t>
      </w:r>
      <w:r w:rsidR="004C5D48" w:rsidRPr="004C5D48">
        <w:rPr>
          <w:rFonts w:ascii="Times New Roman" w:hAnsi="Times New Roman" w:cs="Times New Roman"/>
          <w:sz w:val="24"/>
          <w:szCs w:val="24"/>
        </w:rPr>
        <w:t>s</w:t>
      </w:r>
      <w:r w:rsidR="00B56BF8">
        <w:rPr>
          <w:rFonts w:ascii="Times New Roman" w:hAnsi="Times New Roman" w:cs="Times New Roman"/>
          <w:sz w:val="24"/>
          <w:szCs w:val="24"/>
        </w:rPr>
        <w:t xml:space="preserve"> or </w:t>
      </w:r>
      <w:r w:rsidR="00AE24CD">
        <w:rPr>
          <w:rFonts w:ascii="Times New Roman" w:hAnsi="Times New Roman" w:cs="Times New Roman"/>
          <w:sz w:val="24"/>
          <w:szCs w:val="24"/>
        </w:rPr>
        <w:t xml:space="preserve">a </w:t>
      </w:r>
      <w:r w:rsidR="004C5D48" w:rsidRPr="004C5D48">
        <w:rPr>
          <w:rFonts w:ascii="Times New Roman" w:hAnsi="Times New Roman" w:cs="Times New Roman"/>
          <w:sz w:val="24"/>
          <w:szCs w:val="24"/>
        </w:rPr>
        <w:t>policy’s effects</w:t>
      </w:r>
      <w:r w:rsidR="004C5D48">
        <w:rPr>
          <w:rFonts w:ascii="Times New Roman" w:hAnsi="Times New Roman" w:cs="Times New Roman"/>
          <w:sz w:val="24"/>
          <w:szCs w:val="24"/>
        </w:rPr>
        <w:t xml:space="preserve"> or</w:t>
      </w:r>
      <w:r w:rsidR="004C5D48" w:rsidRPr="004C5D48">
        <w:rPr>
          <w:rFonts w:ascii="Times New Roman" w:hAnsi="Times New Roman" w:cs="Times New Roman"/>
          <w:sz w:val="24"/>
          <w:szCs w:val="24"/>
        </w:rPr>
        <w:t xml:space="preserve"> designed to elucidate </w:t>
      </w:r>
      <w:r w:rsidR="004C5D48" w:rsidRPr="004C5D48">
        <w:rPr>
          <w:rFonts w:ascii="Times New Roman" w:hAnsi="Times New Roman" w:cs="Times New Roman"/>
          <w:sz w:val="24"/>
          <w:szCs w:val="24"/>
        </w:rPr>
        <w:lastRenderedPageBreak/>
        <w:t>more understanding about the process of a program that has already shown its effectiveness in a demonstration trial</w:t>
      </w:r>
      <w:r w:rsidR="00F077CB">
        <w:rPr>
          <w:rFonts w:ascii="Times New Roman" w:hAnsi="Times New Roman" w:cs="Times New Roman"/>
          <w:sz w:val="24"/>
          <w:szCs w:val="24"/>
        </w:rPr>
        <w:t>. I</w:t>
      </w:r>
      <w:r w:rsidR="004C5D48">
        <w:rPr>
          <w:rFonts w:ascii="Times New Roman" w:hAnsi="Times New Roman" w:cs="Times New Roman"/>
          <w:sz w:val="24"/>
          <w:szCs w:val="24"/>
        </w:rPr>
        <w:t>t</w:t>
      </w:r>
      <w:r w:rsidR="004C5D48" w:rsidRPr="004C5D48">
        <w:rPr>
          <w:rFonts w:ascii="Times New Roman" w:hAnsi="Times New Roman" w:cs="Times New Roman"/>
          <w:sz w:val="24"/>
          <w:szCs w:val="24"/>
        </w:rPr>
        <w:t xml:space="preserve"> is often seen in clinical settings</w:t>
      </w:r>
      <w:r w:rsidR="004C5D48">
        <w:rPr>
          <w:rFonts w:ascii="Times New Roman" w:hAnsi="Times New Roman" w:cs="Times New Roman"/>
          <w:sz w:val="24"/>
          <w:szCs w:val="24"/>
        </w:rPr>
        <w:t xml:space="preserve"> </w:t>
      </w:r>
      <w:r w:rsidR="00432F22" w:rsidRPr="007A28AF">
        <w:rPr>
          <w:rFonts w:ascii="Times New Roman" w:hAnsi="Times New Roman" w:cs="Times New Roman"/>
          <w:sz w:val="24"/>
          <w:szCs w:val="24"/>
        </w:rPr>
        <w:t xml:space="preserve">(Hawe and Potvin, 2009). </w:t>
      </w:r>
      <w:r w:rsidR="002B7581" w:rsidRPr="007A28AF">
        <w:rPr>
          <w:rFonts w:ascii="Times New Roman" w:hAnsi="Times New Roman" w:cs="Times New Roman"/>
          <w:sz w:val="24"/>
          <w:szCs w:val="24"/>
        </w:rPr>
        <w:t xml:space="preserve"> </w:t>
      </w:r>
      <w:r w:rsidR="0088361E" w:rsidRPr="007A28AF">
        <w:rPr>
          <w:rFonts w:ascii="Times New Roman" w:hAnsi="Times New Roman" w:cs="Times New Roman"/>
          <w:sz w:val="24"/>
          <w:szCs w:val="24"/>
        </w:rPr>
        <w:t>F</w:t>
      </w:r>
      <w:r w:rsidR="00B16158" w:rsidRPr="007A28AF">
        <w:rPr>
          <w:rFonts w:ascii="Times New Roman" w:hAnsi="Times New Roman" w:cs="Times New Roman"/>
          <w:sz w:val="24"/>
          <w:szCs w:val="24"/>
        </w:rPr>
        <w:t xml:space="preserve">rameworks </w:t>
      </w:r>
      <w:r w:rsidR="0088361E" w:rsidRPr="007A28AF">
        <w:rPr>
          <w:rFonts w:ascii="Times New Roman" w:hAnsi="Times New Roman" w:cs="Times New Roman"/>
          <w:sz w:val="24"/>
          <w:szCs w:val="24"/>
        </w:rPr>
        <w:t xml:space="preserve">such as </w:t>
      </w:r>
      <w:r w:rsidR="00B16158" w:rsidRPr="007A28AF">
        <w:rPr>
          <w:rFonts w:ascii="Times New Roman" w:hAnsi="Times New Roman" w:cs="Times New Roman"/>
          <w:sz w:val="24"/>
          <w:szCs w:val="24"/>
        </w:rPr>
        <w:t>the Consolidated Framework for Implementation Research (CFIR), Promoting Action on Research Implementation in Health Services (PARISH)</w:t>
      </w:r>
      <w:r w:rsidR="006F41FF" w:rsidRPr="007A28AF">
        <w:rPr>
          <w:rFonts w:ascii="Times New Roman" w:hAnsi="Times New Roman" w:cs="Times New Roman"/>
          <w:sz w:val="24"/>
          <w:szCs w:val="24"/>
        </w:rPr>
        <w:t>, Equity-focused implementation research framework for health programs (</w:t>
      </w:r>
      <w:proofErr w:type="spellStart"/>
      <w:r w:rsidR="006F41FF" w:rsidRPr="007A28AF">
        <w:rPr>
          <w:rFonts w:ascii="Times New Roman" w:hAnsi="Times New Roman" w:cs="Times New Roman"/>
          <w:sz w:val="24"/>
          <w:szCs w:val="24"/>
        </w:rPr>
        <w:t>EquIR</w:t>
      </w:r>
      <w:proofErr w:type="spellEnd"/>
      <w:r w:rsidR="006F41FF" w:rsidRPr="007A28AF">
        <w:rPr>
          <w:rFonts w:ascii="Times New Roman" w:hAnsi="Times New Roman" w:cs="Times New Roman"/>
          <w:sz w:val="24"/>
          <w:szCs w:val="24"/>
        </w:rPr>
        <w:t>)</w:t>
      </w:r>
      <w:r w:rsidR="00B16158" w:rsidRPr="007A28AF">
        <w:rPr>
          <w:rFonts w:ascii="Times New Roman" w:hAnsi="Times New Roman" w:cs="Times New Roman"/>
          <w:sz w:val="24"/>
          <w:szCs w:val="24"/>
        </w:rPr>
        <w:t xml:space="preserve"> and the Quality Implementation Framework</w:t>
      </w:r>
      <w:r w:rsidR="0088361E" w:rsidRPr="007A28AF">
        <w:rPr>
          <w:rFonts w:ascii="Times New Roman" w:hAnsi="Times New Roman" w:cs="Times New Roman"/>
          <w:sz w:val="24"/>
          <w:szCs w:val="24"/>
        </w:rPr>
        <w:t xml:space="preserve"> have focused on implementation research</w:t>
      </w:r>
      <w:r w:rsidR="00B16158" w:rsidRPr="007A28AF">
        <w:rPr>
          <w:rFonts w:ascii="Times New Roman" w:hAnsi="Times New Roman" w:cs="Times New Roman"/>
          <w:sz w:val="24"/>
          <w:szCs w:val="24"/>
        </w:rPr>
        <w:t xml:space="preserve"> </w:t>
      </w:r>
      <w:r w:rsidR="00B16158" w:rsidRPr="007A28AF">
        <w:rPr>
          <w:rFonts w:ascii="Times New Roman" w:hAnsi="Times New Roman" w:cs="Times New Roman"/>
          <w:sz w:val="24"/>
          <w:szCs w:val="24"/>
        </w:rPr>
        <w:fldChar w:fldCharType="begin" w:fldLock="1"/>
      </w:r>
      <w:r w:rsidR="00DF169C">
        <w:rPr>
          <w:rFonts w:ascii="Times New Roman" w:hAnsi="Times New Roman" w:cs="Times New Roman"/>
          <w:sz w:val="24"/>
          <w:szCs w:val="24"/>
        </w:rPr>
        <w:instrText>ADDIN CSL_CITATION {"citationItems":[{"id":"ITEM-1","itemData":{"DOI":"10.1186/s12939-019-0984-4","ISSN":"14759276","PMID":"31151452","abstract":"Background: Implementation research is increasingly used to identify common implementation problems and key barriers and facilitators influencing efficient access to health interventions. Objective: To develop and propose an equity-based framework for Implementation Research (EquIR) of health programs, policies and systems. Methods: A systematic search of models and conceptual frameworks involving equity in the implementation of health programs, policies and systems was conducted in Medline (PubMed), Embase, LILACS, Scopus and grey literature. Key characteristics of models and conceptual frameworks were summarized. We identified key aspects of equity in the context of seven Latin American countries-focused health programs We gathered information related to the awareness of inequalities in health policy, systems and programs, the potential negative impact of increasing inequalities in disadvantaged populations, and the strategies used to reduce them. Results: A conceptual framework of EquIR was developed. It includes elements of equity-focused implementation research, but it also links the population health status before and after the implementation, including relevant aspects of health equity before, during and after the implementation. Additionally, health sectors were included, linked with social determinants of health through the \"health in all policies\" proposal affecting universal health and the potential impact of the public health and public policies. Conclusion: EquIR is a conceptual framework that is proposed for use by decision makers and researchers during the implementation of programs, policies or health interventions, with a focus on equity, which aims to reduce or prevent the increase of existing inequalities during implementation.","author":[{"dropping-particle":"","family":"Eslava-Schmalbach","given":"J.","non-dropping-particle":"","parse-names":false,"suffix":""},{"dropping-particle":"","family":"Garzón-Orjuela","given":"N.","non-dropping-particle":"","parse-names":false,"suffix":""},{"dropping-particle":"","family":"Elias","given":"V.","non-dropping-particle":"","parse-names":false,"suffix":""},{"dropping-particle":"","family":"Reveiz","given":"L.","non-dropping-particle":"","parse-names":false,"suffix":""},{"dropping-particle":"","family":"Tran","given":"N.","non-dropping-particle":"","parse-names":false,"suffix":""},{"dropping-particle":"V.","family":"Langlois","given":"E.","non-dropping-particle":"","parse-names":false,"suffix":""}],"container-title":"International Journal for Equity in Health","id":"ITEM-1","issue":"1","issued":{"date-parts":[["2019"]]},"page":"1-11","publisher":"International Journal for Equity in Health","title":"Conceptual framework of equity-focused implementation research for health programs (EquIR)","type":"article-journal","volume":"18"},"uris":["http://www.mendeley.com/documents/?uuid=eafa9848-8489-483c-b037-215d207082cd"]}],"mendeley":{"formattedCitation":"(Eslava-Schmalbach et al., 2019)","manualFormatting":"(Damschroder, 2009; Eslava-Schmalbach et al., 2019)","plainTextFormattedCitation":"(Eslava-Schmalbach et al., 2019)","previouslyFormattedCitation":"(Eslava-Schmalbach et al., 2019)"},"properties":{"noteIndex":0},"schema":"https://github.com/citation-style-language/schema/raw/master/csl-citation.json"}</w:instrText>
      </w:r>
      <w:r w:rsidR="00B16158" w:rsidRPr="007A28AF">
        <w:rPr>
          <w:rFonts w:ascii="Times New Roman" w:hAnsi="Times New Roman" w:cs="Times New Roman"/>
          <w:sz w:val="24"/>
          <w:szCs w:val="24"/>
        </w:rPr>
        <w:fldChar w:fldCharType="separate"/>
      </w:r>
      <w:r w:rsidR="00B16158" w:rsidRPr="007A28AF">
        <w:rPr>
          <w:rFonts w:ascii="Times New Roman" w:hAnsi="Times New Roman" w:cs="Times New Roman"/>
          <w:noProof/>
          <w:sz w:val="24"/>
          <w:szCs w:val="24"/>
        </w:rPr>
        <w:t>(</w:t>
      </w:r>
      <w:r w:rsidR="004204D8" w:rsidRPr="007A28AF">
        <w:rPr>
          <w:rFonts w:ascii="Times New Roman" w:hAnsi="Times New Roman" w:cs="Times New Roman"/>
          <w:noProof/>
          <w:sz w:val="24"/>
          <w:szCs w:val="24"/>
        </w:rPr>
        <w:t xml:space="preserve">Damschroder, 2009; </w:t>
      </w:r>
      <w:r w:rsidR="00B16158" w:rsidRPr="007A28AF">
        <w:rPr>
          <w:rFonts w:ascii="Times New Roman" w:hAnsi="Times New Roman" w:cs="Times New Roman"/>
          <w:noProof/>
          <w:sz w:val="24"/>
          <w:szCs w:val="24"/>
        </w:rPr>
        <w:t>Eslava-Schmalbach et al., 2019)</w:t>
      </w:r>
      <w:r w:rsidR="00B16158" w:rsidRPr="007A28AF">
        <w:rPr>
          <w:rFonts w:ascii="Times New Roman" w:hAnsi="Times New Roman" w:cs="Times New Roman"/>
          <w:sz w:val="24"/>
          <w:szCs w:val="24"/>
        </w:rPr>
        <w:fldChar w:fldCharType="end"/>
      </w:r>
      <w:r w:rsidR="00C87C00" w:rsidRPr="007A28AF">
        <w:rPr>
          <w:rFonts w:ascii="Times New Roman" w:hAnsi="Times New Roman" w:cs="Times New Roman"/>
          <w:sz w:val="24"/>
          <w:szCs w:val="24"/>
        </w:rPr>
        <w:t xml:space="preserve"> and do not include explicit equity considerations in the context of intervention research.</w:t>
      </w:r>
    </w:p>
    <w:p w14:paraId="480190E1" w14:textId="19EFF140" w:rsidR="004C07CA" w:rsidRDefault="004C07CA" w:rsidP="00F632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Moreover, </w:t>
      </w:r>
      <w:r w:rsidR="00396947" w:rsidRPr="007A28AF">
        <w:rPr>
          <w:rFonts w:ascii="Times New Roman" w:hAnsi="Times New Roman" w:cs="Times New Roman"/>
          <w:sz w:val="24"/>
          <w:szCs w:val="24"/>
        </w:rPr>
        <w:t>intervention research</w:t>
      </w:r>
      <w:r w:rsidR="00396947">
        <w:rPr>
          <w:rFonts w:ascii="Times New Roman" w:hAnsi="Times New Roman" w:cs="Times New Roman"/>
          <w:sz w:val="24"/>
          <w:szCs w:val="24"/>
        </w:rPr>
        <w:t xml:space="preserve"> </w:t>
      </w:r>
      <w:r>
        <w:rPr>
          <w:rFonts w:ascii="Times New Roman" w:hAnsi="Times New Roman" w:cs="Times New Roman"/>
          <w:sz w:val="24"/>
          <w:szCs w:val="24"/>
        </w:rPr>
        <w:t>is different from “e</w:t>
      </w:r>
      <w:r w:rsidRPr="004C07CA">
        <w:rPr>
          <w:rFonts w:ascii="Times New Roman" w:hAnsi="Times New Roman" w:cs="Times New Roman"/>
          <w:sz w:val="24"/>
          <w:szCs w:val="24"/>
        </w:rPr>
        <w:t xml:space="preserve">valuation </w:t>
      </w:r>
      <w:r>
        <w:rPr>
          <w:rFonts w:ascii="Times New Roman" w:hAnsi="Times New Roman" w:cs="Times New Roman"/>
          <w:sz w:val="24"/>
          <w:szCs w:val="24"/>
        </w:rPr>
        <w:t>research”</w:t>
      </w:r>
      <w:r w:rsidR="003E74D8">
        <w:rPr>
          <w:rFonts w:ascii="Times New Roman" w:hAnsi="Times New Roman" w:cs="Times New Roman"/>
          <w:sz w:val="24"/>
          <w:szCs w:val="24"/>
        </w:rPr>
        <w:t>. E</w:t>
      </w:r>
      <w:r w:rsidR="003E74D8" w:rsidRPr="004C07CA">
        <w:rPr>
          <w:rFonts w:ascii="Times New Roman" w:hAnsi="Times New Roman" w:cs="Times New Roman"/>
          <w:sz w:val="24"/>
          <w:szCs w:val="24"/>
        </w:rPr>
        <w:t xml:space="preserve">valuation </w:t>
      </w:r>
      <w:r w:rsidR="003E74D8">
        <w:rPr>
          <w:rFonts w:ascii="Times New Roman" w:hAnsi="Times New Roman" w:cs="Times New Roman"/>
          <w:sz w:val="24"/>
          <w:szCs w:val="24"/>
        </w:rPr>
        <w:t>research</w:t>
      </w:r>
      <w:r>
        <w:rPr>
          <w:rFonts w:ascii="Times New Roman" w:hAnsi="Times New Roman" w:cs="Times New Roman"/>
          <w:sz w:val="24"/>
          <w:szCs w:val="24"/>
        </w:rPr>
        <w:t xml:space="preserve"> </w:t>
      </w:r>
      <w:r w:rsidRPr="004C07CA">
        <w:rPr>
          <w:rFonts w:ascii="Times New Roman" w:hAnsi="Times New Roman" w:cs="Times New Roman"/>
          <w:sz w:val="24"/>
          <w:szCs w:val="24"/>
        </w:rPr>
        <w:t xml:space="preserve">involves </w:t>
      </w:r>
      <w:r>
        <w:rPr>
          <w:rFonts w:ascii="Times New Roman" w:hAnsi="Times New Roman" w:cs="Times New Roman"/>
          <w:sz w:val="24"/>
          <w:szCs w:val="24"/>
        </w:rPr>
        <w:t xml:space="preserve">using scientific methods to </w:t>
      </w:r>
      <w:r w:rsidRPr="004C07CA">
        <w:rPr>
          <w:rFonts w:ascii="Times New Roman" w:hAnsi="Times New Roman" w:cs="Times New Roman"/>
          <w:sz w:val="24"/>
          <w:szCs w:val="24"/>
        </w:rPr>
        <w:t>mak</w:t>
      </w:r>
      <w:r>
        <w:rPr>
          <w:rFonts w:ascii="Times New Roman" w:hAnsi="Times New Roman" w:cs="Times New Roman"/>
          <w:sz w:val="24"/>
          <w:szCs w:val="24"/>
        </w:rPr>
        <w:t>e</w:t>
      </w:r>
      <w:r w:rsidRPr="004C07CA">
        <w:rPr>
          <w:rFonts w:ascii="Times New Roman" w:hAnsi="Times New Roman" w:cs="Times New Roman"/>
          <w:sz w:val="24"/>
          <w:szCs w:val="24"/>
        </w:rPr>
        <w:t xml:space="preserve"> judgments about the worth or value of </w:t>
      </w:r>
      <w:r>
        <w:rPr>
          <w:rFonts w:ascii="Times New Roman" w:hAnsi="Times New Roman" w:cs="Times New Roman"/>
          <w:sz w:val="24"/>
          <w:szCs w:val="24"/>
        </w:rPr>
        <w:t>an intervention</w:t>
      </w:r>
      <w:r w:rsidRPr="004C07CA">
        <w:rPr>
          <w:rFonts w:ascii="Times New Roman" w:hAnsi="Times New Roman" w:cs="Times New Roman"/>
          <w:sz w:val="24"/>
          <w:szCs w:val="24"/>
        </w:rPr>
        <w:t>, according to values or standards that are pre-set and usually enshrined in the goals and/or objectives</w:t>
      </w:r>
      <w:r>
        <w:rPr>
          <w:rFonts w:ascii="Times New Roman" w:hAnsi="Times New Roman" w:cs="Times New Roman"/>
          <w:sz w:val="24"/>
          <w:szCs w:val="24"/>
        </w:rPr>
        <w:t xml:space="preserve"> </w:t>
      </w:r>
      <w:r w:rsidRPr="007A28AF">
        <w:rPr>
          <w:rFonts w:ascii="Times New Roman" w:hAnsi="Times New Roman" w:cs="Times New Roman"/>
          <w:sz w:val="24"/>
          <w:szCs w:val="24"/>
        </w:rPr>
        <w:t>(Hawe and Potvin, 2009)</w:t>
      </w:r>
      <w:r w:rsidRPr="004C07CA">
        <w:rPr>
          <w:rFonts w:ascii="Times New Roman" w:hAnsi="Times New Roman" w:cs="Times New Roman"/>
          <w:sz w:val="24"/>
          <w:szCs w:val="24"/>
        </w:rPr>
        <w:t>.</w:t>
      </w:r>
      <w:r w:rsidR="00EB485E">
        <w:rPr>
          <w:rFonts w:ascii="Times New Roman" w:hAnsi="Times New Roman" w:cs="Times New Roman"/>
          <w:sz w:val="24"/>
          <w:szCs w:val="24"/>
        </w:rPr>
        <w:t xml:space="preserve"> It is worth noting that</w:t>
      </w:r>
      <w:r w:rsidR="00EB485E" w:rsidRPr="00EB485E">
        <w:rPr>
          <w:rFonts w:ascii="Times New Roman" w:hAnsi="Times New Roman" w:cs="Times New Roman"/>
          <w:sz w:val="24"/>
          <w:szCs w:val="24"/>
        </w:rPr>
        <w:t xml:space="preserve"> </w:t>
      </w:r>
      <w:r w:rsidR="00EB485E">
        <w:rPr>
          <w:rFonts w:ascii="Times New Roman" w:hAnsi="Times New Roman" w:cs="Times New Roman"/>
          <w:sz w:val="24"/>
          <w:szCs w:val="24"/>
        </w:rPr>
        <w:t>a</w:t>
      </w:r>
      <w:r w:rsidR="00EB485E" w:rsidRPr="00EB485E">
        <w:rPr>
          <w:rFonts w:ascii="Times New Roman" w:hAnsi="Times New Roman" w:cs="Times New Roman"/>
          <w:sz w:val="24"/>
          <w:szCs w:val="24"/>
        </w:rPr>
        <w:t xml:space="preserve">ll evaluation research in population health is </w:t>
      </w:r>
      <w:r w:rsidR="00EB485E">
        <w:rPr>
          <w:rFonts w:ascii="Times New Roman" w:hAnsi="Times New Roman" w:cs="Times New Roman"/>
          <w:sz w:val="24"/>
          <w:szCs w:val="24"/>
        </w:rPr>
        <w:t>PHIR</w:t>
      </w:r>
      <w:r w:rsidR="00EB485E" w:rsidRPr="00EB485E">
        <w:rPr>
          <w:rFonts w:ascii="Times New Roman" w:hAnsi="Times New Roman" w:cs="Times New Roman"/>
          <w:sz w:val="24"/>
          <w:szCs w:val="24"/>
        </w:rPr>
        <w:t xml:space="preserve">, but not all </w:t>
      </w:r>
      <w:r w:rsidR="00EB485E">
        <w:rPr>
          <w:rFonts w:ascii="Times New Roman" w:hAnsi="Times New Roman" w:cs="Times New Roman"/>
          <w:sz w:val="24"/>
          <w:szCs w:val="24"/>
        </w:rPr>
        <w:t xml:space="preserve">PHIR </w:t>
      </w:r>
      <w:r w:rsidR="00EB485E" w:rsidRPr="00EB485E">
        <w:rPr>
          <w:rFonts w:ascii="Times New Roman" w:hAnsi="Times New Roman" w:cs="Times New Roman"/>
          <w:sz w:val="24"/>
          <w:szCs w:val="24"/>
        </w:rPr>
        <w:t xml:space="preserve">is evaluation research because some </w:t>
      </w:r>
      <w:r w:rsidR="00EB485E">
        <w:rPr>
          <w:rFonts w:ascii="Times New Roman" w:hAnsi="Times New Roman" w:cs="Times New Roman"/>
          <w:sz w:val="24"/>
          <w:szCs w:val="24"/>
        </w:rPr>
        <w:t>PHIR studies evaluate t</w:t>
      </w:r>
      <w:r w:rsidR="00EB485E" w:rsidRPr="00EB485E">
        <w:rPr>
          <w:rFonts w:ascii="Times New Roman" w:hAnsi="Times New Roman" w:cs="Times New Roman"/>
          <w:sz w:val="24"/>
          <w:szCs w:val="24"/>
        </w:rPr>
        <w:t>he health impact of policies and progr</w:t>
      </w:r>
      <w:r w:rsidR="00EB485E">
        <w:rPr>
          <w:rFonts w:ascii="Times New Roman" w:hAnsi="Times New Roman" w:cs="Times New Roman"/>
          <w:sz w:val="24"/>
          <w:szCs w:val="24"/>
        </w:rPr>
        <w:t>a</w:t>
      </w:r>
      <w:r w:rsidR="00EB485E" w:rsidRPr="00EB485E">
        <w:rPr>
          <w:rFonts w:ascii="Times New Roman" w:hAnsi="Times New Roman" w:cs="Times New Roman"/>
          <w:sz w:val="24"/>
          <w:szCs w:val="24"/>
        </w:rPr>
        <w:t>ms in sectors outside of health.</w:t>
      </w:r>
      <w:r w:rsidR="002B1A20">
        <w:rPr>
          <w:rFonts w:ascii="Times New Roman" w:hAnsi="Times New Roman" w:cs="Times New Roman"/>
          <w:sz w:val="24"/>
          <w:szCs w:val="24"/>
        </w:rPr>
        <w:t xml:space="preserve"> </w:t>
      </w:r>
      <w:r w:rsidR="00E05A0B">
        <w:rPr>
          <w:rFonts w:ascii="Times New Roman" w:hAnsi="Times New Roman" w:cs="Times New Roman"/>
          <w:sz w:val="24"/>
          <w:szCs w:val="24"/>
        </w:rPr>
        <w:t>However, b</w:t>
      </w:r>
      <w:r w:rsidR="0078052E">
        <w:rPr>
          <w:rFonts w:ascii="Times New Roman" w:hAnsi="Times New Roman" w:cs="Times New Roman"/>
          <w:sz w:val="24"/>
          <w:szCs w:val="24"/>
        </w:rPr>
        <w:t xml:space="preserve">oth terms are used interchangeably in this </w:t>
      </w:r>
      <w:r w:rsidR="00AB51DB">
        <w:rPr>
          <w:rFonts w:ascii="Times New Roman" w:hAnsi="Times New Roman" w:cs="Times New Roman"/>
          <w:sz w:val="24"/>
          <w:szCs w:val="24"/>
        </w:rPr>
        <w:t>article</w:t>
      </w:r>
      <w:r w:rsidR="0078052E">
        <w:rPr>
          <w:rFonts w:ascii="Times New Roman" w:hAnsi="Times New Roman" w:cs="Times New Roman"/>
          <w:sz w:val="24"/>
          <w:szCs w:val="24"/>
        </w:rPr>
        <w:t xml:space="preserve"> as the study focuses on </w:t>
      </w:r>
      <w:r w:rsidR="00971CB0">
        <w:rPr>
          <w:rFonts w:ascii="Times New Roman" w:hAnsi="Times New Roman" w:cs="Times New Roman"/>
          <w:sz w:val="24"/>
          <w:szCs w:val="24"/>
        </w:rPr>
        <w:t xml:space="preserve">interventions in </w:t>
      </w:r>
      <w:r w:rsidR="0078052E">
        <w:rPr>
          <w:rFonts w:ascii="Times New Roman" w:hAnsi="Times New Roman" w:cs="Times New Roman"/>
          <w:sz w:val="24"/>
          <w:szCs w:val="24"/>
        </w:rPr>
        <w:t>the health sector.</w:t>
      </w:r>
    </w:p>
    <w:p w14:paraId="6824B22A" w14:textId="5A63F8C2" w:rsidR="002F5560" w:rsidRDefault="002B1A20" w:rsidP="00F632B7">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2B1A20">
        <w:rPr>
          <w:rFonts w:ascii="Times New Roman" w:hAnsi="Times New Roman" w:cs="Times New Roman"/>
          <w:sz w:val="24"/>
          <w:szCs w:val="24"/>
        </w:rPr>
        <w:t>o guide future research and practice, there is a need to develop an equity-</w:t>
      </w:r>
      <w:r>
        <w:rPr>
          <w:rFonts w:ascii="Times New Roman" w:hAnsi="Times New Roman" w:cs="Times New Roman"/>
          <w:sz w:val="24"/>
          <w:szCs w:val="24"/>
        </w:rPr>
        <w:t>focused</w:t>
      </w:r>
      <w:r w:rsidRPr="002B1A20">
        <w:rPr>
          <w:rFonts w:ascii="Times New Roman" w:hAnsi="Times New Roman" w:cs="Times New Roman"/>
          <w:sz w:val="24"/>
          <w:szCs w:val="24"/>
        </w:rPr>
        <w:t xml:space="preserve"> framework for </w:t>
      </w:r>
      <w:r w:rsidR="0055287C">
        <w:rPr>
          <w:rFonts w:ascii="Times New Roman" w:hAnsi="Times New Roman" w:cs="Times New Roman"/>
          <w:sz w:val="24"/>
          <w:szCs w:val="24"/>
        </w:rPr>
        <w:t>PHIR</w:t>
      </w:r>
      <w:r w:rsidRPr="002B1A20">
        <w:rPr>
          <w:rFonts w:ascii="Times New Roman" w:hAnsi="Times New Roman" w:cs="Times New Roman"/>
          <w:sz w:val="24"/>
          <w:szCs w:val="24"/>
        </w:rPr>
        <w:t xml:space="preserve"> that could be used to improve evidence-informed </w:t>
      </w:r>
      <w:r w:rsidR="00AA5555">
        <w:rPr>
          <w:rFonts w:ascii="Times New Roman" w:hAnsi="Times New Roman" w:cs="Times New Roman"/>
          <w:sz w:val="24"/>
          <w:szCs w:val="24"/>
        </w:rPr>
        <w:t xml:space="preserve">formulation and </w:t>
      </w:r>
      <w:r w:rsidRPr="002B1A20">
        <w:rPr>
          <w:rFonts w:ascii="Times New Roman" w:hAnsi="Times New Roman" w:cs="Times New Roman"/>
          <w:sz w:val="24"/>
          <w:szCs w:val="24"/>
        </w:rPr>
        <w:t xml:space="preserve">implementation processes. The aim of this study is to develop </w:t>
      </w:r>
      <w:r w:rsidR="00C545EA">
        <w:rPr>
          <w:rFonts w:ascii="Times New Roman" w:hAnsi="Times New Roman" w:cs="Times New Roman"/>
          <w:sz w:val="24"/>
          <w:szCs w:val="24"/>
        </w:rPr>
        <w:t>a conceptual framework that considers health, non-health and equity in the formulation</w:t>
      </w:r>
      <w:r w:rsidR="00512570">
        <w:rPr>
          <w:rFonts w:ascii="Times New Roman" w:hAnsi="Times New Roman" w:cs="Times New Roman"/>
          <w:sz w:val="24"/>
          <w:szCs w:val="24"/>
        </w:rPr>
        <w:t>,</w:t>
      </w:r>
      <w:r w:rsidR="00C545EA">
        <w:rPr>
          <w:rFonts w:ascii="Times New Roman" w:hAnsi="Times New Roman" w:cs="Times New Roman"/>
          <w:sz w:val="24"/>
          <w:szCs w:val="24"/>
        </w:rPr>
        <w:t xml:space="preserve"> implementation </w:t>
      </w:r>
      <w:r w:rsidR="00512570">
        <w:rPr>
          <w:rFonts w:ascii="Times New Roman" w:hAnsi="Times New Roman" w:cs="Times New Roman"/>
          <w:sz w:val="24"/>
          <w:szCs w:val="24"/>
        </w:rPr>
        <w:t xml:space="preserve">and evaluation </w:t>
      </w:r>
      <w:r w:rsidR="00C545EA">
        <w:rPr>
          <w:rFonts w:ascii="Times New Roman" w:hAnsi="Times New Roman" w:cs="Times New Roman"/>
          <w:sz w:val="24"/>
          <w:szCs w:val="24"/>
        </w:rPr>
        <w:t>of population health interventions and research</w:t>
      </w:r>
      <w:r w:rsidRPr="002B1A20">
        <w:rPr>
          <w:rFonts w:ascii="Times New Roman" w:hAnsi="Times New Roman" w:cs="Times New Roman"/>
          <w:sz w:val="24"/>
          <w:szCs w:val="24"/>
        </w:rPr>
        <w:t>.</w:t>
      </w:r>
    </w:p>
    <w:p w14:paraId="484B0B0F" w14:textId="01F41D76" w:rsidR="00780736" w:rsidRDefault="00780736" w:rsidP="00F632B7">
      <w:pPr>
        <w:spacing w:line="480" w:lineRule="auto"/>
        <w:jc w:val="both"/>
        <w:rPr>
          <w:rFonts w:ascii="Times New Roman" w:hAnsi="Times New Roman" w:cs="Times New Roman"/>
          <w:sz w:val="24"/>
          <w:szCs w:val="24"/>
        </w:rPr>
      </w:pPr>
    </w:p>
    <w:p w14:paraId="0D1AF7A2" w14:textId="5E9ACB6F" w:rsidR="00780736" w:rsidRDefault="00780736" w:rsidP="00F632B7">
      <w:pPr>
        <w:spacing w:line="480" w:lineRule="auto"/>
        <w:jc w:val="both"/>
        <w:rPr>
          <w:rFonts w:ascii="Times New Roman" w:hAnsi="Times New Roman" w:cs="Times New Roman"/>
          <w:sz w:val="24"/>
          <w:szCs w:val="24"/>
        </w:rPr>
      </w:pPr>
    </w:p>
    <w:p w14:paraId="737B3A07" w14:textId="77777777" w:rsidR="00780736" w:rsidRPr="007A28AF" w:rsidRDefault="00780736" w:rsidP="00F632B7">
      <w:pPr>
        <w:spacing w:line="480" w:lineRule="auto"/>
        <w:jc w:val="both"/>
        <w:rPr>
          <w:rFonts w:ascii="Times New Roman" w:hAnsi="Times New Roman" w:cs="Times New Roman"/>
          <w:sz w:val="24"/>
          <w:szCs w:val="24"/>
        </w:rPr>
      </w:pPr>
    </w:p>
    <w:p w14:paraId="57D1C78D" w14:textId="4C41C2AE" w:rsidR="005F134E" w:rsidRDefault="004B3A53" w:rsidP="00F632B7">
      <w:pPr>
        <w:spacing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METHOD</w:t>
      </w:r>
    </w:p>
    <w:p w14:paraId="54490A07" w14:textId="768AE6B2" w:rsidR="00176AE4" w:rsidRPr="007A28AF" w:rsidRDefault="00176AE4" w:rsidP="00176AE4">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 xml:space="preserve">This study </w:t>
      </w:r>
      <w:r w:rsidR="001660FD">
        <w:rPr>
          <w:rFonts w:ascii="Times New Roman" w:hAnsi="Times New Roman" w:cs="Times New Roman"/>
          <w:sz w:val="24"/>
          <w:szCs w:val="24"/>
        </w:rPr>
        <w:t>follows</w:t>
      </w:r>
      <w:r w:rsidRPr="007A28AF">
        <w:rPr>
          <w:rFonts w:ascii="Times New Roman" w:hAnsi="Times New Roman" w:cs="Times New Roman"/>
          <w:sz w:val="24"/>
          <w:szCs w:val="24"/>
        </w:rPr>
        <w:t xml:space="preserve"> </w:t>
      </w:r>
      <w:r w:rsidR="0064218A">
        <w:rPr>
          <w:rFonts w:ascii="Times New Roman" w:hAnsi="Times New Roman" w:cs="Times New Roman"/>
          <w:sz w:val="24"/>
          <w:szCs w:val="24"/>
        </w:rPr>
        <w:t>three</w:t>
      </w:r>
      <w:r w:rsidRPr="007A28AF">
        <w:rPr>
          <w:rFonts w:ascii="Times New Roman" w:hAnsi="Times New Roman" w:cs="Times New Roman"/>
          <w:sz w:val="24"/>
          <w:szCs w:val="24"/>
        </w:rPr>
        <w:t xml:space="preserve"> phases:</w:t>
      </w:r>
    </w:p>
    <w:p w14:paraId="28937451" w14:textId="7432FFB3" w:rsidR="00BE5845" w:rsidRPr="006560BB" w:rsidRDefault="0064218A" w:rsidP="0064218A">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1. </w:t>
      </w:r>
      <w:r w:rsidR="005072A6">
        <w:rPr>
          <w:rFonts w:ascii="Times New Roman" w:hAnsi="Times New Roman" w:cs="Times New Roman"/>
          <w:sz w:val="24"/>
          <w:szCs w:val="24"/>
        </w:rPr>
        <w:t xml:space="preserve">In the first phase, </w:t>
      </w:r>
      <w:r w:rsidR="00176AE4" w:rsidRPr="0064218A">
        <w:rPr>
          <w:rFonts w:ascii="Times New Roman" w:hAnsi="Times New Roman" w:cs="Times New Roman"/>
          <w:sz w:val="24"/>
          <w:szCs w:val="24"/>
        </w:rPr>
        <w:t>I conducted a literature review of conceptual frameworks</w:t>
      </w:r>
      <w:r w:rsidR="0008244A">
        <w:rPr>
          <w:rFonts w:ascii="Times New Roman" w:hAnsi="Times New Roman" w:cs="Times New Roman"/>
          <w:sz w:val="24"/>
          <w:szCs w:val="24"/>
        </w:rPr>
        <w:t xml:space="preserve"> or studies</w:t>
      </w:r>
      <w:r w:rsidR="00176AE4" w:rsidRPr="0064218A">
        <w:rPr>
          <w:rFonts w:ascii="Times New Roman" w:hAnsi="Times New Roman" w:cs="Times New Roman"/>
          <w:sz w:val="24"/>
          <w:szCs w:val="24"/>
        </w:rPr>
        <w:t xml:space="preserve"> that </w:t>
      </w:r>
      <w:r w:rsidR="005072A6">
        <w:rPr>
          <w:rFonts w:ascii="Times New Roman" w:hAnsi="Times New Roman" w:cs="Times New Roman"/>
          <w:sz w:val="24"/>
          <w:szCs w:val="24"/>
        </w:rPr>
        <w:t xml:space="preserve">examined the </w:t>
      </w:r>
      <w:r w:rsidR="003A7C82" w:rsidRPr="0064218A">
        <w:rPr>
          <w:rFonts w:ascii="Times New Roman" w:hAnsi="Times New Roman" w:cs="Times New Roman"/>
          <w:sz w:val="24"/>
          <w:szCs w:val="24"/>
        </w:rPr>
        <w:t>health</w:t>
      </w:r>
      <w:r w:rsidR="00176AE4" w:rsidRPr="0064218A">
        <w:rPr>
          <w:rFonts w:ascii="Times New Roman" w:hAnsi="Times New Roman" w:cs="Times New Roman"/>
          <w:sz w:val="24"/>
          <w:szCs w:val="24"/>
        </w:rPr>
        <w:t xml:space="preserve"> and non-health </w:t>
      </w:r>
      <w:r w:rsidR="005072A6">
        <w:rPr>
          <w:rFonts w:ascii="Times New Roman" w:hAnsi="Times New Roman" w:cs="Times New Roman"/>
          <w:sz w:val="24"/>
          <w:szCs w:val="24"/>
        </w:rPr>
        <w:t>impacts of PHIR and took equity</w:t>
      </w:r>
      <w:r w:rsidR="00176AE4" w:rsidRPr="0064218A">
        <w:rPr>
          <w:rFonts w:ascii="Times New Roman" w:hAnsi="Times New Roman" w:cs="Times New Roman"/>
          <w:sz w:val="24"/>
          <w:szCs w:val="24"/>
        </w:rPr>
        <w:t xml:space="preserve"> into </w:t>
      </w:r>
      <w:r w:rsidR="00176AE4" w:rsidRPr="006C26C8">
        <w:rPr>
          <w:rFonts w:ascii="Times New Roman" w:hAnsi="Times New Roman" w:cs="Times New Roman"/>
          <w:sz w:val="24"/>
          <w:szCs w:val="24"/>
        </w:rPr>
        <w:t xml:space="preserve">consideration in five databases (i.e., MEDLINE, EMBASE, APA PsycInfo, Google scholar and ScienceDirect). </w:t>
      </w:r>
      <w:r w:rsidR="00BF4892" w:rsidRPr="006C26C8">
        <w:rPr>
          <w:rFonts w:ascii="Times New Roman" w:hAnsi="Times New Roman" w:cs="Times New Roman"/>
          <w:sz w:val="24"/>
          <w:szCs w:val="24"/>
        </w:rPr>
        <w:t xml:space="preserve">Grey </w:t>
      </w:r>
      <w:r w:rsidR="00BF4892" w:rsidRPr="0064218A">
        <w:rPr>
          <w:rFonts w:ascii="Times New Roman" w:hAnsi="Times New Roman" w:cs="Times New Roman"/>
          <w:sz w:val="24"/>
          <w:szCs w:val="24"/>
        </w:rPr>
        <w:t xml:space="preserve">literature </w:t>
      </w:r>
      <w:r w:rsidR="00363D89">
        <w:rPr>
          <w:rFonts w:ascii="Times New Roman" w:hAnsi="Times New Roman" w:cs="Times New Roman"/>
          <w:sz w:val="24"/>
          <w:szCs w:val="24"/>
        </w:rPr>
        <w:t>wa</w:t>
      </w:r>
      <w:r w:rsidR="00E44A16">
        <w:rPr>
          <w:rFonts w:ascii="Times New Roman" w:hAnsi="Times New Roman" w:cs="Times New Roman"/>
          <w:sz w:val="24"/>
          <w:szCs w:val="24"/>
        </w:rPr>
        <w:t>s</w:t>
      </w:r>
      <w:r w:rsidR="00BF4892" w:rsidRPr="0064218A">
        <w:rPr>
          <w:rFonts w:ascii="Times New Roman" w:hAnsi="Times New Roman" w:cs="Times New Roman"/>
          <w:sz w:val="24"/>
          <w:szCs w:val="24"/>
        </w:rPr>
        <w:t xml:space="preserve"> not included in the study. </w:t>
      </w:r>
      <w:r w:rsidR="00176AE4" w:rsidRPr="0064218A">
        <w:rPr>
          <w:rFonts w:ascii="Times New Roman" w:hAnsi="Times New Roman" w:cs="Times New Roman"/>
          <w:sz w:val="24"/>
          <w:szCs w:val="24"/>
        </w:rPr>
        <w:t xml:space="preserve">Relevant details from the reviewed literature </w:t>
      </w:r>
      <w:r w:rsidR="00B70094">
        <w:rPr>
          <w:rFonts w:ascii="Times New Roman" w:hAnsi="Times New Roman" w:cs="Times New Roman"/>
          <w:sz w:val="24"/>
          <w:szCs w:val="24"/>
        </w:rPr>
        <w:t>we</w:t>
      </w:r>
      <w:r w:rsidR="00176AE4" w:rsidRPr="0064218A">
        <w:rPr>
          <w:rFonts w:ascii="Times New Roman" w:hAnsi="Times New Roman" w:cs="Times New Roman"/>
          <w:sz w:val="24"/>
          <w:szCs w:val="24"/>
        </w:rPr>
        <w:t>re summarized and employed in developing a comprehensive conceptual framework.</w:t>
      </w:r>
      <w:r w:rsidR="00FD5058" w:rsidRPr="00FD5058">
        <w:t xml:space="preserve"> </w:t>
      </w:r>
      <w:r w:rsidR="00FD5058" w:rsidRPr="0064218A">
        <w:rPr>
          <w:rFonts w:ascii="Times New Roman" w:hAnsi="Times New Roman" w:cs="Times New Roman"/>
          <w:sz w:val="24"/>
          <w:szCs w:val="24"/>
        </w:rPr>
        <w:t>The search strategy was composed of words related to “intervention” (</w:t>
      </w:r>
      <w:r w:rsidR="00071012" w:rsidRPr="0064218A">
        <w:rPr>
          <w:rFonts w:ascii="Times New Roman" w:hAnsi="Times New Roman" w:cs="Times New Roman"/>
          <w:sz w:val="24"/>
          <w:szCs w:val="24"/>
        </w:rPr>
        <w:t>(population health AND (</w:t>
      </w:r>
      <w:r w:rsidR="007F1AD1" w:rsidRPr="0064218A">
        <w:rPr>
          <w:rFonts w:ascii="Times New Roman" w:hAnsi="Times New Roman" w:cs="Times New Roman"/>
          <w:sz w:val="24"/>
          <w:szCs w:val="24"/>
        </w:rPr>
        <w:t xml:space="preserve">intervention OR intervention research OR </w:t>
      </w:r>
      <w:proofErr w:type="spellStart"/>
      <w:r w:rsidR="007F1AD1" w:rsidRPr="0064218A">
        <w:rPr>
          <w:rFonts w:ascii="Times New Roman" w:hAnsi="Times New Roman" w:cs="Times New Roman"/>
          <w:sz w:val="24"/>
          <w:szCs w:val="24"/>
        </w:rPr>
        <w:t>strateg</w:t>
      </w:r>
      <w:proofErr w:type="spellEnd"/>
      <w:r w:rsidR="007F1AD1" w:rsidRPr="0064218A">
        <w:rPr>
          <w:rFonts w:ascii="Times New Roman" w:hAnsi="Times New Roman" w:cs="Times New Roman"/>
          <w:sz w:val="24"/>
          <w:szCs w:val="24"/>
        </w:rPr>
        <w:t xml:space="preserve">* OR program OR </w:t>
      </w:r>
      <w:r w:rsidR="00071012" w:rsidRPr="0064218A">
        <w:rPr>
          <w:rFonts w:ascii="Times New Roman" w:hAnsi="Times New Roman" w:cs="Times New Roman"/>
          <w:sz w:val="24"/>
          <w:szCs w:val="24"/>
        </w:rPr>
        <w:t xml:space="preserve">stud* OR research* OR </w:t>
      </w:r>
      <w:proofErr w:type="spellStart"/>
      <w:r w:rsidR="00071012" w:rsidRPr="0064218A">
        <w:rPr>
          <w:rFonts w:ascii="Times New Roman" w:hAnsi="Times New Roman" w:cs="Times New Roman"/>
          <w:sz w:val="24"/>
          <w:szCs w:val="24"/>
        </w:rPr>
        <w:t>polic</w:t>
      </w:r>
      <w:proofErr w:type="spellEnd"/>
      <w:r w:rsidR="007F1AD1" w:rsidRPr="0064218A">
        <w:rPr>
          <w:rFonts w:ascii="Times New Roman" w:hAnsi="Times New Roman" w:cs="Times New Roman"/>
          <w:sz w:val="24"/>
          <w:szCs w:val="24"/>
        </w:rPr>
        <w:t>*</w:t>
      </w:r>
      <w:r w:rsidR="00071012" w:rsidRPr="0064218A">
        <w:rPr>
          <w:rFonts w:ascii="Times New Roman" w:hAnsi="Times New Roman" w:cs="Times New Roman"/>
          <w:sz w:val="24"/>
          <w:szCs w:val="24"/>
        </w:rPr>
        <w:t xml:space="preserve">)) </w:t>
      </w:r>
      <w:r w:rsidR="00FD5058" w:rsidRPr="0064218A">
        <w:rPr>
          <w:rFonts w:ascii="Times New Roman" w:hAnsi="Times New Roman" w:cs="Times New Roman"/>
          <w:sz w:val="24"/>
          <w:szCs w:val="24"/>
        </w:rPr>
        <w:t xml:space="preserve"> OR</w:t>
      </w:r>
      <w:r w:rsidR="00071012" w:rsidRPr="0064218A">
        <w:rPr>
          <w:rFonts w:ascii="Times New Roman" w:hAnsi="Times New Roman" w:cs="Times New Roman"/>
          <w:sz w:val="24"/>
          <w:szCs w:val="24"/>
        </w:rPr>
        <w:t xml:space="preserve"> (public health </w:t>
      </w:r>
      <w:r w:rsidR="001C0040" w:rsidRPr="0064218A">
        <w:rPr>
          <w:rFonts w:ascii="Times New Roman" w:hAnsi="Times New Roman" w:cs="Times New Roman"/>
          <w:sz w:val="24"/>
          <w:szCs w:val="24"/>
        </w:rPr>
        <w:t xml:space="preserve">AND (intervention OR intervention research OR </w:t>
      </w:r>
      <w:proofErr w:type="spellStart"/>
      <w:r w:rsidR="001C0040" w:rsidRPr="0064218A">
        <w:rPr>
          <w:rFonts w:ascii="Times New Roman" w:hAnsi="Times New Roman" w:cs="Times New Roman"/>
          <w:sz w:val="24"/>
          <w:szCs w:val="24"/>
        </w:rPr>
        <w:t>strateg</w:t>
      </w:r>
      <w:proofErr w:type="spellEnd"/>
      <w:r w:rsidR="001C0040" w:rsidRPr="0064218A">
        <w:rPr>
          <w:rFonts w:ascii="Times New Roman" w:hAnsi="Times New Roman" w:cs="Times New Roman"/>
          <w:sz w:val="24"/>
          <w:szCs w:val="24"/>
        </w:rPr>
        <w:t xml:space="preserve">* OR program OR stud* OR research* OR </w:t>
      </w:r>
      <w:proofErr w:type="spellStart"/>
      <w:r w:rsidR="001C0040" w:rsidRPr="0064218A">
        <w:rPr>
          <w:rFonts w:ascii="Times New Roman" w:hAnsi="Times New Roman" w:cs="Times New Roman"/>
          <w:sz w:val="24"/>
          <w:szCs w:val="24"/>
        </w:rPr>
        <w:t>polic</w:t>
      </w:r>
      <w:proofErr w:type="spellEnd"/>
      <w:r w:rsidR="001C0040" w:rsidRPr="0064218A">
        <w:rPr>
          <w:rFonts w:ascii="Times New Roman" w:hAnsi="Times New Roman" w:cs="Times New Roman"/>
          <w:sz w:val="24"/>
          <w:szCs w:val="24"/>
        </w:rPr>
        <w:t xml:space="preserve">*)) </w:t>
      </w:r>
      <w:r w:rsidR="00071012" w:rsidRPr="0064218A">
        <w:rPr>
          <w:rFonts w:ascii="Times New Roman" w:hAnsi="Times New Roman" w:cs="Times New Roman"/>
          <w:sz w:val="24"/>
          <w:szCs w:val="24"/>
        </w:rPr>
        <w:t>OR</w:t>
      </w:r>
      <w:r w:rsidR="00423016" w:rsidRPr="0064218A">
        <w:rPr>
          <w:rFonts w:ascii="Times New Roman" w:hAnsi="Times New Roman" w:cs="Times New Roman"/>
          <w:sz w:val="24"/>
          <w:szCs w:val="24"/>
        </w:rPr>
        <w:t xml:space="preserve"> </w:t>
      </w:r>
      <w:r w:rsidR="00FD5058" w:rsidRPr="0064218A">
        <w:rPr>
          <w:rFonts w:ascii="Times New Roman" w:hAnsi="Times New Roman" w:cs="Times New Roman"/>
          <w:sz w:val="24"/>
          <w:szCs w:val="24"/>
        </w:rPr>
        <w:t>intervention research</w:t>
      </w:r>
      <w:r w:rsidR="00894070" w:rsidRPr="0064218A">
        <w:rPr>
          <w:rFonts w:ascii="Times New Roman" w:hAnsi="Times New Roman" w:cs="Times New Roman"/>
          <w:sz w:val="24"/>
          <w:szCs w:val="24"/>
        </w:rPr>
        <w:t>*</w:t>
      </w:r>
      <w:r w:rsidR="009C18E8" w:rsidRPr="0064218A">
        <w:rPr>
          <w:rFonts w:ascii="Times New Roman" w:hAnsi="Times New Roman" w:cs="Times New Roman"/>
          <w:sz w:val="24"/>
          <w:szCs w:val="24"/>
        </w:rPr>
        <w:t xml:space="preserve"> </w:t>
      </w:r>
      <w:r w:rsidR="00071012" w:rsidRPr="0064218A">
        <w:rPr>
          <w:rFonts w:ascii="Times New Roman" w:hAnsi="Times New Roman" w:cs="Times New Roman"/>
          <w:sz w:val="24"/>
          <w:szCs w:val="24"/>
        </w:rPr>
        <w:t xml:space="preserve">OR </w:t>
      </w:r>
      <w:r w:rsidR="00FD5058" w:rsidRPr="0064218A">
        <w:rPr>
          <w:rFonts w:ascii="Times New Roman" w:hAnsi="Times New Roman" w:cs="Times New Roman"/>
          <w:sz w:val="24"/>
          <w:szCs w:val="24"/>
        </w:rPr>
        <w:t>Implementation Research</w:t>
      </w:r>
      <w:r w:rsidR="00071012" w:rsidRPr="0064218A">
        <w:rPr>
          <w:rFonts w:ascii="Times New Roman" w:hAnsi="Times New Roman" w:cs="Times New Roman"/>
          <w:sz w:val="24"/>
          <w:szCs w:val="24"/>
        </w:rPr>
        <w:t xml:space="preserve"> OR Evaluative Research</w:t>
      </w:r>
      <w:r w:rsidR="00FD5058" w:rsidRPr="0064218A">
        <w:rPr>
          <w:rFonts w:ascii="Times New Roman" w:hAnsi="Times New Roman" w:cs="Times New Roman"/>
          <w:sz w:val="24"/>
          <w:szCs w:val="24"/>
        </w:rPr>
        <w:t xml:space="preserve">) and Equity in health (Health equity OR health </w:t>
      </w:r>
      <w:proofErr w:type="spellStart"/>
      <w:r w:rsidR="00FD5058" w:rsidRPr="0064218A">
        <w:rPr>
          <w:rFonts w:ascii="Times New Roman" w:hAnsi="Times New Roman" w:cs="Times New Roman"/>
          <w:sz w:val="24"/>
          <w:szCs w:val="24"/>
        </w:rPr>
        <w:t>inequ</w:t>
      </w:r>
      <w:proofErr w:type="spellEnd"/>
      <w:r w:rsidR="00FD5058" w:rsidRPr="0064218A">
        <w:rPr>
          <w:rFonts w:ascii="Times New Roman" w:hAnsi="Times New Roman" w:cs="Times New Roman"/>
          <w:sz w:val="24"/>
          <w:szCs w:val="24"/>
        </w:rPr>
        <w:t xml:space="preserve">* OR health </w:t>
      </w:r>
      <w:proofErr w:type="spellStart"/>
      <w:r w:rsidR="00FD5058" w:rsidRPr="0064218A">
        <w:rPr>
          <w:rFonts w:ascii="Times New Roman" w:hAnsi="Times New Roman" w:cs="Times New Roman"/>
          <w:sz w:val="24"/>
          <w:szCs w:val="24"/>
        </w:rPr>
        <w:t>disparit</w:t>
      </w:r>
      <w:proofErr w:type="spellEnd"/>
      <w:r w:rsidR="00FD5058" w:rsidRPr="0064218A">
        <w:rPr>
          <w:rFonts w:ascii="Times New Roman" w:hAnsi="Times New Roman" w:cs="Times New Roman"/>
          <w:sz w:val="24"/>
          <w:szCs w:val="24"/>
        </w:rPr>
        <w:t>* OR vulnerable population OR advantaged population OR disadvantaged population).</w:t>
      </w:r>
      <w:r w:rsidR="00176AE4" w:rsidRPr="0064218A">
        <w:rPr>
          <w:rFonts w:ascii="Times New Roman" w:hAnsi="Times New Roman" w:cs="Times New Roman"/>
          <w:sz w:val="24"/>
          <w:szCs w:val="24"/>
        </w:rPr>
        <w:t xml:space="preserve"> </w:t>
      </w:r>
      <w:r w:rsidR="00966F68">
        <w:rPr>
          <w:rFonts w:ascii="Times New Roman" w:hAnsi="Times New Roman" w:cs="Times New Roman"/>
          <w:sz w:val="24"/>
          <w:szCs w:val="24"/>
        </w:rPr>
        <w:t>As no single framework met the objective of the study, I ad</w:t>
      </w:r>
      <w:r w:rsidR="00021EB0">
        <w:rPr>
          <w:rFonts w:ascii="Times New Roman" w:hAnsi="Times New Roman" w:cs="Times New Roman"/>
          <w:sz w:val="24"/>
          <w:szCs w:val="24"/>
        </w:rPr>
        <w:t>o</w:t>
      </w:r>
      <w:r w:rsidR="00966F68">
        <w:rPr>
          <w:rFonts w:ascii="Times New Roman" w:hAnsi="Times New Roman" w:cs="Times New Roman"/>
          <w:sz w:val="24"/>
          <w:szCs w:val="24"/>
        </w:rPr>
        <w:t>pted elements of several frameworks</w:t>
      </w:r>
      <w:r w:rsidR="00021EB0">
        <w:rPr>
          <w:rFonts w:ascii="Times New Roman" w:hAnsi="Times New Roman" w:cs="Times New Roman"/>
          <w:sz w:val="24"/>
          <w:szCs w:val="24"/>
        </w:rPr>
        <w:t xml:space="preserve"> and combined them</w:t>
      </w:r>
      <w:r w:rsidR="00966F68">
        <w:rPr>
          <w:rFonts w:ascii="Times New Roman" w:hAnsi="Times New Roman" w:cs="Times New Roman"/>
          <w:sz w:val="24"/>
          <w:szCs w:val="24"/>
        </w:rPr>
        <w:t xml:space="preserve"> into </w:t>
      </w:r>
      <w:r w:rsidR="00021EB0">
        <w:rPr>
          <w:rFonts w:ascii="Times New Roman" w:hAnsi="Times New Roman" w:cs="Times New Roman"/>
          <w:sz w:val="24"/>
          <w:szCs w:val="24"/>
        </w:rPr>
        <w:t xml:space="preserve">building </w:t>
      </w:r>
      <w:r w:rsidR="00966F68">
        <w:rPr>
          <w:rFonts w:ascii="Times New Roman" w:hAnsi="Times New Roman" w:cs="Times New Roman"/>
          <w:sz w:val="24"/>
          <w:szCs w:val="24"/>
        </w:rPr>
        <w:t>one simple framework</w:t>
      </w:r>
      <w:r w:rsidR="00EC0F15">
        <w:rPr>
          <w:rFonts w:ascii="Times New Roman" w:hAnsi="Times New Roman" w:cs="Times New Roman"/>
          <w:sz w:val="24"/>
          <w:szCs w:val="24"/>
        </w:rPr>
        <w:t xml:space="preserve"> </w:t>
      </w:r>
      <w:r w:rsidR="003622D3">
        <w:rPr>
          <w:rFonts w:ascii="Times New Roman" w:hAnsi="Times New Roman" w:cs="Times New Roman"/>
          <w:sz w:val="24"/>
          <w:szCs w:val="24"/>
        </w:rPr>
        <w:t>(termed Equi-PHIR)</w:t>
      </w:r>
      <w:r w:rsidR="00966F68">
        <w:rPr>
          <w:rFonts w:ascii="Times New Roman" w:hAnsi="Times New Roman" w:cs="Times New Roman"/>
          <w:sz w:val="24"/>
          <w:szCs w:val="24"/>
        </w:rPr>
        <w:t>. T</w:t>
      </w:r>
      <w:r w:rsidR="00BE5845" w:rsidRPr="0064218A">
        <w:rPr>
          <w:rFonts w:ascii="Times New Roman" w:hAnsi="Times New Roman" w:cs="Times New Roman"/>
          <w:sz w:val="24"/>
          <w:szCs w:val="24"/>
        </w:rPr>
        <w:t xml:space="preserve">he search was limited to English language and there were no exclusion </w:t>
      </w:r>
      <w:r w:rsidR="002B77D0" w:rsidRPr="0064218A">
        <w:rPr>
          <w:rFonts w:ascii="Times New Roman" w:hAnsi="Times New Roman" w:cs="Times New Roman"/>
          <w:sz w:val="24"/>
          <w:szCs w:val="24"/>
        </w:rPr>
        <w:t>criteria,</w:t>
      </w:r>
      <w:r w:rsidR="00F624AB">
        <w:rPr>
          <w:rFonts w:ascii="Times New Roman" w:hAnsi="Times New Roman" w:cs="Times New Roman"/>
          <w:sz w:val="24"/>
          <w:szCs w:val="24"/>
        </w:rPr>
        <w:t xml:space="preserve"> but these did not impede the quality of the research</w:t>
      </w:r>
      <w:r w:rsidR="00BE5845" w:rsidRPr="0064218A">
        <w:rPr>
          <w:rFonts w:ascii="Times New Roman" w:hAnsi="Times New Roman" w:cs="Times New Roman"/>
          <w:sz w:val="24"/>
          <w:szCs w:val="24"/>
        </w:rPr>
        <w:t xml:space="preserve">. All related titles were included after eliminating duplicates. </w:t>
      </w:r>
    </w:p>
    <w:p w14:paraId="0F4FEBDE" w14:textId="531797D5" w:rsidR="001660FD" w:rsidRDefault="0064218A" w:rsidP="006421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021EB0">
        <w:rPr>
          <w:rFonts w:ascii="Times New Roman" w:hAnsi="Times New Roman" w:cs="Times New Roman"/>
          <w:sz w:val="24"/>
          <w:szCs w:val="24"/>
        </w:rPr>
        <w:t>In the second phase, b</w:t>
      </w:r>
      <w:r w:rsidR="001660FD" w:rsidRPr="0064218A">
        <w:rPr>
          <w:rFonts w:ascii="Times New Roman" w:hAnsi="Times New Roman" w:cs="Times New Roman"/>
          <w:sz w:val="24"/>
          <w:szCs w:val="24"/>
        </w:rPr>
        <w:t>arring the time limit and deadline for the study, I would have conducted stakeholders</w:t>
      </w:r>
      <w:r w:rsidR="007B750F">
        <w:rPr>
          <w:rFonts w:ascii="Times New Roman" w:hAnsi="Times New Roman" w:cs="Times New Roman"/>
          <w:sz w:val="24"/>
          <w:szCs w:val="24"/>
        </w:rPr>
        <w:t>’</w:t>
      </w:r>
      <w:r w:rsidR="001660FD" w:rsidRPr="0064218A">
        <w:rPr>
          <w:rFonts w:ascii="Times New Roman" w:hAnsi="Times New Roman" w:cs="Times New Roman"/>
          <w:sz w:val="24"/>
          <w:szCs w:val="24"/>
        </w:rPr>
        <w:t xml:space="preserve"> analysis</w:t>
      </w:r>
      <w:r w:rsidR="0047113A" w:rsidRPr="0064218A">
        <w:rPr>
          <w:rFonts w:ascii="Times New Roman" w:hAnsi="Times New Roman" w:cs="Times New Roman"/>
          <w:sz w:val="24"/>
          <w:szCs w:val="24"/>
        </w:rPr>
        <w:t xml:space="preserve"> where </w:t>
      </w:r>
      <w:r w:rsidR="001660FD" w:rsidRPr="0064218A">
        <w:rPr>
          <w:rFonts w:ascii="Times New Roman" w:hAnsi="Times New Roman" w:cs="Times New Roman"/>
          <w:sz w:val="24"/>
          <w:szCs w:val="24"/>
        </w:rPr>
        <w:t xml:space="preserve">decision-makers and researchers of </w:t>
      </w:r>
      <w:r w:rsidR="00FA7ACF">
        <w:rPr>
          <w:rFonts w:ascii="Times New Roman" w:hAnsi="Times New Roman" w:cs="Times New Roman"/>
          <w:sz w:val="24"/>
          <w:szCs w:val="24"/>
        </w:rPr>
        <w:t>PHIR</w:t>
      </w:r>
      <w:r w:rsidR="001660FD" w:rsidRPr="0064218A">
        <w:rPr>
          <w:rFonts w:ascii="Times New Roman" w:hAnsi="Times New Roman" w:cs="Times New Roman"/>
          <w:sz w:val="24"/>
          <w:szCs w:val="24"/>
        </w:rPr>
        <w:t xml:space="preserve"> would have been selected</w:t>
      </w:r>
      <w:r w:rsidR="0047113A" w:rsidRPr="0064218A">
        <w:rPr>
          <w:rFonts w:ascii="Times New Roman" w:hAnsi="Times New Roman" w:cs="Times New Roman"/>
          <w:sz w:val="24"/>
          <w:szCs w:val="24"/>
        </w:rPr>
        <w:t xml:space="preserve"> through emails, calls</w:t>
      </w:r>
      <w:r w:rsidR="00F76365" w:rsidRPr="0064218A">
        <w:rPr>
          <w:rFonts w:ascii="Times New Roman" w:hAnsi="Times New Roman" w:cs="Times New Roman"/>
          <w:sz w:val="24"/>
          <w:szCs w:val="24"/>
        </w:rPr>
        <w:t>,</w:t>
      </w:r>
      <w:r w:rsidR="0047113A" w:rsidRPr="0064218A">
        <w:rPr>
          <w:rFonts w:ascii="Times New Roman" w:hAnsi="Times New Roman" w:cs="Times New Roman"/>
          <w:sz w:val="24"/>
          <w:szCs w:val="24"/>
        </w:rPr>
        <w:t xml:space="preserve"> or interviews</w:t>
      </w:r>
      <w:r w:rsidR="001660FD" w:rsidRPr="0064218A">
        <w:rPr>
          <w:rFonts w:ascii="Times New Roman" w:hAnsi="Times New Roman" w:cs="Times New Roman"/>
          <w:sz w:val="24"/>
          <w:szCs w:val="24"/>
        </w:rPr>
        <w:t xml:space="preserve"> in </w:t>
      </w:r>
      <w:r w:rsidR="007B750F">
        <w:rPr>
          <w:rFonts w:ascii="Times New Roman" w:hAnsi="Times New Roman" w:cs="Times New Roman"/>
          <w:sz w:val="24"/>
          <w:szCs w:val="24"/>
        </w:rPr>
        <w:t>some</w:t>
      </w:r>
      <w:r w:rsidR="001660FD" w:rsidRPr="0064218A">
        <w:rPr>
          <w:rFonts w:ascii="Times New Roman" w:hAnsi="Times New Roman" w:cs="Times New Roman"/>
          <w:sz w:val="24"/>
          <w:szCs w:val="24"/>
        </w:rPr>
        <w:t xml:space="preserve"> Lower-Middle-Income Countries (LMICs)</w:t>
      </w:r>
      <w:r w:rsidR="006E47E7" w:rsidRPr="0064218A">
        <w:rPr>
          <w:rFonts w:ascii="Times New Roman" w:hAnsi="Times New Roman" w:cs="Times New Roman"/>
          <w:sz w:val="24"/>
          <w:szCs w:val="24"/>
        </w:rPr>
        <w:t xml:space="preserve">. These stakeholders or “implementers” would </w:t>
      </w:r>
      <w:r w:rsidR="0047113A" w:rsidRPr="0064218A">
        <w:rPr>
          <w:rFonts w:ascii="Times New Roman" w:hAnsi="Times New Roman" w:cs="Times New Roman"/>
          <w:sz w:val="24"/>
          <w:szCs w:val="24"/>
        </w:rPr>
        <w:t xml:space="preserve">have </w:t>
      </w:r>
      <w:r w:rsidR="00A25FD8">
        <w:rPr>
          <w:rFonts w:ascii="Times New Roman" w:hAnsi="Times New Roman" w:cs="Times New Roman"/>
          <w:sz w:val="24"/>
          <w:szCs w:val="24"/>
        </w:rPr>
        <w:t>discussed the benefits and limitations of the model</w:t>
      </w:r>
      <w:r w:rsidR="0084084A">
        <w:rPr>
          <w:rFonts w:ascii="Times New Roman" w:hAnsi="Times New Roman" w:cs="Times New Roman"/>
          <w:sz w:val="24"/>
          <w:szCs w:val="24"/>
        </w:rPr>
        <w:t xml:space="preserve"> and</w:t>
      </w:r>
      <w:r w:rsidR="00AD3DB6" w:rsidRPr="0064218A">
        <w:rPr>
          <w:rFonts w:ascii="Times New Roman" w:hAnsi="Times New Roman" w:cs="Times New Roman"/>
          <w:sz w:val="24"/>
          <w:szCs w:val="24"/>
        </w:rPr>
        <w:t xml:space="preserve"> their suggestions would </w:t>
      </w:r>
      <w:r w:rsidR="0084084A">
        <w:rPr>
          <w:rFonts w:ascii="Times New Roman" w:hAnsi="Times New Roman" w:cs="Times New Roman"/>
          <w:sz w:val="24"/>
          <w:szCs w:val="24"/>
        </w:rPr>
        <w:t xml:space="preserve">have </w:t>
      </w:r>
      <w:r w:rsidR="00AD3DB6" w:rsidRPr="0064218A">
        <w:rPr>
          <w:rFonts w:ascii="Times New Roman" w:hAnsi="Times New Roman" w:cs="Times New Roman"/>
          <w:sz w:val="24"/>
          <w:szCs w:val="24"/>
        </w:rPr>
        <w:t>be</w:t>
      </w:r>
      <w:r w:rsidR="0084084A">
        <w:rPr>
          <w:rFonts w:ascii="Times New Roman" w:hAnsi="Times New Roman" w:cs="Times New Roman"/>
          <w:sz w:val="24"/>
          <w:szCs w:val="24"/>
        </w:rPr>
        <w:t xml:space="preserve">en </w:t>
      </w:r>
      <w:r w:rsidR="00AD3DB6" w:rsidRPr="0064218A">
        <w:rPr>
          <w:rFonts w:ascii="Times New Roman" w:hAnsi="Times New Roman" w:cs="Times New Roman"/>
          <w:sz w:val="24"/>
          <w:szCs w:val="24"/>
        </w:rPr>
        <w:t>used to improve the framework.</w:t>
      </w:r>
    </w:p>
    <w:p w14:paraId="1DB56DEB" w14:textId="2C094200" w:rsidR="005B2F65" w:rsidRDefault="0064218A" w:rsidP="0064218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 Finally,</w:t>
      </w:r>
      <w:r w:rsidR="00021EB0">
        <w:rPr>
          <w:rFonts w:ascii="Times New Roman" w:hAnsi="Times New Roman" w:cs="Times New Roman"/>
          <w:sz w:val="24"/>
          <w:szCs w:val="24"/>
        </w:rPr>
        <w:t xml:space="preserve"> the third phase would have consisted of iterative development of the framework based on</w:t>
      </w:r>
      <w:r w:rsidR="00F96C4E">
        <w:rPr>
          <w:rFonts w:ascii="Times New Roman" w:hAnsi="Times New Roman" w:cs="Times New Roman"/>
          <w:sz w:val="24"/>
          <w:szCs w:val="24"/>
        </w:rPr>
        <w:t xml:space="preserve"> key experts in the field (i.e., health equity, </w:t>
      </w:r>
      <w:r w:rsidR="000565AF">
        <w:rPr>
          <w:rFonts w:ascii="Times New Roman" w:hAnsi="Times New Roman" w:cs="Times New Roman"/>
          <w:sz w:val="24"/>
          <w:szCs w:val="24"/>
        </w:rPr>
        <w:t>population/</w:t>
      </w:r>
      <w:r w:rsidR="00F96C4E">
        <w:rPr>
          <w:rFonts w:ascii="Times New Roman" w:hAnsi="Times New Roman" w:cs="Times New Roman"/>
          <w:sz w:val="24"/>
          <w:szCs w:val="24"/>
        </w:rPr>
        <w:t xml:space="preserve">public </w:t>
      </w:r>
      <w:r w:rsidR="00426A83">
        <w:rPr>
          <w:rFonts w:ascii="Times New Roman" w:hAnsi="Times New Roman" w:cs="Times New Roman"/>
          <w:sz w:val="24"/>
          <w:szCs w:val="24"/>
        </w:rPr>
        <w:t>health,</w:t>
      </w:r>
      <w:r w:rsidR="00F96C4E">
        <w:rPr>
          <w:rFonts w:ascii="Times New Roman" w:hAnsi="Times New Roman" w:cs="Times New Roman"/>
          <w:sz w:val="24"/>
          <w:szCs w:val="24"/>
        </w:rPr>
        <w:t xml:space="preserve"> and social science) and through interviews with stakeholders from </w:t>
      </w:r>
      <w:r w:rsidR="00F96C4E" w:rsidRPr="000415C4">
        <w:rPr>
          <w:rFonts w:ascii="Times New Roman" w:hAnsi="Times New Roman" w:cs="Times New Roman"/>
          <w:sz w:val="24"/>
          <w:szCs w:val="24"/>
        </w:rPr>
        <w:t>Alliance for Health Policy and Systems Research</w:t>
      </w:r>
      <w:r w:rsidR="00F96C4E">
        <w:rPr>
          <w:rFonts w:ascii="Times New Roman" w:hAnsi="Times New Roman" w:cs="Times New Roman"/>
          <w:sz w:val="24"/>
          <w:szCs w:val="24"/>
        </w:rPr>
        <w:t xml:space="preserve"> (AHPSR)-World Health Organization (WHO)</w:t>
      </w:r>
      <w:r w:rsidR="00021EB0">
        <w:rPr>
          <w:rFonts w:ascii="Times New Roman" w:hAnsi="Times New Roman" w:cs="Times New Roman"/>
          <w:sz w:val="24"/>
          <w:szCs w:val="24"/>
        </w:rPr>
        <w:t>. The interview would have centered on conceptual understanding of the framework and its functionality</w:t>
      </w:r>
      <w:r w:rsidR="00F96C4E">
        <w:rPr>
          <w:rFonts w:ascii="Times New Roman" w:hAnsi="Times New Roman" w:cs="Times New Roman"/>
          <w:sz w:val="24"/>
          <w:szCs w:val="24"/>
        </w:rPr>
        <w:t xml:space="preserve"> in application in research and practice. </w:t>
      </w:r>
    </w:p>
    <w:p w14:paraId="45DA3F1F" w14:textId="663C97E1" w:rsidR="00BB4304" w:rsidRDefault="005B2F65" w:rsidP="0064218A">
      <w:pPr>
        <w:spacing w:line="480" w:lineRule="auto"/>
        <w:jc w:val="both"/>
        <w:rPr>
          <w:rFonts w:ascii="Times New Roman" w:hAnsi="Times New Roman" w:cs="Times New Roman"/>
          <w:sz w:val="24"/>
          <w:szCs w:val="24"/>
        </w:rPr>
      </w:pPr>
      <w:r>
        <w:rPr>
          <w:rFonts w:ascii="Times New Roman" w:hAnsi="Times New Roman" w:cs="Times New Roman"/>
          <w:sz w:val="24"/>
          <w:szCs w:val="24"/>
        </w:rPr>
        <w:t>Since there is not enough time to go through this thorough process, I built the framework alone by reviewing empirical literature, conceptual frameworks, and evaluative tools (</w:t>
      </w:r>
      <w:r w:rsidR="00000E51">
        <w:rPr>
          <w:rFonts w:ascii="Times New Roman" w:hAnsi="Times New Roman" w:cs="Times New Roman"/>
          <w:sz w:val="24"/>
          <w:szCs w:val="24"/>
        </w:rPr>
        <w:t xml:space="preserve">i.e., </w:t>
      </w:r>
      <w:r>
        <w:rPr>
          <w:rFonts w:ascii="Times New Roman" w:hAnsi="Times New Roman" w:cs="Times New Roman"/>
          <w:sz w:val="24"/>
          <w:szCs w:val="24"/>
        </w:rPr>
        <w:t xml:space="preserve">Phase one). </w:t>
      </w:r>
      <w:r w:rsidR="00F96C4E">
        <w:rPr>
          <w:rFonts w:ascii="Times New Roman" w:hAnsi="Times New Roman" w:cs="Times New Roman"/>
          <w:sz w:val="24"/>
          <w:szCs w:val="24"/>
        </w:rPr>
        <w:t xml:space="preserve">The framework would have undergone several revisions, and each would have been followed by stakeholder reviews. </w:t>
      </w:r>
      <w:r w:rsidR="0003564F">
        <w:rPr>
          <w:rFonts w:ascii="Times New Roman" w:hAnsi="Times New Roman" w:cs="Times New Roman"/>
          <w:sz w:val="24"/>
          <w:szCs w:val="24"/>
        </w:rPr>
        <w:t xml:space="preserve">This study applies or proposes the Mixed method approach where questionnaire and interview or qualitative approach </w:t>
      </w:r>
      <w:r w:rsidR="00536054">
        <w:rPr>
          <w:rFonts w:ascii="Times New Roman" w:hAnsi="Times New Roman" w:cs="Times New Roman"/>
          <w:sz w:val="24"/>
          <w:szCs w:val="24"/>
        </w:rPr>
        <w:t xml:space="preserve">(i.e., the ERIC-A tool) </w:t>
      </w:r>
      <w:r w:rsidR="0003564F">
        <w:rPr>
          <w:rFonts w:ascii="Times New Roman" w:hAnsi="Times New Roman" w:cs="Times New Roman"/>
          <w:sz w:val="24"/>
          <w:szCs w:val="24"/>
        </w:rPr>
        <w:t>could be employed to assess the contextual factors and the quantitative approach</w:t>
      </w:r>
      <w:r w:rsidR="00F73792">
        <w:rPr>
          <w:rFonts w:ascii="Times New Roman" w:hAnsi="Times New Roman" w:cs="Times New Roman"/>
          <w:sz w:val="24"/>
          <w:szCs w:val="24"/>
        </w:rPr>
        <w:t xml:space="preserve"> (i.e., the </w:t>
      </w:r>
      <w:r w:rsidR="00F95442">
        <w:rPr>
          <w:rFonts w:ascii="Times New Roman" w:hAnsi="Times New Roman" w:cs="Times New Roman"/>
          <w:sz w:val="24"/>
          <w:szCs w:val="24"/>
        </w:rPr>
        <w:t xml:space="preserve">Distributional and Extended cost-effectiveness analysis </w:t>
      </w:r>
      <w:r w:rsidR="00F73792">
        <w:rPr>
          <w:rFonts w:ascii="Times New Roman" w:hAnsi="Times New Roman" w:cs="Times New Roman"/>
          <w:sz w:val="24"/>
          <w:szCs w:val="24"/>
        </w:rPr>
        <w:t>approaches)</w:t>
      </w:r>
      <w:r w:rsidR="0003564F">
        <w:rPr>
          <w:rFonts w:ascii="Times New Roman" w:hAnsi="Times New Roman" w:cs="Times New Roman"/>
          <w:sz w:val="24"/>
          <w:szCs w:val="24"/>
        </w:rPr>
        <w:t xml:space="preserve"> is employed to measure the outcomes of population health interventions</w:t>
      </w:r>
      <w:r w:rsidR="00F73792">
        <w:rPr>
          <w:rFonts w:ascii="Times New Roman" w:hAnsi="Times New Roman" w:cs="Times New Roman"/>
          <w:sz w:val="24"/>
          <w:szCs w:val="24"/>
        </w:rPr>
        <w:t xml:space="preserve"> and their stratification by equity-relevant variables</w:t>
      </w:r>
      <w:r w:rsidR="0003564F">
        <w:rPr>
          <w:rFonts w:ascii="Times New Roman" w:hAnsi="Times New Roman" w:cs="Times New Roman"/>
          <w:sz w:val="24"/>
          <w:szCs w:val="24"/>
        </w:rPr>
        <w:t xml:space="preserve">. </w:t>
      </w:r>
    </w:p>
    <w:p w14:paraId="181C93D8" w14:textId="62C7B1FD" w:rsidR="00953BD2" w:rsidRDefault="006453C4" w:rsidP="006421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methodological framework of Distributional and Extended cost-effectiveness analysis, including </w:t>
      </w:r>
      <w:r w:rsidR="00CB3DCB">
        <w:rPr>
          <w:rFonts w:ascii="Times New Roman" w:hAnsi="Times New Roman" w:cs="Times New Roman"/>
          <w:sz w:val="24"/>
          <w:szCs w:val="24"/>
        </w:rPr>
        <w:t xml:space="preserve">the measure of </w:t>
      </w:r>
      <w:r>
        <w:rPr>
          <w:rFonts w:ascii="Times New Roman" w:hAnsi="Times New Roman" w:cs="Times New Roman"/>
          <w:sz w:val="24"/>
          <w:szCs w:val="24"/>
        </w:rPr>
        <w:t>health and non-health impact</w:t>
      </w:r>
      <w:r w:rsidRPr="007A28AF">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CB3DCB">
        <w:rPr>
          <w:rFonts w:ascii="Times New Roman" w:hAnsi="Times New Roman" w:cs="Times New Roman"/>
          <w:sz w:val="24"/>
          <w:szCs w:val="24"/>
        </w:rPr>
        <w:t>their respective</w:t>
      </w:r>
      <w:r>
        <w:rPr>
          <w:rFonts w:ascii="Times New Roman" w:hAnsi="Times New Roman" w:cs="Times New Roman"/>
          <w:sz w:val="24"/>
          <w:szCs w:val="24"/>
        </w:rPr>
        <w:t xml:space="preserve"> </w:t>
      </w:r>
      <w:r w:rsidRPr="007A28AF">
        <w:rPr>
          <w:rFonts w:ascii="Times New Roman" w:hAnsi="Times New Roman" w:cs="Times New Roman"/>
          <w:sz w:val="24"/>
          <w:szCs w:val="24"/>
        </w:rPr>
        <w:t>incremental cost-effectiveness ratio</w:t>
      </w:r>
      <w:r>
        <w:rPr>
          <w:rFonts w:ascii="Times New Roman" w:hAnsi="Times New Roman" w:cs="Times New Roman"/>
          <w:sz w:val="24"/>
          <w:szCs w:val="24"/>
        </w:rPr>
        <w:t xml:space="preserve">s, are explained somewhere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{"citationItems":[{"id":"ITEM-1","itemData":{"DOI":"10.1007/s40273-016-0414-z","ISSN":"11792027","PMID":"27374172","abstract":"Health policy instruments such as the public financing of health technologies (e.g., new drugs, vaccines) entail consequences in multiple domains. Fundamentally, public health policies aim at increasing the uptake of effective and efficient interventions and at subsequently leading to better health benefits (e.g., premature mortality and morbidity averted). In addition, public health policies can provide non-health benefits in addition to the sole well-being of populations and beyond the health sector. For instance, public policies such as social and health insurance programs can prevent illness-related impoverishment and procure financial risk protection. Furthermore, public policies can improve the distribution of health in the population and promote the equalization of health among individuals. Extended cost-effectiveness analysis was developed to address health policy assessment, specifically to evaluate the health and financial consequences of public policies in four domains: (1) the health gains; (2) the financial risk protection benefits; (3) the total costs to the policy makers; and (4) the distributional benefits. Here, we present a tutorial that describes both the intent of extended cost-effectiveness analysis and its keys to allow easy implementation for health policy assessment.","author":[{"dropping-particle":"","family":"Verguet","given":"Stéphane","non-dropping-particle":"","parse-names":false,"suffix":""},{"dropping-particle":"","family":"Kim","given":"Jane J.","non-dropping-particle":"","parse-names":false,"suffix":""},{"dropping-particle":"","family":"Jamison","given":"Dean T.","non-dropping-particle":"","parse-names":false,"suffix":""}],"container-title":"PharmacoEconomics","id":"ITEM-1","issue":"9","issued":{"date-parts":[["2016"]]},"page":"913-923","title":"Extended Cost-Effectiveness Analysis for Health Policy Assessment: A Tutorial","type":"article-journal","volume":"34"},"uris":["http://www.mendeley.com/documents/?uuid=849005b7-bc2d-4e66-89ae-3b430f69d511"]},{"id":"ITEM-2","itemData":{"DOI":"10.1177/0272989X15583266","ISSN":"1552681X","PMID":"25908564","abstract":"Distributional cost-effectiveness analysis (DCEA) is a framework for incorporating health inequality concerns into the economic evaluation of health sector interventions. In this tutorial, we describe the technical details of how to conduct DCEA, using an illustrative example comparing alternative ways of implementing the National Health Service (NHS) Bowel Cancer Screening Programme (BCSP). The 2 key stages in DCEA are 1) modeling social distributions of health associated with different interventions, and 2) evaluating social distributions of health with respect to the dual objectives of improving total population health and reducing unfair health inequality. As well as describing the technical methods used, we also identify the data requirements and the social value judgments that have to be made. Finally, we demonstrate the use of sensitivity analyses to explore the impacts of alternative modeling assumptions and social value judgments.","author":[{"dropping-particle":"","family":"Asaria","given":"Miqdad","non-dropping-particle":"","parse-names":false,"suffix":""},{"dropping-particle":"","family":"Griffin","given":"Susan","non-dropping-particle":"","parse-names":false,"suffix":""},{"dropping-particle":"","family":"Cookson","given":"Richard","non-dropping-particle":"","parse-names":false,"suffix":""}],"container-title":"Medical Decision Making","id":"ITEM-2","issue":"1","issued":{"date-parts":[["2016"]]},"page":"8-19","title":"Distributional cost-effectiveness analysis: A tutorial","type":"article-journal","volume":"36"},"uris":["http://www.mendeley.com/documents/?uuid=0b2048d3-2a68-4435-ac3d-30cd42ee41d0"]}],"mendeley":{"formattedCitation":"(Asaria et al., 2016; Verguet et al., 2016)","manualFormatting":"(Asaria et al., 2016; Verguet et al., 2016; De Neve et al., 2018)","plainTextFormattedCitation":"(Asaria et al., 2016; Verguet et al., 2016)","previouslyFormattedCitation":"(Asaria et al., 2016; Verguet et al., 2016)"},"properties":{"noteIndex":0},"schema":"https://github.com/citation-style-language/schema/raw/master/csl-citation.json"}</w:instrText>
      </w:r>
      <w:r>
        <w:rPr>
          <w:rFonts w:ascii="Times New Roman" w:hAnsi="Times New Roman" w:cs="Times New Roman"/>
          <w:sz w:val="24"/>
          <w:szCs w:val="24"/>
        </w:rPr>
        <w:fldChar w:fldCharType="separate"/>
      </w:r>
      <w:r w:rsidRPr="00F608B6">
        <w:rPr>
          <w:rFonts w:ascii="Times New Roman" w:hAnsi="Times New Roman" w:cs="Times New Roman"/>
          <w:noProof/>
          <w:sz w:val="24"/>
          <w:szCs w:val="24"/>
        </w:rPr>
        <w:t>(Asaria et al., 2016; Verguet et al., 2016</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{"citationItems":[{"id":"ITEM-1","itemData":{"ISBN":"1111111111","author":[{"dropping-particle":"","family":"Neve Jan-Walter, Rija L. Andriantavison, Kevin Croke","given":"Johannes Krisam","non-dropping-particle":"De","parse-names":false,"suffix":""},{"dropping-particle":"","family":"Voahirana H. Rajoela, Rary A. Rakotoarivony, Vale´ rie Rambeloson","given":"Linda Schultz","non-dropping-particle":"","parse-names":false,"suffix":""},{"dropping-particle":"","family":"Jumana Qamruddin","given":"Ste´phane Verguet","non-dropping-particle":"","parse-names":false,"suffix":""}],"id":"ITEM-1","issued":{"date-parts":[["2018"]]},"page":"1-17","title":"Health , financial , and education gains of investing in preventive chemotherapy for helminthiases , and lymphatic filariasis in Madagascar : A modeling study","type":"article-journal"},"uris":["http://www.mendeley.com/documents/?uuid=2fcf584d-08c6-4eee-a94a-5fab1a270eb9"]}],"mendeley":{"formattedCitation":"(De Neve Jan-Walter, Rija L. Andriantavison, Kevin Croke et al., 2018)","manualFormatting":"De Neve et al., 2018)","plainTextFormattedCitation":"(De Neve Jan-Walter, Rija L. Andriantavison, Kevin Croke et al., 2018)","previouslyFormattedCitation":"(De Neve Jan-Walter, Rija L. Andriantavison, Kevin Croke et al., 2018)"},"properties":{"noteIndex":0},"schema":"https://github.com/citation-style-language/schema/raw/master/csl-citation.json"}</w:instrText>
      </w:r>
      <w:r>
        <w:rPr>
          <w:rFonts w:ascii="Times New Roman" w:hAnsi="Times New Roman" w:cs="Times New Roman"/>
          <w:noProof/>
          <w:sz w:val="24"/>
          <w:szCs w:val="24"/>
        </w:rPr>
        <w:fldChar w:fldCharType="separate"/>
      </w:r>
      <w:r w:rsidRPr="007A4BBA">
        <w:rPr>
          <w:rFonts w:ascii="Times New Roman" w:hAnsi="Times New Roman" w:cs="Times New Roman"/>
          <w:noProof/>
          <w:sz w:val="24"/>
          <w:szCs w:val="24"/>
        </w:rPr>
        <w:t>De Neve et al.</w:t>
      </w:r>
      <w:r>
        <w:rPr>
          <w:rFonts w:ascii="Times New Roman" w:hAnsi="Times New Roman" w:cs="Times New Roman"/>
          <w:noProof/>
          <w:sz w:val="24"/>
          <w:szCs w:val="24"/>
        </w:rPr>
        <w:t xml:space="preserve">, </w:t>
      </w:r>
      <w:r w:rsidRPr="007A4BBA">
        <w:rPr>
          <w:rFonts w:ascii="Times New Roman" w:hAnsi="Times New Roman" w:cs="Times New Roman"/>
          <w:noProof/>
          <w:sz w:val="24"/>
          <w:szCs w:val="24"/>
        </w:rPr>
        <w:t>2018)</w:t>
      </w:r>
      <w:r>
        <w:rPr>
          <w:rFonts w:ascii="Times New Roman" w:hAnsi="Times New Roman" w:cs="Times New Roman"/>
          <w:noProof/>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 xml:space="preserve">. They </w:t>
      </w:r>
      <w:r w:rsidR="005151AD">
        <w:rPr>
          <w:rFonts w:ascii="Times New Roman" w:hAnsi="Times New Roman" w:cs="Times New Roman"/>
          <w:sz w:val="24"/>
          <w:szCs w:val="24"/>
        </w:rPr>
        <w:t>are</w:t>
      </w:r>
      <w:r>
        <w:rPr>
          <w:rFonts w:ascii="Times New Roman" w:hAnsi="Times New Roman" w:cs="Times New Roman"/>
          <w:sz w:val="24"/>
          <w:szCs w:val="24"/>
        </w:rPr>
        <w:t xml:space="preserve"> not explained in this paper because of time and space limit.</w:t>
      </w:r>
    </w:p>
    <w:p w14:paraId="22041D7D" w14:textId="12EC1171" w:rsidR="004E0B77" w:rsidRDefault="004E0B77" w:rsidP="0064218A">
      <w:pPr>
        <w:spacing w:line="480" w:lineRule="auto"/>
        <w:jc w:val="both"/>
        <w:rPr>
          <w:rFonts w:ascii="Times New Roman" w:hAnsi="Times New Roman" w:cs="Times New Roman"/>
          <w:sz w:val="24"/>
          <w:szCs w:val="24"/>
        </w:rPr>
      </w:pPr>
    </w:p>
    <w:p w14:paraId="0565C50A" w14:textId="2C44D1D2" w:rsidR="004E0B77" w:rsidRDefault="004E0B77" w:rsidP="0064218A">
      <w:pPr>
        <w:spacing w:line="480" w:lineRule="auto"/>
        <w:jc w:val="both"/>
        <w:rPr>
          <w:rFonts w:ascii="Times New Roman" w:hAnsi="Times New Roman" w:cs="Times New Roman"/>
          <w:sz w:val="24"/>
          <w:szCs w:val="24"/>
        </w:rPr>
      </w:pPr>
    </w:p>
    <w:p w14:paraId="6732402D" w14:textId="0DD4E4DA" w:rsidR="004E0B77" w:rsidRDefault="004E0B77" w:rsidP="0064218A">
      <w:pPr>
        <w:spacing w:line="480" w:lineRule="auto"/>
        <w:jc w:val="both"/>
        <w:rPr>
          <w:rFonts w:ascii="Times New Roman" w:hAnsi="Times New Roman" w:cs="Times New Roman"/>
          <w:sz w:val="24"/>
          <w:szCs w:val="24"/>
        </w:rPr>
      </w:pPr>
    </w:p>
    <w:p w14:paraId="3B5C4541" w14:textId="77777777" w:rsidR="004E0B77" w:rsidRPr="0064218A" w:rsidRDefault="004E0B77" w:rsidP="0064218A">
      <w:pPr>
        <w:spacing w:line="480" w:lineRule="auto"/>
        <w:jc w:val="both"/>
        <w:rPr>
          <w:rFonts w:ascii="Times New Roman" w:hAnsi="Times New Roman" w:cs="Times New Roman"/>
          <w:sz w:val="24"/>
          <w:szCs w:val="24"/>
        </w:rPr>
      </w:pPr>
    </w:p>
    <w:p w14:paraId="6C0A4311" w14:textId="2C0D5098" w:rsidR="003304B4" w:rsidRPr="003304B4" w:rsidRDefault="004B3A53" w:rsidP="003304B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08C7B96A" w14:textId="6388666B" w:rsidR="00176AE4" w:rsidRPr="00BE5845" w:rsidRDefault="0015404B" w:rsidP="00BE5845">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953BD2">
        <w:rPr>
          <w:rFonts w:ascii="Times New Roman" w:hAnsi="Times New Roman" w:cs="Times New Roman"/>
          <w:sz w:val="24"/>
          <w:szCs w:val="24"/>
        </w:rPr>
        <w:t xml:space="preserve"> Equi-PHIR</w:t>
      </w:r>
      <w:r w:rsidR="00953BD2" w:rsidRPr="00F64BC1">
        <w:rPr>
          <w:rFonts w:ascii="Times New Roman" w:hAnsi="Times New Roman" w:cs="Times New Roman"/>
          <w:sz w:val="24"/>
          <w:szCs w:val="24"/>
        </w:rPr>
        <w:t xml:space="preserve"> framework</w:t>
      </w:r>
      <w:r w:rsidR="00151949">
        <w:rPr>
          <w:rFonts w:ascii="Times New Roman" w:hAnsi="Times New Roman" w:cs="Times New Roman"/>
          <w:sz w:val="24"/>
          <w:szCs w:val="24"/>
        </w:rPr>
        <w:t xml:space="preserve"> (See Figure </w:t>
      </w:r>
      <w:r w:rsidR="006B757C">
        <w:rPr>
          <w:rFonts w:ascii="Times New Roman" w:hAnsi="Times New Roman" w:cs="Times New Roman"/>
          <w:sz w:val="24"/>
          <w:szCs w:val="24"/>
        </w:rPr>
        <w:t>2</w:t>
      </w:r>
      <w:r w:rsidR="00151949">
        <w:rPr>
          <w:rFonts w:ascii="Times New Roman" w:hAnsi="Times New Roman" w:cs="Times New Roman"/>
          <w:sz w:val="24"/>
          <w:szCs w:val="24"/>
        </w:rPr>
        <w:t xml:space="preserve"> in Appendix)</w:t>
      </w:r>
      <w:r w:rsidR="00953BD2">
        <w:rPr>
          <w:rFonts w:ascii="Times New Roman" w:hAnsi="Times New Roman" w:cs="Times New Roman"/>
          <w:sz w:val="24"/>
          <w:szCs w:val="24"/>
        </w:rPr>
        <w:t xml:space="preserve"> is established</w:t>
      </w:r>
      <w:r>
        <w:rPr>
          <w:rFonts w:ascii="Times New Roman" w:hAnsi="Times New Roman" w:cs="Times New Roman"/>
          <w:sz w:val="24"/>
          <w:szCs w:val="24"/>
        </w:rPr>
        <w:t xml:space="preserve"> based on the literature review</w:t>
      </w:r>
      <w:r w:rsidR="00953BD2">
        <w:rPr>
          <w:rFonts w:ascii="Times New Roman" w:hAnsi="Times New Roman" w:cs="Times New Roman"/>
          <w:sz w:val="24"/>
          <w:szCs w:val="24"/>
        </w:rPr>
        <w:t xml:space="preserve">. </w:t>
      </w:r>
      <w:r w:rsidR="003304B4" w:rsidRPr="00F64BC1">
        <w:rPr>
          <w:rFonts w:ascii="Times New Roman" w:hAnsi="Times New Roman" w:cs="Times New Roman"/>
          <w:sz w:val="24"/>
          <w:szCs w:val="24"/>
        </w:rPr>
        <w:t>Th</w:t>
      </w:r>
      <w:r w:rsidR="003304B4">
        <w:rPr>
          <w:rFonts w:ascii="Times New Roman" w:hAnsi="Times New Roman" w:cs="Times New Roman"/>
          <w:sz w:val="24"/>
          <w:szCs w:val="24"/>
        </w:rPr>
        <w:t>e Equi-PHIR</w:t>
      </w:r>
      <w:r w:rsidR="003304B4" w:rsidRPr="00F64BC1">
        <w:rPr>
          <w:rFonts w:ascii="Times New Roman" w:hAnsi="Times New Roman" w:cs="Times New Roman"/>
          <w:sz w:val="24"/>
          <w:szCs w:val="24"/>
        </w:rPr>
        <w:t xml:space="preserve"> framework</w:t>
      </w:r>
      <w:r w:rsidR="00636E2D">
        <w:rPr>
          <w:rFonts w:ascii="Times New Roman" w:hAnsi="Times New Roman" w:cs="Times New Roman"/>
          <w:sz w:val="24"/>
          <w:szCs w:val="24"/>
        </w:rPr>
        <w:t xml:space="preserve"> builds on approaches from </w:t>
      </w:r>
      <w:r w:rsidR="002B17E3">
        <w:rPr>
          <w:rFonts w:ascii="Times New Roman" w:hAnsi="Times New Roman" w:cs="Times New Roman"/>
          <w:sz w:val="24"/>
          <w:szCs w:val="24"/>
        </w:rPr>
        <w:t>population/</w:t>
      </w:r>
      <w:r w:rsidR="00636E2D">
        <w:rPr>
          <w:rFonts w:ascii="Times New Roman" w:hAnsi="Times New Roman" w:cs="Times New Roman"/>
          <w:sz w:val="24"/>
          <w:szCs w:val="24"/>
        </w:rPr>
        <w:t>public health, and social science</w:t>
      </w:r>
      <w:r w:rsidR="003304B4" w:rsidRPr="00F64BC1">
        <w:rPr>
          <w:rFonts w:ascii="Times New Roman" w:hAnsi="Times New Roman" w:cs="Times New Roman"/>
          <w:sz w:val="24"/>
          <w:szCs w:val="24"/>
        </w:rPr>
        <w:t xml:space="preserve"> to </w:t>
      </w:r>
      <w:r w:rsidR="00636E2D">
        <w:rPr>
          <w:rFonts w:ascii="Times New Roman" w:hAnsi="Times New Roman" w:cs="Times New Roman"/>
          <w:sz w:val="24"/>
          <w:szCs w:val="24"/>
        </w:rPr>
        <w:t>demonstrate</w:t>
      </w:r>
      <w:r w:rsidR="003304B4" w:rsidRPr="00F64BC1">
        <w:rPr>
          <w:rFonts w:ascii="Times New Roman" w:hAnsi="Times New Roman" w:cs="Times New Roman"/>
          <w:sz w:val="24"/>
          <w:szCs w:val="24"/>
        </w:rPr>
        <w:t xml:space="preserve"> the application of an equity-lens to </w:t>
      </w:r>
      <w:r w:rsidR="003304B4">
        <w:rPr>
          <w:rFonts w:ascii="Times New Roman" w:hAnsi="Times New Roman" w:cs="Times New Roman"/>
          <w:sz w:val="24"/>
          <w:szCs w:val="24"/>
        </w:rPr>
        <w:t>PHIR</w:t>
      </w:r>
      <w:r w:rsidR="003304B4" w:rsidRPr="00F64BC1">
        <w:rPr>
          <w:rFonts w:ascii="Times New Roman" w:hAnsi="Times New Roman" w:cs="Times New Roman"/>
          <w:sz w:val="24"/>
          <w:szCs w:val="24"/>
        </w:rPr>
        <w:t xml:space="preserve"> proposals, </w:t>
      </w:r>
      <w:r w:rsidR="00DE3B00">
        <w:rPr>
          <w:rFonts w:ascii="Times New Roman" w:hAnsi="Times New Roman" w:cs="Times New Roman"/>
          <w:sz w:val="24"/>
          <w:szCs w:val="24"/>
        </w:rPr>
        <w:t xml:space="preserve">to provide a guide for the evaluation of PHIR </w:t>
      </w:r>
      <w:r w:rsidR="003304B4" w:rsidRPr="00F64BC1">
        <w:rPr>
          <w:rFonts w:ascii="Times New Roman" w:hAnsi="Times New Roman" w:cs="Times New Roman"/>
          <w:sz w:val="24"/>
          <w:szCs w:val="24"/>
        </w:rPr>
        <w:t>and to facilitate</w:t>
      </w:r>
      <w:r w:rsidR="00DE3B00">
        <w:rPr>
          <w:rFonts w:ascii="Times New Roman" w:hAnsi="Times New Roman" w:cs="Times New Roman"/>
          <w:sz w:val="24"/>
          <w:szCs w:val="24"/>
        </w:rPr>
        <w:t xml:space="preserve"> and ensure the successful</w:t>
      </w:r>
      <w:r w:rsidR="003304B4" w:rsidRPr="00F64BC1">
        <w:rPr>
          <w:rFonts w:ascii="Times New Roman" w:hAnsi="Times New Roman" w:cs="Times New Roman"/>
          <w:sz w:val="24"/>
          <w:szCs w:val="24"/>
        </w:rPr>
        <w:t xml:space="preserve"> </w:t>
      </w:r>
      <w:r w:rsidR="003304B4">
        <w:rPr>
          <w:rFonts w:ascii="Times New Roman" w:hAnsi="Times New Roman" w:cs="Times New Roman"/>
          <w:sz w:val="24"/>
          <w:szCs w:val="24"/>
        </w:rPr>
        <w:t xml:space="preserve">formulation and </w:t>
      </w:r>
      <w:r w:rsidR="003304B4" w:rsidRPr="00F64BC1">
        <w:rPr>
          <w:rFonts w:ascii="Times New Roman" w:hAnsi="Times New Roman" w:cs="Times New Roman"/>
          <w:sz w:val="24"/>
          <w:szCs w:val="24"/>
        </w:rPr>
        <w:t>implementation of health interventions</w:t>
      </w:r>
      <w:r w:rsidR="003304B4">
        <w:rPr>
          <w:rFonts w:ascii="Times New Roman" w:hAnsi="Times New Roman" w:cs="Times New Roman"/>
          <w:sz w:val="24"/>
          <w:szCs w:val="24"/>
        </w:rPr>
        <w:t>, strategies, policies,</w:t>
      </w:r>
      <w:r w:rsidR="003304B4" w:rsidRPr="00F64BC1">
        <w:rPr>
          <w:rFonts w:ascii="Times New Roman" w:hAnsi="Times New Roman" w:cs="Times New Roman"/>
          <w:sz w:val="24"/>
          <w:szCs w:val="24"/>
        </w:rPr>
        <w:t xml:space="preserve"> and programs.</w:t>
      </w:r>
      <w:r w:rsidR="00636E2D">
        <w:rPr>
          <w:rFonts w:ascii="Times New Roman" w:hAnsi="Times New Roman" w:cs="Times New Roman"/>
          <w:sz w:val="24"/>
          <w:szCs w:val="24"/>
        </w:rPr>
        <w:t xml:space="preserve"> It also highlights the relevance o</w:t>
      </w:r>
      <w:r w:rsidR="006E0FAC">
        <w:rPr>
          <w:rFonts w:ascii="Times New Roman" w:hAnsi="Times New Roman" w:cs="Times New Roman"/>
          <w:sz w:val="24"/>
          <w:szCs w:val="24"/>
        </w:rPr>
        <w:t>f</w:t>
      </w:r>
      <w:r w:rsidR="00636E2D">
        <w:rPr>
          <w:rFonts w:ascii="Times New Roman" w:hAnsi="Times New Roman" w:cs="Times New Roman"/>
          <w:sz w:val="24"/>
          <w:szCs w:val="24"/>
        </w:rPr>
        <w:t xml:space="preserve"> contextual factors in the success</w:t>
      </w:r>
      <w:r w:rsidR="006109D9">
        <w:rPr>
          <w:rFonts w:ascii="Times New Roman" w:hAnsi="Times New Roman" w:cs="Times New Roman"/>
          <w:sz w:val="24"/>
          <w:szCs w:val="24"/>
        </w:rPr>
        <w:t>ful implementation</w:t>
      </w:r>
      <w:r w:rsidR="00636E2D">
        <w:rPr>
          <w:rFonts w:ascii="Times New Roman" w:hAnsi="Times New Roman" w:cs="Times New Roman"/>
          <w:sz w:val="24"/>
          <w:szCs w:val="24"/>
        </w:rPr>
        <w:t xml:space="preserve"> of population interventions.</w:t>
      </w:r>
      <w:r w:rsidR="006C1D78">
        <w:rPr>
          <w:rFonts w:ascii="Times New Roman" w:hAnsi="Times New Roman" w:cs="Times New Roman"/>
          <w:sz w:val="24"/>
          <w:szCs w:val="24"/>
        </w:rPr>
        <w:t xml:space="preserve"> The visual design</w:t>
      </w:r>
      <w:r w:rsidR="00F464DD">
        <w:rPr>
          <w:rFonts w:ascii="Times New Roman" w:hAnsi="Times New Roman" w:cs="Times New Roman"/>
          <w:sz w:val="24"/>
          <w:szCs w:val="24"/>
        </w:rPr>
        <w:t xml:space="preserve"> </w:t>
      </w:r>
      <w:r w:rsidR="00F464DD">
        <w:rPr>
          <w:rFonts w:ascii="Times New Roman" w:hAnsi="Times New Roman" w:cs="Times New Roman"/>
          <w:sz w:val="24"/>
          <w:szCs w:val="24"/>
        </w:rPr>
        <w:t>(See Figure 2 in Appendix)</w:t>
      </w:r>
      <w:r w:rsidR="006C1D78">
        <w:rPr>
          <w:rFonts w:ascii="Times New Roman" w:hAnsi="Times New Roman" w:cs="Times New Roman"/>
          <w:sz w:val="24"/>
          <w:szCs w:val="24"/>
        </w:rPr>
        <w:t xml:space="preserve"> is simple and representative of a comprehensive</w:t>
      </w:r>
      <w:r w:rsidR="000E360B">
        <w:rPr>
          <w:rFonts w:ascii="Times New Roman" w:hAnsi="Times New Roman" w:cs="Times New Roman"/>
          <w:sz w:val="24"/>
          <w:szCs w:val="24"/>
        </w:rPr>
        <w:t xml:space="preserve"> and holistic</w:t>
      </w:r>
      <w:r w:rsidR="006C1D78">
        <w:rPr>
          <w:rFonts w:ascii="Times New Roman" w:hAnsi="Times New Roman" w:cs="Times New Roman"/>
          <w:sz w:val="24"/>
          <w:szCs w:val="24"/>
        </w:rPr>
        <w:t xml:space="preserve"> view</w:t>
      </w:r>
      <w:r w:rsidR="000E360B">
        <w:rPr>
          <w:rFonts w:ascii="Times New Roman" w:hAnsi="Times New Roman" w:cs="Times New Roman"/>
          <w:sz w:val="24"/>
          <w:szCs w:val="24"/>
        </w:rPr>
        <w:t xml:space="preserve"> of the formulation</w:t>
      </w:r>
      <w:r w:rsidR="00F464DD">
        <w:rPr>
          <w:rFonts w:ascii="Times New Roman" w:hAnsi="Times New Roman" w:cs="Times New Roman"/>
          <w:sz w:val="24"/>
          <w:szCs w:val="24"/>
        </w:rPr>
        <w:t>,</w:t>
      </w:r>
      <w:r w:rsidR="000E360B">
        <w:rPr>
          <w:rFonts w:ascii="Times New Roman" w:hAnsi="Times New Roman" w:cs="Times New Roman"/>
          <w:sz w:val="24"/>
          <w:szCs w:val="24"/>
        </w:rPr>
        <w:t xml:space="preserve"> </w:t>
      </w:r>
      <w:r w:rsidR="00FF79C3">
        <w:rPr>
          <w:rFonts w:ascii="Times New Roman" w:hAnsi="Times New Roman" w:cs="Times New Roman"/>
          <w:sz w:val="24"/>
          <w:szCs w:val="24"/>
        </w:rPr>
        <w:t>implementation,</w:t>
      </w:r>
      <w:r w:rsidR="00F464DD">
        <w:rPr>
          <w:rFonts w:ascii="Times New Roman" w:hAnsi="Times New Roman" w:cs="Times New Roman"/>
          <w:sz w:val="24"/>
          <w:szCs w:val="24"/>
        </w:rPr>
        <w:t xml:space="preserve"> and evaluation</w:t>
      </w:r>
      <w:r w:rsidR="000E360B">
        <w:rPr>
          <w:rFonts w:ascii="Times New Roman" w:hAnsi="Times New Roman" w:cs="Times New Roman"/>
          <w:sz w:val="24"/>
          <w:szCs w:val="24"/>
        </w:rPr>
        <w:t xml:space="preserve"> of population health interventions.</w:t>
      </w:r>
      <w:r w:rsidR="00A11D02">
        <w:rPr>
          <w:rFonts w:ascii="Times New Roman" w:hAnsi="Times New Roman" w:cs="Times New Roman"/>
          <w:sz w:val="24"/>
          <w:szCs w:val="24"/>
        </w:rPr>
        <w:t xml:space="preserve"> </w:t>
      </w:r>
      <w:r w:rsidR="00176AE4" w:rsidRPr="00BE5845">
        <w:rPr>
          <w:rFonts w:ascii="Times New Roman" w:hAnsi="Times New Roman" w:cs="Times New Roman"/>
          <w:sz w:val="24"/>
          <w:szCs w:val="24"/>
        </w:rPr>
        <w:t>The study employs the Realist approaches to evaluation</w:t>
      </w:r>
      <w:r w:rsidR="00402BB8">
        <w:rPr>
          <w:rFonts w:ascii="Times New Roman" w:hAnsi="Times New Roman" w:cs="Times New Roman"/>
          <w:sz w:val="24"/>
          <w:szCs w:val="24"/>
        </w:rPr>
        <w:t>,</w:t>
      </w:r>
      <w:r w:rsidR="008509FF">
        <w:rPr>
          <w:rFonts w:ascii="Times New Roman" w:hAnsi="Times New Roman" w:cs="Times New Roman"/>
          <w:sz w:val="24"/>
          <w:szCs w:val="24"/>
        </w:rPr>
        <w:t xml:space="preserve"> where</w:t>
      </w:r>
      <w:r w:rsidR="00176AE4" w:rsidRPr="00BE5845">
        <w:rPr>
          <w:rFonts w:ascii="Times New Roman" w:hAnsi="Times New Roman" w:cs="Times New Roman"/>
          <w:sz w:val="24"/>
          <w:szCs w:val="24"/>
        </w:rPr>
        <w:t xml:space="preserve"> interventions are thought to attain impact through context-mechanism-outcome (CMO) configurations. Thus, as stated in </w:t>
      </w:r>
      <w:r w:rsidR="00176AE4" w:rsidRPr="00BE5845">
        <w:rPr>
          <w:rFonts w:ascii="Times New Roman" w:hAnsi="Times New Roman" w:cs="Times New Roman"/>
          <w:sz w:val="24"/>
          <w:szCs w:val="24"/>
        </w:rPr>
        <w:fldChar w:fldCharType="begin" w:fldLock="1"/>
      </w:r>
      <w:r w:rsidR="00176AE4" w:rsidRPr="00BE5845">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00176AE4" w:rsidRPr="00BE5845">
        <w:rPr>
          <w:rFonts w:ascii="Times New Roman" w:hAnsi="Times New Roman" w:cs="Times New Roman"/>
          <w:sz w:val="24"/>
          <w:szCs w:val="24"/>
        </w:rPr>
        <w:fldChar w:fldCharType="separate"/>
      </w:r>
      <w:r w:rsidR="00176AE4" w:rsidRPr="00BE5845">
        <w:rPr>
          <w:rFonts w:ascii="Times New Roman" w:hAnsi="Times New Roman" w:cs="Times New Roman"/>
          <w:noProof/>
          <w:sz w:val="24"/>
          <w:szCs w:val="24"/>
        </w:rPr>
        <w:t>Craig et al. (2018)</w:t>
      </w:r>
      <w:r w:rsidR="00176AE4" w:rsidRPr="00BE5845">
        <w:rPr>
          <w:rFonts w:ascii="Times New Roman" w:hAnsi="Times New Roman" w:cs="Times New Roman"/>
          <w:sz w:val="24"/>
          <w:szCs w:val="24"/>
        </w:rPr>
        <w:fldChar w:fldCharType="end"/>
      </w:r>
      <w:r w:rsidR="00176AE4" w:rsidRPr="00BE5845">
        <w:rPr>
          <w:rFonts w:ascii="Times New Roman" w:hAnsi="Times New Roman" w:cs="Times New Roman"/>
          <w:sz w:val="24"/>
          <w:szCs w:val="24"/>
        </w:rPr>
        <w:t>, ‘it is not programs that make things change, it is people, embedded in their context who, when exposed to programs, do something to activate given mechanisms, and change.’</w:t>
      </w:r>
    </w:p>
    <w:p w14:paraId="6CD95614" w14:textId="5CDA9127" w:rsidR="005A0969" w:rsidRPr="004B3A53" w:rsidRDefault="005A0969" w:rsidP="00F632B7">
      <w:pPr>
        <w:spacing w:line="480" w:lineRule="auto"/>
        <w:jc w:val="both"/>
        <w:rPr>
          <w:rFonts w:ascii="Times New Roman" w:hAnsi="Times New Roman" w:cs="Times New Roman"/>
          <w:b/>
          <w:bCs/>
          <w:sz w:val="24"/>
          <w:szCs w:val="24"/>
        </w:rPr>
      </w:pPr>
      <w:r w:rsidRPr="004B3A53">
        <w:rPr>
          <w:rFonts w:ascii="Times New Roman" w:hAnsi="Times New Roman" w:cs="Times New Roman"/>
          <w:b/>
          <w:bCs/>
          <w:sz w:val="24"/>
          <w:szCs w:val="24"/>
        </w:rPr>
        <w:t>Context</w:t>
      </w:r>
    </w:p>
    <w:p w14:paraId="036B627A" w14:textId="5410012E" w:rsidR="003863CB" w:rsidRDefault="00C25A48"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Population</w:t>
      </w:r>
      <w:r w:rsidR="0020235B" w:rsidRPr="007A28AF">
        <w:rPr>
          <w:rFonts w:ascii="Times New Roman" w:hAnsi="Times New Roman" w:cs="Times New Roman"/>
          <w:sz w:val="24"/>
          <w:szCs w:val="24"/>
        </w:rPr>
        <w:t xml:space="preserve"> health interventions </w:t>
      </w:r>
      <w:r w:rsidR="0047152C" w:rsidRPr="007A28AF">
        <w:rPr>
          <w:rFonts w:ascii="Times New Roman" w:hAnsi="Times New Roman" w:cs="Times New Roman"/>
          <w:sz w:val="24"/>
          <w:szCs w:val="24"/>
        </w:rPr>
        <w:t>are sensitive to context</w:t>
      </w:r>
      <w:r w:rsidR="007E44D3" w:rsidRPr="007A28AF">
        <w:rPr>
          <w:rFonts w:ascii="Times New Roman" w:hAnsi="Times New Roman" w:cs="Times New Roman"/>
          <w:sz w:val="24"/>
          <w:szCs w:val="24"/>
        </w:rPr>
        <w:t xml:space="preserve"> as they may either serve as facilitators or barriers to </w:t>
      </w:r>
      <w:r w:rsidR="004B3F4F" w:rsidRPr="007A28AF">
        <w:rPr>
          <w:rFonts w:ascii="Times New Roman" w:hAnsi="Times New Roman" w:cs="Times New Roman"/>
          <w:sz w:val="24"/>
          <w:szCs w:val="24"/>
        </w:rPr>
        <w:t>the</w:t>
      </w:r>
      <w:r w:rsidR="007E44D3" w:rsidRPr="007A28AF">
        <w:rPr>
          <w:rFonts w:ascii="Times New Roman" w:hAnsi="Times New Roman" w:cs="Times New Roman"/>
          <w:sz w:val="24"/>
          <w:szCs w:val="24"/>
        </w:rPr>
        <w:t xml:space="preserve"> implementation</w:t>
      </w:r>
      <w:r w:rsidR="004B3F4F" w:rsidRPr="007A28AF">
        <w:rPr>
          <w:rFonts w:ascii="Times New Roman" w:hAnsi="Times New Roman" w:cs="Times New Roman"/>
          <w:sz w:val="24"/>
          <w:szCs w:val="24"/>
        </w:rPr>
        <w:t xml:space="preserve"> </w:t>
      </w:r>
      <w:r w:rsidR="00211ADA">
        <w:rPr>
          <w:rFonts w:ascii="Times New Roman" w:hAnsi="Times New Roman" w:cs="Times New Roman"/>
          <w:sz w:val="24"/>
          <w:szCs w:val="24"/>
        </w:rPr>
        <w:t>processes</w:t>
      </w:r>
      <w:r w:rsidR="0047152C" w:rsidRPr="007A28AF">
        <w:rPr>
          <w:rFonts w:ascii="Times New Roman" w:hAnsi="Times New Roman" w:cs="Times New Roman"/>
          <w:sz w:val="24"/>
          <w:szCs w:val="24"/>
        </w:rPr>
        <w:t xml:space="preserve">. A context is </w:t>
      </w:r>
      <w:r w:rsidR="00381039" w:rsidRPr="007A28AF">
        <w:rPr>
          <w:rFonts w:ascii="Times New Roman" w:hAnsi="Times New Roman" w:cs="Times New Roman"/>
          <w:sz w:val="24"/>
          <w:szCs w:val="24"/>
        </w:rPr>
        <w:t xml:space="preserve">any </w:t>
      </w:r>
      <w:r w:rsidR="00662D44" w:rsidRPr="007A28AF">
        <w:rPr>
          <w:rFonts w:ascii="Times New Roman" w:hAnsi="Times New Roman" w:cs="Times New Roman"/>
          <w:sz w:val="24"/>
          <w:szCs w:val="24"/>
        </w:rPr>
        <w:t xml:space="preserve">set of </w:t>
      </w:r>
      <w:r w:rsidR="00381039" w:rsidRPr="007A28AF">
        <w:rPr>
          <w:rFonts w:ascii="Times New Roman" w:hAnsi="Times New Roman" w:cs="Times New Roman"/>
          <w:sz w:val="24"/>
          <w:szCs w:val="24"/>
        </w:rPr>
        <w:t>feature</w:t>
      </w:r>
      <w:r w:rsidR="00662D44" w:rsidRPr="007A28AF">
        <w:rPr>
          <w:rFonts w:ascii="Times New Roman" w:hAnsi="Times New Roman" w:cs="Times New Roman"/>
          <w:sz w:val="24"/>
          <w:szCs w:val="24"/>
        </w:rPr>
        <w:t>s and</w:t>
      </w:r>
      <w:r w:rsidR="0047152C" w:rsidRPr="007A28AF">
        <w:rPr>
          <w:rFonts w:ascii="Times New Roman" w:hAnsi="Times New Roman" w:cs="Times New Roman"/>
          <w:sz w:val="24"/>
          <w:szCs w:val="24"/>
        </w:rPr>
        <w:t xml:space="preserve"> circumstances</w:t>
      </w:r>
      <w:r w:rsidR="00662D44" w:rsidRPr="007A28AF">
        <w:rPr>
          <w:rFonts w:ascii="Times New Roman" w:hAnsi="Times New Roman" w:cs="Times New Roman"/>
          <w:sz w:val="24"/>
          <w:szCs w:val="24"/>
        </w:rPr>
        <w:t xml:space="preserve"> that consist of active and unique factors</w:t>
      </w:r>
      <w:r w:rsidR="0047152C" w:rsidRPr="007A28AF">
        <w:rPr>
          <w:rFonts w:ascii="Times New Roman" w:hAnsi="Times New Roman" w:cs="Times New Roman"/>
          <w:sz w:val="24"/>
          <w:szCs w:val="24"/>
        </w:rPr>
        <w:t xml:space="preserve"> </w:t>
      </w:r>
      <w:r w:rsidR="00662D44" w:rsidRPr="007A28AF">
        <w:rPr>
          <w:rFonts w:ascii="Times New Roman" w:hAnsi="Times New Roman" w:cs="Times New Roman"/>
          <w:sz w:val="24"/>
          <w:szCs w:val="24"/>
        </w:rPr>
        <w:t>with</w:t>
      </w:r>
      <w:r w:rsidR="0047152C" w:rsidRPr="007A28AF">
        <w:rPr>
          <w:rFonts w:ascii="Times New Roman" w:hAnsi="Times New Roman" w:cs="Times New Roman"/>
          <w:sz w:val="24"/>
          <w:szCs w:val="24"/>
        </w:rPr>
        <w:t>in which an intervention</w:t>
      </w:r>
      <w:r w:rsidR="00381039" w:rsidRPr="007A28AF">
        <w:rPr>
          <w:rFonts w:ascii="Times New Roman" w:hAnsi="Times New Roman" w:cs="Times New Roman"/>
          <w:sz w:val="24"/>
          <w:szCs w:val="24"/>
        </w:rPr>
        <w:t xml:space="preserve"> takes place that</w:t>
      </w:r>
      <w:r w:rsidR="0047152C" w:rsidRPr="007A28AF">
        <w:rPr>
          <w:rFonts w:ascii="Times New Roman" w:hAnsi="Times New Roman" w:cs="Times New Roman"/>
          <w:sz w:val="24"/>
          <w:szCs w:val="24"/>
        </w:rPr>
        <w:t xml:space="preserve"> is </w:t>
      </w:r>
      <w:r w:rsidR="00381039" w:rsidRPr="007A28AF">
        <w:rPr>
          <w:rFonts w:ascii="Times New Roman" w:hAnsi="Times New Roman" w:cs="Times New Roman"/>
          <w:sz w:val="24"/>
          <w:szCs w:val="24"/>
        </w:rPr>
        <w:t xml:space="preserve">relevant to understanding how it is </w:t>
      </w:r>
      <w:r w:rsidR="006E3082" w:rsidRPr="007A28AF">
        <w:rPr>
          <w:rFonts w:ascii="Times New Roman" w:hAnsi="Times New Roman" w:cs="Times New Roman"/>
          <w:sz w:val="24"/>
          <w:szCs w:val="24"/>
        </w:rPr>
        <w:t>implemented,</w:t>
      </w:r>
      <w:r w:rsidR="0047152C" w:rsidRPr="007A28AF">
        <w:rPr>
          <w:rFonts w:ascii="Times New Roman" w:hAnsi="Times New Roman" w:cs="Times New Roman"/>
          <w:sz w:val="24"/>
          <w:szCs w:val="24"/>
        </w:rPr>
        <w:t xml:space="preserve"> </w:t>
      </w:r>
      <w:r w:rsidR="00381039" w:rsidRPr="007A28AF">
        <w:rPr>
          <w:rFonts w:ascii="Times New Roman" w:hAnsi="Times New Roman" w:cs="Times New Roman"/>
          <w:sz w:val="24"/>
          <w:szCs w:val="24"/>
        </w:rPr>
        <w:t>how it effects change or how it is responded to or engaged with</w:t>
      </w:r>
      <w:r w:rsidR="0025366E" w:rsidRPr="007A28AF">
        <w:rPr>
          <w:rFonts w:ascii="Times New Roman" w:hAnsi="Times New Roman" w:cs="Times New Roman"/>
          <w:sz w:val="24"/>
          <w:szCs w:val="24"/>
        </w:rPr>
        <w:t xml:space="preserve"> (</w:t>
      </w:r>
      <w:r w:rsidR="0025366E" w:rsidRPr="007A28AF">
        <w:rPr>
          <w:rFonts w:ascii="Times New Roman" w:hAnsi="Times New Roman" w:cs="Times New Roman"/>
          <w:sz w:val="24"/>
          <w:szCs w:val="24"/>
        </w:rPr>
        <w:fldChar w:fldCharType="begin" w:fldLock="1"/>
      </w:r>
      <w:r w:rsidR="0025366E" w:rsidRPr="007A28AF">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0025366E" w:rsidRPr="007A28AF">
        <w:rPr>
          <w:rFonts w:ascii="Times New Roman" w:hAnsi="Times New Roman" w:cs="Times New Roman"/>
          <w:sz w:val="24"/>
          <w:szCs w:val="24"/>
        </w:rPr>
        <w:fldChar w:fldCharType="separate"/>
      </w:r>
      <w:r w:rsidR="0025366E" w:rsidRPr="007A28AF">
        <w:rPr>
          <w:rFonts w:ascii="Times New Roman" w:hAnsi="Times New Roman" w:cs="Times New Roman"/>
          <w:noProof/>
          <w:sz w:val="24"/>
          <w:szCs w:val="24"/>
        </w:rPr>
        <w:t>Craig et al., 2018)</w:t>
      </w:r>
      <w:r w:rsidR="0025366E" w:rsidRPr="007A28AF">
        <w:rPr>
          <w:rFonts w:ascii="Times New Roman" w:hAnsi="Times New Roman" w:cs="Times New Roman"/>
          <w:sz w:val="24"/>
          <w:szCs w:val="24"/>
        </w:rPr>
        <w:fldChar w:fldCharType="end"/>
      </w:r>
      <w:r w:rsidR="0025366E" w:rsidRPr="007A28AF">
        <w:rPr>
          <w:rFonts w:ascii="Times New Roman" w:hAnsi="Times New Roman" w:cs="Times New Roman"/>
          <w:sz w:val="24"/>
          <w:szCs w:val="24"/>
        </w:rPr>
        <w:t xml:space="preserve">. </w:t>
      </w:r>
      <w:r w:rsidR="00A53B4C" w:rsidRPr="007A28AF">
        <w:rPr>
          <w:rFonts w:ascii="Times New Roman" w:hAnsi="Times New Roman" w:cs="Times New Roman"/>
          <w:sz w:val="24"/>
          <w:szCs w:val="24"/>
        </w:rPr>
        <w:t>A complete c</w:t>
      </w:r>
      <w:r w:rsidR="0047152C" w:rsidRPr="007A28AF">
        <w:rPr>
          <w:rFonts w:ascii="Times New Roman" w:hAnsi="Times New Roman" w:cs="Times New Roman"/>
          <w:sz w:val="24"/>
          <w:szCs w:val="24"/>
        </w:rPr>
        <w:t>omprehension of the association between interventions and contexts</w:t>
      </w:r>
      <w:r w:rsidR="007728F1">
        <w:rPr>
          <w:rStyle w:val="FootnoteReference"/>
          <w:rFonts w:ascii="Times New Roman" w:hAnsi="Times New Roman" w:cs="Times New Roman"/>
          <w:sz w:val="24"/>
          <w:szCs w:val="24"/>
        </w:rPr>
        <w:footnoteReference w:id="2"/>
      </w:r>
      <w:r w:rsidR="001769F0">
        <w:rPr>
          <w:rFonts w:ascii="Times New Roman" w:hAnsi="Times New Roman" w:cs="Times New Roman"/>
          <w:sz w:val="24"/>
          <w:szCs w:val="24"/>
        </w:rPr>
        <w:t xml:space="preserve"> </w:t>
      </w:r>
      <w:r w:rsidR="001769F0" w:rsidRPr="007A28AF">
        <w:rPr>
          <w:rFonts w:ascii="Times New Roman" w:hAnsi="Times New Roman" w:cs="Times New Roman"/>
          <w:sz w:val="24"/>
          <w:szCs w:val="24"/>
        </w:rPr>
        <w:t>is crucial in understanding implementation success and failure, how interventions achieve impact, why such impacts vary by equity relevant variables (</w:t>
      </w:r>
      <w:r w:rsidR="00FF79C3">
        <w:rPr>
          <w:rFonts w:ascii="Times New Roman" w:hAnsi="Times New Roman" w:cs="Times New Roman"/>
          <w:sz w:val="24"/>
          <w:szCs w:val="24"/>
        </w:rPr>
        <w:t xml:space="preserve">i.e., </w:t>
      </w:r>
      <w:r w:rsidR="001769F0" w:rsidRPr="007A28AF">
        <w:rPr>
          <w:rFonts w:ascii="Times New Roman" w:hAnsi="Times New Roman" w:cs="Times New Roman"/>
          <w:sz w:val="24"/>
          <w:szCs w:val="24"/>
        </w:rPr>
        <w:t xml:space="preserve">sex, region, income </w:t>
      </w:r>
      <w:r w:rsidR="001769F0" w:rsidRPr="007A28AF">
        <w:rPr>
          <w:rFonts w:ascii="Times New Roman" w:hAnsi="Times New Roman" w:cs="Times New Roman"/>
          <w:sz w:val="24"/>
          <w:szCs w:val="24"/>
        </w:rPr>
        <w:lastRenderedPageBreak/>
        <w:t>quintile) and whether interventions can be sustained or successfully replicated or generalized or transferred from one context to another (</w:t>
      </w:r>
      <w:r w:rsidR="001769F0" w:rsidRPr="007A28AF">
        <w:rPr>
          <w:rFonts w:ascii="Times New Roman" w:hAnsi="Times New Roman" w:cs="Times New Roman"/>
          <w:sz w:val="24"/>
          <w:szCs w:val="24"/>
        </w:rPr>
        <w:fldChar w:fldCharType="begin" w:fldLock="1"/>
      </w:r>
      <w:r w:rsidR="001769F0" w:rsidRPr="007A28AF">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001769F0" w:rsidRPr="007A28AF">
        <w:rPr>
          <w:rFonts w:ascii="Times New Roman" w:hAnsi="Times New Roman" w:cs="Times New Roman"/>
          <w:sz w:val="24"/>
          <w:szCs w:val="24"/>
        </w:rPr>
        <w:fldChar w:fldCharType="separate"/>
      </w:r>
      <w:r w:rsidR="001769F0" w:rsidRPr="007A28AF">
        <w:rPr>
          <w:rFonts w:ascii="Times New Roman" w:hAnsi="Times New Roman" w:cs="Times New Roman"/>
          <w:noProof/>
          <w:sz w:val="24"/>
          <w:szCs w:val="24"/>
        </w:rPr>
        <w:t>Craig et al., 2018)</w:t>
      </w:r>
      <w:r w:rsidR="001769F0" w:rsidRPr="007A28AF">
        <w:rPr>
          <w:rFonts w:ascii="Times New Roman" w:hAnsi="Times New Roman" w:cs="Times New Roman"/>
          <w:sz w:val="24"/>
          <w:szCs w:val="24"/>
        </w:rPr>
        <w:fldChar w:fldCharType="end"/>
      </w:r>
      <w:r w:rsidR="001769F0">
        <w:rPr>
          <w:rFonts w:ascii="Times New Roman" w:hAnsi="Times New Roman" w:cs="Times New Roman"/>
          <w:sz w:val="24"/>
          <w:szCs w:val="24"/>
        </w:rPr>
        <w:t>.</w:t>
      </w:r>
      <w:r w:rsidR="005C67F0">
        <w:rPr>
          <w:rFonts w:ascii="Times New Roman" w:hAnsi="Times New Roman" w:cs="Times New Roman"/>
          <w:sz w:val="24"/>
          <w:szCs w:val="24"/>
        </w:rPr>
        <w:t xml:space="preserve"> </w:t>
      </w:r>
      <w:r w:rsidR="00504413">
        <w:rPr>
          <w:rFonts w:ascii="Times New Roman" w:hAnsi="Times New Roman" w:cs="Times New Roman"/>
          <w:sz w:val="24"/>
          <w:szCs w:val="24"/>
        </w:rPr>
        <w:t>Myriad studies have employed</w:t>
      </w:r>
      <w:r w:rsidR="00C658D1">
        <w:rPr>
          <w:rFonts w:ascii="Times New Roman" w:hAnsi="Times New Roman" w:cs="Times New Roman"/>
          <w:sz w:val="24"/>
          <w:szCs w:val="24"/>
        </w:rPr>
        <w:t xml:space="preserve"> questionnaire,</w:t>
      </w:r>
      <w:r w:rsidR="00504413">
        <w:rPr>
          <w:rFonts w:ascii="Times New Roman" w:hAnsi="Times New Roman" w:cs="Times New Roman"/>
          <w:sz w:val="24"/>
          <w:szCs w:val="24"/>
        </w:rPr>
        <w:t xml:space="preserve"> the Theoretical Domains </w:t>
      </w:r>
      <w:r w:rsidR="00C60E11">
        <w:rPr>
          <w:rFonts w:ascii="Times New Roman" w:hAnsi="Times New Roman" w:cs="Times New Roman"/>
          <w:sz w:val="24"/>
          <w:szCs w:val="24"/>
        </w:rPr>
        <w:t>F</w:t>
      </w:r>
      <w:r w:rsidR="00504413">
        <w:rPr>
          <w:rFonts w:ascii="Times New Roman" w:hAnsi="Times New Roman" w:cs="Times New Roman"/>
          <w:sz w:val="24"/>
          <w:szCs w:val="24"/>
        </w:rPr>
        <w:t xml:space="preserve">ramework </w:t>
      </w:r>
      <w:r w:rsidR="00504413">
        <w:rPr>
          <w:rFonts w:ascii="Times New Roman" w:hAnsi="Times New Roman" w:cs="Times New Roman"/>
          <w:sz w:val="24"/>
          <w:szCs w:val="24"/>
        </w:rPr>
        <w:fldChar w:fldCharType="begin" w:fldLock="1"/>
      </w:r>
      <w:r w:rsidR="005038ED">
        <w:rPr>
          <w:rFonts w:ascii="Times New Roman" w:hAnsi="Times New Roman" w:cs="Times New Roman"/>
          <w:sz w:val="24"/>
          <w:szCs w:val="24"/>
        </w:rPr>
        <w:instrText>ADDIN CSL_CITATION {"citationItems":[{"id":"ITEM-1","itemData":{"abstract":"Background: An integrative theoretical framework, developed for cross-disciplinary implementation and other behaviour change research, has been applied across a wide range of clinical situations. This study tests the validity of this framework. Methods: Validity was investigated by behavioural experts sorting 112 unique theoretical constructs using closed and open sort tasks. The extent of replication was tested by Discriminant Content Validation and Fuzzy Cluster Analysis. Results: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 Conclusions: The refined Theoretical Domains Framework has a strengthened empirical base and provides a method for theoretically assessing implementation problems, as well as professional and other health-related behaviours as a basis for intervention development. Keywords:","author":[{"dropping-particle":"","family":"Cane","given":"James","non-dropping-particle":"","parse-names":false,"suffix":""},{"dropping-particle":"","family":"O'Connor","given":"Denise","non-dropping-particle":"","parse-names":false,"suffix":""},{"dropping-particle":"","family":"Michie","given":"Susan","non-dropping-particle":"","parse-names":false,"suffix":""}],"container-title":"Implementation Science","id":"ITEM-1","issued":{"date-parts":[["2012"]]},"page":"37","title":"Validation of the theoretical framework","type":"article-journal","volume":"7"},"uris":["http://www.mendeley.com/documents/?uuid=5a7455e0-2ff4-453f-be19-adc843df1f4e"]}],"mendeley":{"formattedCitation":"(Cane et al., 2012)","manualFormatting":"(TDF; Cane et al., 2012)","plainTextFormattedCitation":"(Cane et al., 2012)","previouslyFormattedCitation":"(Cane et al., 2012)"},"properties":{"noteIndex":0},"schema":"https://github.com/citation-style-language/schema/raw/master/csl-citation.json"}</w:instrText>
      </w:r>
      <w:r w:rsidR="00504413">
        <w:rPr>
          <w:rFonts w:ascii="Times New Roman" w:hAnsi="Times New Roman" w:cs="Times New Roman"/>
          <w:sz w:val="24"/>
          <w:szCs w:val="24"/>
        </w:rPr>
        <w:fldChar w:fldCharType="separate"/>
      </w:r>
      <w:r w:rsidR="00504413" w:rsidRPr="00504413">
        <w:rPr>
          <w:rFonts w:ascii="Times New Roman" w:hAnsi="Times New Roman" w:cs="Times New Roman"/>
          <w:noProof/>
          <w:sz w:val="24"/>
          <w:szCs w:val="24"/>
        </w:rPr>
        <w:t>(</w:t>
      </w:r>
      <w:r w:rsidR="005038ED">
        <w:rPr>
          <w:rFonts w:ascii="Times New Roman" w:hAnsi="Times New Roman" w:cs="Times New Roman"/>
          <w:noProof/>
          <w:sz w:val="24"/>
          <w:szCs w:val="24"/>
        </w:rPr>
        <w:t xml:space="preserve">TDF; </w:t>
      </w:r>
      <w:r w:rsidR="00504413" w:rsidRPr="00504413">
        <w:rPr>
          <w:rFonts w:ascii="Times New Roman" w:hAnsi="Times New Roman" w:cs="Times New Roman"/>
          <w:noProof/>
          <w:sz w:val="24"/>
          <w:szCs w:val="24"/>
        </w:rPr>
        <w:t>Cane et al., 2012)</w:t>
      </w:r>
      <w:r w:rsidR="00504413">
        <w:rPr>
          <w:rFonts w:ascii="Times New Roman" w:hAnsi="Times New Roman" w:cs="Times New Roman"/>
          <w:sz w:val="24"/>
          <w:szCs w:val="24"/>
        </w:rPr>
        <w:fldChar w:fldCharType="end"/>
      </w:r>
      <w:r w:rsidR="00504413">
        <w:rPr>
          <w:rFonts w:ascii="Times New Roman" w:hAnsi="Times New Roman" w:cs="Times New Roman"/>
          <w:sz w:val="24"/>
          <w:szCs w:val="24"/>
        </w:rPr>
        <w:t xml:space="preserve">, </w:t>
      </w:r>
      <w:r w:rsidR="005038ED">
        <w:rPr>
          <w:rFonts w:ascii="Times New Roman" w:hAnsi="Times New Roman" w:cs="Times New Roman"/>
          <w:sz w:val="24"/>
          <w:szCs w:val="24"/>
        </w:rPr>
        <w:t xml:space="preserve">the Context Assessment for Community Health (COACH; </w:t>
      </w:r>
      <w:r w:rsidR="005038ED">
        <w:rPr>
          <w:rFonts w:ascii="Times New Roman" w:hAnsi="Times New Roman" w:cs="Times New Roman"/>
          <w:sz w:val="24"/>
          <w:szCs w:val="24"/>
        </w:rPr>
        <w:fldChar w:fldCharType="begin" w:fldLock="1"/>
      </w:r>
      <w:r w:rsidR="005038ED">
        <w:rPr>
          <w:rFonts w:ascii="Times New Roman" w:hAnsi="Times New Roman" w:cs="Times New Roman"/>
          <w:sz w:val="24"/>
          <w:szCs w:val="24"/>
        </w:rPr>
        <w:instrText>ADDIN CSL_CITATION {"citationItems":[{"id":"ITEM-1","itemData":{"DOI":"10.1186/s13012-015-0305-2","ISSN":"17485908","PMID":"26276443","abstract":"Background: The gap between what is known and what is practiced results in health service users not benefitting from advances in healthcare, and in unnecessary costs. A supportive context is considered a key element for successful implementation of evidence-based practices (EBP). There were no tools available for the systematic mapping of aspects of organizational context influencing the implementation of EBPs in low- and middle-income countries (LMICs). Thus, this project aimed to develop and psychometrically validate a tool for this purpose. Methods: The development of the Context Assessment for Community Health (COACH) tool was premised on the context dimension in the Promoting Action on Research Implementation in Health Services framework, and is a derivative product of the Alberta Context Tool. Its development was undertaken in Bangladesh, Vietnam, Uganda, South Africa and Nicaragua in six phases: (1) defining dimensions and draft tool development, (2) content validity amongst in-country expert panels, (3) content validity amongst international experts, (4) response process validity, (5) translation and (6) evaluation of psychometric properties amongst 690 health workers in the five countries. Results: The tool was validated for use amongst physicians, nurse/midwives and community health workers. The six phases of development resulted in a good fit between the theoretical dimensions of the COACH tool and its psychometric properties. The tool has 49 items measuring eight aspects of context: Resources, Community engagement, Commitment to work, Informal payment, Leadership, Work culture, Monitoring services for action and Sources of knowledge. Conclusions: Aspects of organizational context that were identified as influencing the implementation of EBPs in high-income settings were also found to be relevant in LMICs. However, there were additional aspects of context of relevance in LMICs specifically Resources, Community engagement, Commitment to work and Informal payment. Use of the COACH tool will allow for systematic description of the local healthcare context prior implementing healthcare interventions to allow for tailoring implementation strategies or as part of the evaluation of implementing healthcare interventions and thus allow for deeper insights into the process of implementing EBPs in LMICs.","author":[{"dropping-particle":"","family":"Bergström","given":"Anna","non-dropping-particle":"","parse-names":false,"suffix":""},{"dropping-particle":"","family":"Skeen","given":"Sarah","non-dropping-particle":"","parse-names":false,"suffix":""},{"dropping-particle":"","family":"Duc","given":"Duong M.","non-dropping-particle":"","parse-names":false,"suffix":""},{"dropping-particle":"","family":"Blandon","given":"Elmer Zelaya","non-dropping-particle":"","parse-names":false,"suffix":""},{"dropping-particle":"","family":"Estabrooks","given":"Carole","non-dropping-particle":"","parse-names":false,"suffix":""},{"dropping-particle":"","family":"Gustavsson","given":"Petter","non-dropping-particle":"","parse-names":false,"suffix":""},{"dropping-particle":"","family":"Hoa","given":"Dinh Thi Phuong","non-dropping-particle":"","parse-names":false,"suffix":""},{"dropping-particle":"","family":"Källestål","given":"Carina","non-dropping-particle":"","parse-names":false,"suffix":""},{"dropping-particle":"","family":"Målqvist","given":"Mats","non-dropping-particle":"","parse-names":false,"suffix":""},{"dropping-particle":"","family":"Nga","given":"Nguyen Thu","non-dropping-particle":"","parse-names":false,"suffix":""},{"dropping-particle":"","family":"Persson","given":"Lars Åke","non-dropping-particle":"","parse-names":false,"suffix":""},{"dropping-particle":"","family":"Pervin","given":"Jesmin","non-dropping-particle":"","parse-names":false,"suffix":""},{"dropping-particle":"","family":"Peterson","given":"Stefan","non-dropping-particle":"","parse-names":false,"suffix":""},{"dropping-particle":"","family":"Rahman","given":"Anisur","non-dropping-particle":"","parse-names":false,"suffix":""},{"dropping-particle":"","family":"Selling","given":"Katarina","non-dropping-particle":"","parse-names":false,"suffix":""},{"dropping-particle":"","family":"Squires","given":"Janet E.","non-dropping-particle":"","parse-names":false,"suffix":""},{"dropping-particle":"","family":"Tomlinson","given":"Mark","non-dropping-particle":"","parse-names":false,"suffix":""},{"dropping-particle":"","family":"Waiswa","given":"Peter","non-dropping-particle":"","parse-names":false,"suffix":""},{"dropping-particle":"","family":"Wallin","given":"Lars","non-dropping-particle":"","parse-names":false,"suffix":""}],"container-title":"Implementation Science","id":"ITEM-1","issue":"1","issued":{"date-parts":[["2015"]]},"publisher":"Implementation Science","title":"Health system context and implementation of evidence-based practices-development and validation of the Context Assessment for Community Health (COACH) tool for low- and middle-income settings","type":"article-journal","volume":"10"},"uris":["http://www.mendeley.com/documents/?uuid=d101e7e3-ee15-4998-8dc7-ca6e886c8f77"]}],"mendeley":{"formattedCitation":"(Bergström et al., 2015)","manualFormatting":"Bergström et al., 2015)","plainTextFormattedCitation":"(Bergström et al., 2015)","previouslyFormattedCitation":"(Bergström et al., 2015)"},"properties":{"noteIndex":0},"schema":"https://github.com/citation-style-language/schema/raw/master/csl-citation.json"}</w:instrText>
      </w:r>
      <w:r w:rsidR="005038ED">
        <w:rPr>
          <w:rFonts w:ascii="Times New Roman" w:hAnsi="Times New Roman" w:cs="Times New Roman"/>
          <w:sz w:val="24"/>
          <w:szCs w:val="24"/>
        </w:rPr>
        <w:fldChar w:fldCharType="separate"/>
      </w:r>
      <w:r w:rsidR="005038ED" w:rsidRPr="005038ED">
        <w:rPr>
          <w:rFonts w:ascii="Times New Roman" w:hAnsi="Times New Roman" w:cs="Times New Roman"/>
          <w:noProof/>
          <w:sz w:val="24"/>
          <w:szCs w:val="24"/>
        </w:rPr>
        <w:t>Bergström et al., 2015)</w:t>
      </w:r>
      <w:r w:rsidR="005038ED">
        <w:rPr>
          <w:rFonts w:ascii="Times New Roman" w:hAnsi="Times New Roman" w:cs="Times New Roman"/>
          <w:sz w:val="24"/>
          <w:szCs w:val="24"/>
        </w:rPr>
        <w:fldChar w:fldCharType="end"/>
      </w:r>
      <w:r w:rsidR="005038ED">
        <w:rPr>
          <w:rFonts w:ascii="Times New Roman" w:hAnsi="Times New Roman" w:cs="Times New Roman"/>
          <w:sz w:val="24"/>
          <w:szCs w:val="24"/>
        </w:rPr>
        <w:t xml:space="preserve"> tool, and the Alberta Context Tool (ACT; </w:t>
      </w:r>
      <w:r w:rsidR="005038ED">
        <w:rPr>
          <w:rFonts w:ascii="Times New Roman" w:hAnsi="Times New Roman" w:cs="Times New Roman"/>
          <w:sz w:val="24"/>
          <w:szCs w:val="24"/>
        </w:rPr>
        <w:fldChar w:fldCharType="begin" w:fldLock="1"/>
      </w:r>
      <w:r w:rsidR="00436D47">
        <w:rPr>
          <w:rFonts w:ascii="Times New Roman" w:hAnsi="Times New Roman" w:cs="Times New Roman"/>
          <w:sz w:val="24"/>
          <w:szCs w:val="24"/>
        </w:rPr>
        <w:instrText>ADDIN CSL_CITATION {"citationItems":[{"id":"ITEM-1","itemData":{"DOI":"10.1186/1472-6963-9-234","ISSN":"14726963","PMID":"20003531","abstract":"Background. The context of healthcare organizations such as hospitals is increasingly accepted as having the potential to influence the use of new knowledge. However, the mechanisms by which the organizational context influences evidence-based practices are not well understood. Current measures of organizational context lack a theory-informed approach, lack construct clarity and generally have modest psychometric properties. This paper presents the development and initial psychometric validation of the Alberta Context Tool (ACT), an eight dimension measure of organizational context for healthcare settings. Methods. Three principles guided the development of the ACT: substantive theory, brevity, and modifiability. The Promoting Action on Research Implementation in Health Services (PARiHS) framework and related literature were used to guide selection of items in the ACT. The ACT was required to be brief enough to be tolerated in busy and resource stretched work settings and to assess concepts of organizational context that were potentially modifiable. The English version of the ACT was completed by 764 nurses (752 valid responses) working in seven Canadian pediatric care hospitals as part of its initial validation. Cronbach's alpha, exploratory factor analysis, analysis of variance, and tests of association were used to assess instrument reliability and validity. Results. Factor analysis indicated a 13-factor solution (accounting for 59.26% of the variance in 'organizational context'). The composition of the factors was similar to those originally conceptualized. Cronbach's alpha for the 13 factors ranged from .54 to .91 with 4 factors performing below the commonly accepted alpha cut off of .70. Bivariate associations between instrumental research utilization levels (which the ACT was developed to predict) and the ACT's 13 factors were statistically significant at the 5% level for 12 of the 13 factors. Each factor also showed a trend of increasing mean score ranging from the lowest level to the highest level of instrumental research use, indicating construct validity. Conclusions. To date, no completely satisfactory measures of organizational context are available for use in healthcare. The ACT assesses several core domains to provide a comprehensive account of organizational context in healthcare settings. The tool's strengths are its brevity (allowing it to be completed in busy healthcare settings) and its focus on dimensions of organizational context t…","author":[{"dropping-particle":"","family":"Estabrooks","given":"Carole A.","non-dropping-particle":"","parse-names":false,"suffix":""},{"dropping-particle":"","family":"Squires","given":"Janet E.","non-dropping-particle":"","parse-names":false,"suffix":""},{"dropping-particle":"","family":"Cummings","given":"Greta G.","non-dropping-particle":"","parse-names":false,"suffix":""},{"dropping-particle":"","family":"Birdsell","given":"Judy M.","non-dropping-particle":"","parse-names":false,"suffix":""},{"dropping-particle":"","family":"Norton","given":"Peter G.","non-dropping-particle":"","parse-names":false,"suffix":""}],"container-title":"BMC Health Services Research","id":"ITEM-1","issued":{"date-parts":[["2009"]]},"page":"1-12","title":"Development and assessment of the Alberta Context Tool","type":"article-journal","volume":"9"},"uris":["http://www.mendeley.com/documents/?uuid=1a9b238f-aeb9-4100-8694-25cef404bb01"]}],"mendeley":{"formattedCitation":"(Estabrooks et al., 2009)","manualFormatting":"Estabrooks et al., 2009)","plainTextFormattedCitation":"(Estabrooks et al., 2009)","previouslyFormattedCitation":"(Estabrooks et al., 2009)"},"properties":{"noteIndex":0},"schema":"https://github.com/citation-style-language/schema/raw/master/csl-citation.json"}</w:instrText>
      </w:r>
      <w:r w:rsidR="005038ED">
        <w:rPr>
          <w:rFonts w:ascii="Times New Roman" w:hAnsi="Times New Roman" w:cs="Times New Roman"/>
          <w:sz w:val="24"/>
          <w:szCs w:val="24"/>
        </w:rPr>
        <w:fldChar w:fldCharType="separate"/>
      </w:r>
      <w:r w:rsidR="005038ED" w:rsidRPr="005038ED">
        <w:rPr>
          <w:rFonts w:ascii="Times New Roman" w:hAnsi="Times New Roman" w:cs="Times New Roman"/>
          <w:noProof/>
          <w:sz w:val="24"/>
          <w:szCs w:val="24"/>
        </w:rPr>
        <w:t>Estabrooks et al., 2009)</w:t>
      </w:r>
      <w:r w:rsidR="005038ED">
        <w:rPr>
          <w:rFonts w:ascii="Times New Roman" w:hAnsi="Times New Roman" w:cs="Times New Roman"/>
          <w:sz w:val="24"/>
          <w:szCs w:val="24"/>
        </w:rPr>
        <w:fldChar w:fldCharType="end"/>
      </w:r>
      <w:r w:rsidR="00504413">
        <w:rPr>
          <w:rFonts w:ascii="Times New Roman" w:hAnsi="Times New Roman" w:cs="Times New Roman"/>
          <w:sz w:val="24"/>
          <w:szCs w:val="24"/>
        </w:rPr>
        <w:t xml:space="preserve"> to assess contextual factors of implementation research. </w:t>
      </w:r>
      <w:r w:rsidR="008E682E" w:rsidRPr="007A28AF">
        <w:rPr>
          <w:rFonts w:ascii="Times New Roman" w:hAnsi="Times New Roman" w:cs="Times New Roman"/>
          <w:sz w:val="24"/>
          <w:szCs w:val="24"/>
        </w:rPr>
        <w:fldChar w:fldCharType="begin" w:fldLock="1"/>
      </w:r>
      <w:r w:rsidR="008E682E" w:rsidRPr="007A28AF">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008E682E" w:rsidRPr="007A28AF">
        <w:rPr>
          <w:rFonts w:ascii="Times New Roman" w:hAnsi="Times New Roman" w:cs="Times New Roman"/>
          <w:sz w:val="24"/>
          <w:szCs w:val="24"/>
        </w:rPr>
        <w:fldChar w:fldCharType="separate"/>
      </w:r>
      <w:r w:rsidR="008E682E" w:rsidRPr="007A28AF">
        <w:rPr>
          <w:rFonts w:ascii="Times New Roman" w:hAnsi="Times New Roman" w:cs="Times New Roman"/>
          <w:noProof/>
          <w:sz w:val="24"/>
          <w:szCs w:val="24"/>
        </w:rPr>
        <w:t>Craig et al. (2018)</w:t>
      </w:r>
      <w:r w:rsidR="008E682E" w:rsidRPr="007A28AF">
        <w:rPr>
          <w:rFonts w:ascii="Times New Roman" w:hAnsi="Times New Roman" w:cs="Times New Roman"/>
          <w:sz w:val="24"/>
          <w:szCs w:val="24"/>
        </w:rPr>
        <w:fldChar w:fldCharType="end"/>
      </w:r>
      <w:r w:rsidR="008E682E" w:rsidRPr="007A28AF">
        <w:rPr>
          <w:rFonts w:ascii="Times New Roman" w:hAnsi="Times New Roman" w:cs="Times New Roman"/>
          <w:sz w:val="24"/>
          <w:szCs w:val="24"/>
        </w:rPr>
        <w:t xml:space="preserve"> reviewed </w:t>
      </w:r>
      <w:r w:rsidR="006B27BA">
        <w:rPr>
          <w:rFonts w:ascii="Times New Roman" w:hAnsi="Times New Roman" w:cs="Times New Roman"/>
          <w:sz w:val="24"/>
          <w:szCs w:val="24"/>
        </w:rPr>
        <w:t xml:space="preserve">several frameworks including </w:t>
      </w:r>
      <w:r w:rsidR="008E682E" w:rsidRPr="007A28AF">
        <w:rPr>
          <w:rFonts w:ascii="Times New Roman" w:hAnsi="Times New Roman" w:cs="Times New Roman"/>
          <w:sz w:val="24"/>
          <w:szCs w:val="24"/>
        </w:rPr>
        <w:t xml:space="preserve">a </w:t>
      </w:r>
      <w:r w:rsidR="006B27BA">
        <w:rPr>
          <w:rFonts w:ascii="Times New Roman" w:hAnsi="Times New Roman" w:cs="Times New Roman"/>
          <w:sz w:val="24"/>
          <w:szCs w:val="24"/>
        </w:rPr>
        <w:t>conceptual model</w:t>
      </w:r>
      <w:r w:rsidR="008E682E" w:rsidRPr="007A28AF">
        <w:rPr>
          <w:rFonts w:ascii="Times New Roman" w:hAnsi="Times New Roman" w:cs="Times New Roman"/>
          <w:sz w:val="24"/>
          <w:szCs w:val="24"/>
        </w:rPr>
        <w:t xml:space="preserve"> by </w:t>
      </w:r>
      <w:r w:rsidR="00A967D0" w:rsidRPr="007A28AF">
        <w:rPr>
          <w:rFonts w:ascii="Times New Roman" w:hAnsi="Times New Roman" w:cs="Times New Roman"/>
          <w:sz w:val="24"/>
          <w:szCs w:val="24"/>
        </w:rPr>
        <w:fldChar w:fldCharType="begin" w:fldLock="1"/>
      </w:r>
      <w:r w:rsidR="003E1FDA" w:rsidRPr="007A28AF">
        <w:rPr>
          <w:rFonts w:ascii="Times New Roman" w:hAnsi="Times New Roman" w:cs="Times New Roman"/>
          <w:sz w:val="24"/>
          <w:szCs w:val="24"/>
        </w:rPr>
        <w:instrText>ADDIN CSL_CITATION {"citationItems":[{"id":"ITEM-1","itemData":{"DOI":"10.1177/1524839909341025","ISSN":"15248399","PMID":"19809004","abstract":"Taking a settings approach to health promotion means addressing the contexts within which people live, work, and play and making these the object of inquiry and intervention as well as the needs and capacities of people to be found in different settings. This approach can increase the likelihood of success because it offers opportunities to situate practice in its context. Members of the setting can optimize interventions for specific contextual contingencies, target crucial factors in the organizational context influencing behavior, and render settings themselves more health promoting. A number of attempts have been made to systematize evidence regarding the effectiveness of interventions in different types of settings (e.g., school-based health promotion, community development). Few, if any, attempts have been made to systematically develop a template or framework for analyzing those features of settings that should influence intervention design and delivery. This article lays out the core elements of such a framework in the form of a nested series of questions to guide analysis. Furthermore, it offers advice on additional considerations that should be taken into account when operationalizing a settings approach in the field. © 2009, SAGE Publications. All rights reserved.","author":[{"dropping-particle":"","family":"Poland","given":"Blake","non-dropping-particle":"","parse-names":false,"suffix":""},{"dropping-particle":"","family":"Krupa","given":"Gene","non-dropping-particle":"","parse-names":false,"suffix":""},{"dropping-particle":"","family":"Mccall","given":"Douglas","non-dropping-particle":"","parse-names":false,"suffix":""}],"container-title":"Health Promotion Practice","id":"ITEM-1","issue":"4","issued":{"date-parts":[["2009"]]},"page":"505-516","title":"Settings for Health Promotion: An Analytic Framework to Guide Intervention Design and Implementation","type":"article-journal","volume":"10"},"uris":["http://www.mendeley.com/documents/?uuid=c21128f7-d3ab-43bb-be29-5aba72754203"]}],"mendeley":{"formattedCitation":"(Poland et al., 2009)","manualFormatting":"Poland et al. (2009)","plainTextFormattedCitation":"(Poland et al., 2009)","previouslyFormattedCitation":"(Poland et al., 2009)"},"properties":{"noteIndex":0},"schema":"https://github.com/citation-style-language/schema/raw/master/csl-citation.json"}</w:instrText>
      </w:r>
      <w:r w:rsidR="00A967D0" w:rsidRPr="007A28AF">
        <w:rPr>
          <w:rFonts w:ascii="Times New Roman" w:hAnsi="Times New Roman" w:cs="Times New Roman"/>
          <w:sz w:val="24"/>
          <w:szCs w:val="24"/>
        </w:rPr>
        <w:fldChar w:fldCharType="separate"/>
      </w:r>
      <w:r w:rsidR="00A967D0" w:rsidRPr="007A28AF">
        <w:rPr>
          <w:rFonts w:ascii="Times New Roman" w:hAnsi="Times New Roman" w:cs="Times New Roman"/>
          <w:noProof/>
          <w:sz w:val="24"/>
          <w:szCs w:val="24"/>
        </w:rPr>
        <w:t>Poland et al. (2009)</w:t>
      </w:r>
      <w:r w:rsidR="00A967D0" w:rsidRPr="007A28AF">
        <w:rPr>
          <w:rFonts w:ascii="Times New Roman" w:hAnsi="Times New Roman" w:cs="Times New Roman"/>
          <w:sz w:val="24"/>
          <w:szCs w:val="24"/>
        </w:rPr>
        <w:fldChar w:fldCharType="end"/>
      </w:r>
      <w:r w:rsidR="00C658D1">
        <w:rPr>
          <w:rFonts w:ascii="Times New Roman" w:hAnsi="Times New Roman" w:cs="Times New Roman"/>
          <w:sz w:val="24"/>
          <w:szCs w:val="24"/>
        </w:rPr>
        <w:t>,</w:t>
      </w:r>
      <w:r w:rsidR="008E682E" w:rsidRPr="007A28AF">
        <w:rPr>
          <w:rFonts w:ascii="Times New Roman" w:hAnsi="Times New Roman" w:cs="Times New Roman"/>
          <w:sz w:val="24"/>
          <w:szCs w:val="24"/>
        </w:rPr>
        <w:t xml:space="preserve"> which is proposed to be used for health-promotion interventions</w:t>
      </w:r>
      <w:r w:rsidR="00C658D1">
        <w:rPr>
          <w:rFonts w:ascii="Times New Roman" w:hAnsi="Times New Roman" w:cs="Times New Roman"/>
          <w:sz w:val="24"/>
          <w:szCs w:val="24"/>
        </w:rPr>
        <w:t>,</w:t>
      </w:r>
      <w:r w:rsidR="008E682E" w:rsidRPr="007A28AF">
        <w:rPr>
          <w:rFonts w:ascii="Times New Roman" w:hAnsi="Times New Roman" w:cs="Times New Roman"/>
          <w:sz w:val="24"/>
          <w:szCs w:val="24"/>
        </w:rPr>
        <w:t xml:space="preserve"> the Consolidated Framework for Implementation Research </w:t>
      </w:r>
      <w:r w:rsidR="003E1FDA" w:rsidRPr="007A28AF">
        <w:rPr>
          <w:rFonts w:ascii="Times New Roman" w:hAnsi="Times New Roman" w:cs="Times New Roman"/>
          <w:sz w:val="24"/>
          <w:szCs w:val="24"/>
        </w:rPr>
        <w:fldChar w:fldCharType="begin" w:fldLock="1"/>
      </w:r>
      <w:r w:rsidR="00B6496F">
        <w:rPr>
          <w:rFonts w:ascii="Times New Roman" w:hAnsi="Times New Roman" w:cs="Times New Roman"/>
          <w:sz w:val="24"/>
          <w:szCs w:val="24"/>
        </w:rPr>
        <w:instrText>ADDIN CSL_CITATION {"citationItems":[{"id":"ITEM-1","itemData":{"DOI":"10.1186/1748-5908-4-50","ISSN":"17485908","PMID":"19664226","abstract":"Background: Many interventions found to be effective in health services research studies fail to translate into meaningful patient care outcomes across multiple contexts. Health services researchers recognize the need to evaluate not only summative outcomes but also formative outcomes to assess the extent to which implementation is effective in a specific setting, prolongs sustainability, and promotes dissemination into other settings. Many implementation theories have been published to help promote effective implementation. However, they overlap considerably in the constructs included in individual theories, and a comparison of theories reveals that each is missing important constructs included in other theories. In addition, terminology and definitions are not consistent across theories. We describe the Consolidated Framework For Implementation Research (CFIR) that offers an overarching typology to promote implementation theory development and verification about what works where and why across multiple contexts. Methods. We used a snowball sampling approach to identify published theories that were evaluated to identify constructs based on strength of conceptual or empirical support for influence on implementation, consistency in definitions, alignment with our own findings, and potential for measurement. We combined constructs across published theories that had different labels but were redundant or overlapping in definition, and we parsed apart constructs that conflated underlying concepts. Results. The CFIR is composed of five major domains: intervention characteristics, outer setting, inner setting, characteristics of the individuals involved, and the process of implementation. Eight constructs were identified related to the intervention (e.g., evidence strength and quality), four constructs were identified related to outer setting (e.g., patient needs and resources), 12 constructs were identified related to inner setting (e.g., culture, leadership engagement), five constructs were identified related to individual characteristics, and eight constructs were identified related to process (e.g., plan, evaluate, and reflect). We present explicit definitions for each construct. Conclusion. The CFIR provides a pragmatic structure for approaching complex, interacting, multi-level, and transient states of constructs in the real world by embracing, consolidating, and unifying key constructs from published implementation theories. It can be used to guide for…","author":[{"dropping-particle":"","family":"Damschroder","given":"Laura J.","non-dropping-particle":"","parse-names":false,"suffix":""},{"dropping-particle":"","family":"Aron","given":"David C.","non-dropping-particle":"","parse-names":false,"suffix":""},{"dropping-particle":"","family":"Keith","given":"Rosalind E.","non-dropping-particle":"","parse-names":false,"suffix":""},{"dropping-particle":"","family":"Kirsh","given":"Susan R.","non-dropping-particle":"","parse-names":false,"suffix":""},{"dropping-particle":"","family":"Alexander","given":"Jeffery A.","non-dropping-particle":"","parse-names":false,"suffix":""},{"dropping-particle":"","family":"Lowery","given":"Julie C.","non-dropping-particle":"","parse-names":false,"suffix":""}],"container-title":"Implementation Science","id":"ITEM-1","issue":"1","issued":{"date-parts":[["2009"]]},"page":"1-15","title":"Fostering implementation of health services research findings into practice: A consolidated framework for advancing implementation science","type":"article-journal","volume":"4"},"uris":["http://www.mendeley.com/documents/?uuid=e469be86-2dd7-4b47-a6ce-6f57dd62291e"]}],"mendeley":{"formattedCitation":"(Damschroder et al., 2009)","manualFormatting":"(CFIR; Damschroder et al., 2009)","plainTextFormattedCitation":"(Damschroder et al., 2009)","previouslyFormattedCitation":"(Damschroder et al., 2009)"},"properties":{"noteIndex":0},"schema":"https://github.com/citation-style-language/schema/raw/master/csl-citation.json"}</w:instrText>
      </w:r>
      <w:r w:rsidR="003E1FDA" w:rsidRPr="007A28AF">
        <w:rPr>
          <w:rFonts w:ascii="Times New Roman" w:hAnsi="Times New Roman" w:cs="Times New Roman"/>
          <w:sz w:val="24"/>
          <w:szCs w:val="24"/>
        </w:rPr>
        <w:fldChar w:fldCharType="separate"/>
      </w:r>
      <w:r w:rsidR="003E1FDA" w:rsidRPr="007A28AF">
        <w:rPr>
          <w:rFonts w:ascii="Times New Roman" w:hAnsi="Times New Roman" w:cs="Times New Roman"/>
          <w:noProof/>
          <w:sz w:val="24"/>
          <w:szCs w:val="24"/>
        </w:rPr>
        <w:t>(</w:t>
      </w:r>
      <w:r w:rsidR="00C0651A">
        <w:rPr>
          <w:rFonts w:ascii="Times New Roman" w:hAnsi="Times New Roman" w:cs="Times New Roman"/>
          <w:noProof/>
          <w:sz w:val="24"/>
          <w:szCs w:val="24"/>
        </w:rPr>
        <w:t xml:space="preserve">CFIR; </w:t>
      </w:r>
      <w:r w:rsidR="003E1FDA" w:rsidRPr="007A28AF">
        <w:rPr>
          <w:rFonts w:ascii="Times New Roman" w:hAnsi="Times New Roman" w:cs="Times New Roman"/>
          <w:noProof/>
          <w:sz w:val="24"/>
          <w:szCs w:val="24"/>
        </w:rPr>
        <w:t>Damschroder et al., 2009)</w:t>
      </w:r>
      <w:r w:rsidR="003E1FDA" w:rsidRPr="007A28AF">
        <w:rPr>
          <w:rFonts w:ascii="Times New Roman" w:hAnsi="Times New Roman" w:cs="Times New Roman"/>
          <w:sz w:val="24"/>
          <w:szCs w:val="24"/>
        </w:rPr>
        <w:fldChar w:fldCharType="end"/>
      </w:r>
      <w:r w:rsidR="00E2747E" w:rsidRPr="007A28AF">
        <w:rPr>
          <w:rFonts w:ascii="Times New Roman" w:hAnsi="Times New Roman" w:cs="Times New Roman"/>
          <w:sz w:val="24"/>
          <w:szCs w:val="24"/>
        </w:rPr>
        <w:t>, the Context and Implementation of Complex Interventions (CICI) framework</w:t>
      </w:r>
      <w:r w:rsidR="00BF7987" w:rsidRPr="007A28AF">
        <w:rPr>
          <w:rFonts w:ascii="Times New Roman" w:hAnsi="Times New Roman" w:cs="Times New Roman"/>
          <w:sz w:val="24"/>
          <w:szCs w:val="24"/>
        </w:rPr>
        <w:t xml:space="preserve"> </w:t>
      </w:r>
      <w:r w:rsidR="00BF7987" w:rsidRPr="007A28AF">
        <w:rPr>
          <w:rFonts w:ascii="Times New Roman" w:hAnsi="Times New Roman" w:cs="Times New Roman"/>
          <w:sz w:val="24"/>
          <w:szCs w:val="24"/>
        </w:rPr>
        <w:fldChar w:fldCharType="begin" w:fldLock="1"/>
      </w:r>
      <w:r w:rsidR="00882466" w:rsidRPr="007A28AF">
        <w:rPr>
          <w:rFonts w:ascii="Times New Roman" w:hAnsi="Times New Roman" w:cs="Times New Roman"/>
          <w:sz w:val="24"/>
          <w:szCs w:val="24"/>
        </w:rPr>
        <w:instrText>ADDIN CSL_CITATION {"citationItems":[{"id":"ITEM-1","itemData":{"DOI":"10.1186/s13012-017-0552-5","ISSN":"17485908","PMID":"28202031","abstract":"Background: The effectiveness of complex interventions, as well as their success in reaching relevant populations, is critically influenced by their implementation in a given context. Current conceptual frameworks often fail to address context and implementation in an integrated way and, where addressed, they tend to focus on organisational context and are mostly concerned with specific health fields. Our objective was to develop a framework to facilitate the structured and comprehensive conceptualisation and assessment of context and implementation of complex interventions. Methods: The Context and Implementation of Complex Interventions (CICI) framework was developed in an iterative manner and underwent extensive application. An initial framework based on a scoping review was tested in rapid assessments, revealing inconsistencies with respect to the underlying concepts. Thus, pragmatic utility concept analysis was undertaken to advance the concepts of context and implementation. Based on these findings, the framework was revised and applied in several systematic reviews, one health technology assessment (HTA) and one applicability assessment of very different complex interventions. Lessons learnt from these applications and from peer review were incorporated, resulting in the CICI framework. Results: The CICI framework comprises three dimensions-context, implementation and setting-which interact with one another and with the intervention dimension. Context comprises seven domains (i.e., geographical, epidemiological, socio-cultural, socio-economic, ethical, legal, political); implementation consists of five domains (i.e., implementation theory, process, strategies, agents and outcomes); setting refers to the specific physical location, in which the intervention is put into practise. The intervention and the way it is implemented in a given setting and context can occur on a micro, meso and macro level. Tools to operationalise the framework comprise a checklist, data extraction tools for qualitative and quantitative reviews and a consultation guide for applicability assessments. Conclusions: The CICI framework addresses and graphically presents context, implementation and setting in an integrated way. It aims at simplifying and structuring complexity in order to advance our understanding of whether and how interventions work. The framework can be applied in systematic reviews and HTA as well as primary research and facilitate communication among teams …","author":[{"dropping-particle":"","family":"Pfadenhauer","given":"Lisa M.","non-dropping-particle":"","parse-names":false,"suffix":""},{"dropping-particle":"","family":"Gerhardus","given":"Ansgar","non-dropping-particle":"","parse-names":false,"suffix":""},{"dropping-particle":"","family":"Mozygemba","given":"Kati","non-dropping-particle":"","parse-names":false,"suffix":""},{"dropping-particle":"","family":"Lysdahl","given":"Kristin Bakke","non-dropping-particle":"","parse-names":false,"suffix":""},{"dropping-particle":"","family":"Booth","given":"Andrew","non-dropping-particle":"","parse-names":false,"suffix":""},{"dropping-particle":"","family":"Hofmann","given":"Bjørn","non-dropping-particle":"","parse-names":false,"suffix":""},{"dropping-particle":"","family":"Wahlster","given":"Philip","non-dropping-particle":"","parse-names":false,"suffix":""},{"dropping-particle":"","family":"Polus","given":"Stephanie","non-dropping-particle":"","parse-names":false,"suffix":""},{"dropping-particle":"","family":"Burns","given":"Jacob","non-dropping-particle":"","parse-names":false,"suffix":""},{"dropping-particle":"","family":"Brereton","given":"Louise","non-dropping-particle":"","parse-names":false,"suffix":""},{"dropping-particle":"","family":"Rehfuess","given":"Eva","non-dropping-particle":"","parse-names":false,"suffix":""}],"container-title":"Implementation Science","id":"ITEM-1","issue":"1","issued":{"date-parts":[["2017"]]},"page":"1-17","publisher":"Implementation Science","title":"Making sense of complexity in context and implementation: The Context and Implementation of Complex Interventions (CICI) framework","type":"article-journal","volume":"12"},"uris":["http://www.mendeley.com/documents/?uuid=8c5e128a-97c7-45bb-8cb1-4f3cababfd6e"]}],"mendeley":{"formattedCitation":"(Pfadenhauer et al., 2017)","plainTextFormattedCitation":"(Pfadenhauer et al., 2017)","previouslyFormattedCitation":"(Pfadenhauer et al., 2017)"},"properties":{"noteIndex":0},"schema":"https://github.com/citation-style-language/schema/raw/master/csl-citation.json"}</w:instrText>
      </w:r>
      <w:r w:rsidR="00BF7987" w:rsidRPr="007A28AF">
        <w:rPr>
          <w:rFonts w:ascii="Times New Roman" w:hAnsi="Times New Roman" w:cs="Times New Roman"/>
          <w:sz w:val="24"/>
          <w:szCs w:val="24"/>
        </w:rPr>
        <w:fldChar w:fldCharType="separate"/>
      </w:r>
      <w:r w:rsidR="00BF7987" w:rsidRPr="007A28AF">
        <w:rPr>
          <w:rFonts w:ascii="Times New Roman" w:hAnsi="Times New Roman" w:cs="Times New Roman"/>
          <w:noProof/>
          <w:sz w:val="24"/>
          <w:szCs w:val="24"/>
        </w:rPr>
        <w:t>(Pfadenhauer et al., 2017)</w:t>
      </w:r>
      <w:r w:rsidR="00BF7987" w:rsidRPr="007A28AF">
        <w:rPr>
          <w:rFonts w:ascii="Times New Roman" w:hAnsi="Times New Roman" w:cs="Times New Roman"/>
          <w:sz w:val="24"/>
          <w:szCs w:val="24"/>
        </w:rPr>
        <w:fldChar w:fldCharType="end"/>
      </w:r>
      <w:r w:rsidR="00E2747E" w:rsidRPr="007A28AF">
        <w:rPr>
          <w:rFonts w:ascii="Times New Roman" w:hAnsi="Times New Roman" w:cs="Times New Roman"/>
          <w:sz w:val="24"/>
          <w:szCs w:val="24"/>
        </w:rPr>
        <w:t xml:space="preserve"> for health technology assessments</w:t>
      </w:r>
      <w:r w:rsidR="008E682E" w:rsidRPr="007A28AF">
        <w:rPr>
          <w:rFonts w:ascii="Times New Roman" w:hAnsi="Times New Roman" w:cs="Times New Roman"/>
          <w:sz w:val="24"/>
          <w:szCs w:val="24"/>
        </w:rPr>
        <w:t xml:space="preserve"> </w:t>
      </w:r>
      <w:r w:rsidR="00E2747E" w:rsidRPr="007A28AF">
        <w:rPr>
          <w:rFonts w:ascii="Times New Roman" w:hAnsi="Times New Roman" w:cs="Times New Roman"/>
          <w:sz w:val="24"/>
          <w:szCs w:val="24"/>
        </w:rPr>
        <w:t xml:space="preserve">and </w:t>
      </w:r>
      <w:r w:rsidR="00CF4490">
        <w:rPr>
          <w:rFonts w:ascii="Times New Roman" w:hAnsi="Times New Roman" w:cs="Times New Roman"/>
          <w:sz w:val="24"/>
          <w:szCs w:val="24"/>
        </w:rPr>
        <w:t xml:space="preserve">other </w:t>
      </w:r>
      <w:r w:rsidR="0005047D">
        <w:rPr>
          <w:rFonts w:ascii="Times New Roman" w:hAnsi="Times New Roman" w:cs="Times New Roman"/>
          <w:sz w:val="24"/>
          <w:szCs w:val="24"/>
        </w:rPr>
        <w:t>studies</w:t>
      </w:r>
      <w:r w:rsidR="008E682E" w:rsidRPr="007A28AF">
        <w:rPr>
          <w:rFonts w:ascii="Times New Roman" w:hAnsi="Times New Roman" w:cs="Times New Roman"/>
          <w:sz w:val="24"/>
          <w:szCs w:val="24"/>
        </w:rPr>
        <w:t xml:space="preserve">. </w:t>
      </w:r>
      <w:r w:rsidR="00825331">
        <w:rPr>
          <w:rFonts w:ascii="Times New Roman" w:hAnsi="Times New Roman" w:cs="Times New Roman"/>
          <w:sz w:val="24"/>
          <w:szCs w:val="24"/>
        </w:rPr>
        <w:t>They</w:t>
      </w:r>
      <w:r w:rsidR="00E2747E" w:rsidRPr="007A28AF">
        <w:rPr>
          <w:rFonts w:ascii="Times New Roman" w:hAnsi="Times New Roman" w:cs="Times New Roman"/>
          <w:sz w:val="24"/>
          <w:szCs w:val="24"/>
        </w:rPr>
        <w:t xml:space="preserve"> </w:t>
      </w:r>
      <w:r w:rsidR="006F1A46">
        <w:rPr>
          <w:rFonts w:ascii="Times New Roman" w:hAnsi="Times New Roman" w:cs="Times New Roman"/>
          <w:sz w:val="24"/>
          <w:szCs w:val="24"/>
        </w:rPr>
        <w:t>concluded that</w:t>
      </w:r>
      <w:r w:rsidR="009B7988" w:rsidRPr="007A28AF">
        <w:rPr>
          <w:rFonts w:ascii="Times New Roman" w:hAnsi="Times New Roman" w:cs="Times New Roman"/>
          <w:sz w:val="24"/>
          <w:szCs w:val="24"/>
        </w:rPr>
        <w:t xml:space="preserve"> </w:t>
      </w:r>
      <w:r w:rsidR="00F35585" w:rsidRPr="007A28AF">
        <w:rPr>
          <w:rFonts w:ascii="Times New Roman" w:hAnsi="Times New Roman" w:cs="Times New Roman"/>
          <w:sz w:val="24"/>
          <w:szCs w:val="24"/>
        </w:rPr>
        <w:t>th</w:t>
      </w:r>
      <w:r w:rsidR="006F1A46">
        <w:rPr>
          <w:rFonts w:ascii="Times New Roman" w:hAnsi="Times New Roman" w:cs="Times New Roman"/>
          <w:sz w:val="24"/>
          <w:szCs w:val="24"/>
        </w:rPr>
        <w:t>ose frameworks</w:t>
      </w:r>
      <w:r w:rsidR="00F35585" w:rsidRPr="007A28AF">
        <w:rPr>
          <w:rFonts w:ascii="Times New Roman" w:hAnsi="Times New Roman" w:cs="Times New Roman"/>
          <w:sz w:val="24"/>
          <w:szCs w:val="24"/>
        </w:rPr>
        <w:t xml:space="preserve"> were</w:t>
      </w:r>
      <w:r w:rsidR="009B7988" w:rsidRPr="007A28AF">
        <w:rPr>
          <w:rFonts w:ascii="Times New Roman" w:hAnsi="Times New Roman" w:cs="Times New Roman"/>
          <w:sz w:val="24"/>
          <w:szCs w:val="24"/>
        </w:rPr>
        <w:t xml:space="preserve"> not satisfactory for the study of complex population health interventions. Hence, </w:t>
      </w:r>
      <w:r w:rsidR="00850506">
        <w:rPr>
          <w:rFonts w:ascii="Times New Roman" w:hAnsi="Times New Roman" w:cs="Times New Roman"/>
          <w:sz w:val="24"/>
          <w:szCs w:val="24"/>
        </w:rPr>
        <w:t>they</w:t>
      </w:r>
      <w:r w:rsidRPr="007A28AF">
        <w:rPr>
          <w:rFonts w:ascii="Times New Roman" w:hAnsi="Times New Roman" w:cs="Times New Roman"/>
          <w:sz w:val="24"/>
          <w:szCs w:val="24"/>
        </w:rPr>
        <w:t xml:space="preserve"> </w:t>
      </w:r>
      <w:r w:rsidR="009B7988" w:rsidRPr="007A28AF">
        <w:rPr>
          <w:rFonts w:ascii="Times New Roman" w:hAnsi="Times New Roman" w:cs="Times New Roman"/>
          <w:sz w:val="24"/>
          <w:szCs w:val="24"/>
        </w:rPr>
        <w:t>set out to ident</w:t>
      </w:r>
      <w:r w:rsidR="00C77DF1" w:rsidRPr="007A28AF">
        <w:rPr>
          <w:rFonts w:ascii="Times New Roman" w:hAnsi="Times New Roman" w:cs="Times New Roman"/>
          <w:sz w:val="24"/>
          <w:szCs w:val="24"/>
        </w:rPr>
        <w:t>if</w:t>
      </w:r>
      <w:r w:rsidR="009B7988" w:rsidRPr="007A28AF">
        <w:rPr>
          <w:rFonts w:ascii="Times New Roman" w:hAnsi="Times New Roman" w:cs="Times New Roman"/>
          <w:sz w:val="24"/>
          <w:szCs w:val="24"/>
        </w:rPr>
        <w:t>y</w:t>
      </w:r>
      <w:r w:rsidRPr="007A28AF">
        <w:rPr>
          <w:rFonts w:ascii="Times New Roman" w:hAnsi="Times New Roman" w:cs="Times New Roman"/>
          <w:sz w:val="24"/>
          <w:szCs w:val="24"/>
        </w:rPr>
        <w:t xml:space="preserve"> 12 contextual factors for population health interventions</w:t>
      </w:r>
      <w:r w:rsidR="00966570">
        <w:rPr>
          <w:rFonts w:ascii="Times New Roman" w:hAnsi="Times New Roman" w:cs="Times New Roman"/>
          <w:sz w:val="24"/>
          <w:szCs w:val="24"/>
        </w:rPr>
        <w:t>,</w:t>
      </w:r>
      <w:r w:rsidR="00E76FFD" w:rsidRPr="007A28AF">
        <w:rPr>
          <w:rFonts w:ascii="Times New Roman" w:hAnsi="Times New Roman" w:cs="Times New Roman"/>
          <w:sz w:val="24"/>
          <w:szCs w:val="24"/>
        </w:rPr>
        <w:t xml:space="preserve"> </w:t>
      </w:r>
      <w:r w:rsidR="009A6553" w:rsidRPr="007A28AF">
        <w:rPr>
          <w:rFonts w:ascii="Times New Roman" w:hAnsi="Times New Roman" w:cs="Times New Roman"/>
          <w:sz w:val="24"/>
          <w:szCs w:val="24"/>
        </w:rPr>
        <w:t>namely</w:t>
      </w:r>
      <w:r w:rsidR="00E76FFD" w:rsidRPr="007A28AF">
        <w:rPr>
          <w:rFonts w:ascii="Times New Roman" w:hAnsi="Times New Roman" w:cs="Times New Roman"/>
          <w:sz w:val="24"/>
          <w:szCs w:val="24"/>
        </w:rPr>
        <w:t xml:space="preserve"> </w:t>
      </w:r>
      <w:r w:rsidR="003A4470" w:rsidRPr="007A28AF">
        <w:rPr>
          <w:rFonts w:ascii="Times New Roman" w:hAnsi="Times New Roman" w:cs="Times New Roman"/>
          <w:sz w:val="24"/>
          <w:szCs w:val="24"/>
        </w:rPr>
        <w:t>social,</w:t>
      </w:r>
      <w:r w:rsidR="003160F0">
        <w:rPr>
          <w:rFonts w:ascii="Times New Roman" w:hAnsi="Times New Roman" w:cs="Times New Roman"/>
          <w:sz w:val="24"/>
          <w:szCs w:val="24"/>
        </w:rPr>
        <w:t xml:space="preserve"> and </w:t>
      </w:r>
      <w:r w:rsidR="00253722" w:rsidRPr="007A28AF">
        <w:rPr>
          <w:rFonts w:ascii="Times New Roman" w:hAnsi="Times New Roman" w:cs="Times New Roman"/>
          <w:sz w:val="24"/>
          <w:szCs w:val="24"/>
        </w:rPr>
        <w:t>economic,</w:t>
      </w:r>
      <w:r w:rsidR="00E76FFD" w:rsidRPr="007A28AF">
        <w:rPr>
          <w:rFonts w:ascii="Times New Roman" w:hAnsi="Times New Roman" w:cs="Times New Roman"/>
          <w:sz w:val="24"/>
          <w:szCs w:val="24"/>
        </w:rPr>
        <w:t xml:space="preserve"> epidemiological, cultural, geographical</w:t>
      </w:r>
      <w:r w:rsidR="00290B0A">
        <w:rPr>
          <w:rFonts w:ascii="Times New Roman" w:hAnsi="Times New Roman" w:cs="Times New Roman"/>
          <w:sz w:val="24"/>
          <w:szCs w:val="24"/>
        </w:rPr>
        <w:t xml:space="preserve"> or </w:t>
      </w:r>
      <w:r w:rsidR="00E76FFD" w:rsidRPr="007A28AF">
        <w:rPr>
          <w:rFonts w:ascii="Times New Roman" w:hAnsi="Times New Roman" w:cs="Times New Roman"/>
          <w:sz w:val="24"/>
          <w:szCs w:val="24"/>
        </w:rPr>
        <w:t xml:space="preserve">environmental, </w:t>
      </w:r>
      <w:r w:rsidR="00E2747E" w:rsidRPr="007A28AF">
        <w:rPr>
          <w:rFonts w:ascii="Times New Roman" w:hAnsi="Times New Roman" w:cs="Times New Roman"/>
          <w:sz w:val="24"/>
          <w:szCs w:val="24"/>
        </w:rPr>
        <w:t>service</w:t>
      </w:r>
      <w:r w:rsidR="00E76FFD" w:rsidRPr="007A28AF">
        <w:rPr>
          <w:rFonts w:ascii="Times New Roman" w:hAnsi="Times New Roman" w:cs="Times New Roman"/>
          <w:sz w:val="24"/>
          <w:szCs w:val="24"/>
        </w:rPr>
        <w:t xml:space="preserve"> and organizational,</w:t>
      </w:r>
      <w:r w:rsidR="00F92DA7" w:rsidRPr="007A28AF">
        <w:rPr>
          <w:rFonts w:ascii="Times New Roman" w:hAnsi="Times New Roman" w:cs="Times New Roman"/>
          <w:sz w:val="24"/>
          <w:szCs w:val="24"/>
        </w:rPr>
        <w:t xml:space="preserve"> ethical, policy, legal, financial, political, historical</w:t>
      </w:r>
      <w:r w:rsidR="006E187A">
        <w:rPr>
          <w:rFonts w:ascii="Times New Roman" w:hAnsi="Times New Roman" w:cs="Times New Roman"/>
          <w:sz w:val="24"/>
          <w:szCs w:val="24"/>
        </w:rPr>
        <w:t>,</w:t>
      </w:r>
      <w:r w:rsidR="00F92DA7" w:rsidRPr="007A28AF">
        <w:rPr>
          <w:rFonts w:ascii="Times New Roman" w:hAnsi="Times New Roman" w:cs="Times New Roman"/>
          <w:sz w:val="24"/>
          <w:szCs w:val="24"/>
        </w:rPr>
        <w:t xml:space="preserve"> and external shocks</w:t>
      </w:r>
      <w:r w:rsidR="006E187A">
        <w:rPr>
          <w:rFonts w:ascii="Times New Roman" w:hAnsi="Times New Roman" w:cs="Times New Roman"/>
          <w:sz w:val="24"/>
          <w:szCs w:val="24"/>
        </w:rPr>
        <w:t>,</w:t>
      </w:r>
      <w:r w:rsidR="00F92DA7" w:rsidRPr="007A28AF">
        <w:rPr>
          <w:rFonts w:ascii="Times New Roman" w:hAnsi="Times New Roman" w:cs="Times New Roman"/>
          <w:sz w:val="24"/>
          <w:szCs w:val="24"/>
        </w:rPr>
        <w:t xml:space="preserve"> and catalytic events</w:t>
      </w:r>
      <w:r w:rsidR="003A4470">
        <w:rPr>
          <w:rFonts w:ascii="Times New Roman" w:hAnsi="Times New Roman" w:cs="Times New Roman"/>
          <w:sz w:val="24"/>
          <w:szCs w:val="24"/>
        </w:rPr>
        <w:t xml:space="preserve"> (</w:t>
      </w:r>
      <w:r w:rsidR="003A4470" w:rsidRPr="007A28AF">
        <w:rPr>
          <w:rFonts w:ascii="Times New Roman" w:hAnsi="Times New Roman" w:cs="Times New Roman"/>
          <w:sz w:val="24"/>
          <w:szCs w:val="24"/>
        </w:rPr>
        <w:fldChar w:fldCharType="begin" w:fldLock="1"/>
      </w:r>
      <w:r w:rsidR="002E23C0">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003A4470" w:rsidRPr="007A28AF">
        <w:rPr>
          <w:rFonts w:ascii="Times New Roman" w:hAnsi="Times New Roman" w:cs="Times New Roman"/>
          <w:sz w:val="24"/>
          <w:szCs w:val="24"/>
        </w:rPr>
        <w:fldChar w:fldCharType="separate"/>
      </w:r>
      <w:r w:rsidR="003A4470" w:rsidRPr="007A28AF">
        <w:rPr>
          <w:rFonts w:ascii="Times New Roman" w:hAnsi="Times New Roman" w:cs="Times New Roman"/>
          <w:noProof/>
          <w:sz w:val="24"/>
          <w:szCs w:val="24"/>
        </w:rPr>
        <w:t>Craig et al.</w:t>
      </w:r>
      <w:r w:rsidR="003A4470">
        <w:rPr>
          <w:rFonts w:ascii="Times New Roman" w:hAnsi="Times New Roman" w:cs="Times New Roman"/>
          <w:noProof/>
          <w:sz w:val="24"/>
          <w:szCs w:val="24"/>
        </w:rPr>
        <w:t xml:space="preserve">, </w:t>
      </w:r>
      <w:r w:rsidR="003A4470" w:rsidRPr="007A28AF">
        <w:rPr>
          <w:rFonts w:ascii="Times New Roman" w:hAnsi="Times New Roman" w:cs="Times New Roman"/>
          <w:noProof/>
          <w:sz w:val="24"/>
          <w:szCs w:val="24"/>
        </w:rPr>
        <w:t>2018)</w:t>
      </w:r>
      <w:r w:rsidR="003A4470" w:rsidRPr="007A28AF">
        <w:rPr>
          <w:rFonts w:ascii="Times New Roman" w:hAnsi="Times New Roman" w:cs="Times New Roman"/>
          <w:sz w:val="24"/>
          <w:szCs w:val="24"/>
        </w:rPr>
        <w:fldChar w:fldCharType="end"/>
      </w:r>
      <w:r w:rsidR="00F92DA7" w:rsidRPr="007A28AF">
        <w:rPr>
          <w:rFonts w:ascii="Times New Roman" w:hAnsi="Times New Roman" w:cs="Times New Roman"/>
          <w:sz w:val="24"/>
          <w:szCs w:val="24"/>
        </w:rPr>
        <w:t>.</w:t>
      </w:r>
      <w:r w:rsidR="00AE1C50" w:rsidRPr="007A28AF">
        <w:rPr>
          <w:rFonts w:ascii="Times New Roman" w:hAnsi="Times New Roman" w:cs="Times New Roman"/>
          <w:sz w:val="24"/>
          <w:szCs w:val="24"/>
        </w:rPr>
        <w:t xml:space="preserve"> </w:t>
      </w:r>
      <w:r w:rsidR="002E23C0">
        <w:rPr>
          <w:rFonts w:ascii="Times New Roman" w:hAnsi="Times New Roman" w:cs="Times New Roman"/>
          <w:sz w:val="24"/>
          <w:szCs w:val="24"/>
        </w:rPr>
        <w:t>B</w:t>
      </w:r>
      <w:r w:rsidR="002E23C0">
        <w:rPr>
          <w:rFonts w:ascii="Times New Roman" w:hAnsi="Times New Roman" w:cs="Times New Roman"/>
          <w:sz w:val="24"/>
          <w:szCs w:val="24"/>
        </w:rPr>
        <w:t xml:space="preserve">ased on </w:t>
      </w:r>
      <w:r w:rsidR="00665009">
        <w:rPr>
          <w:rFonts w:ascii="Times New Roman" w:hAnsi="Times New Roman" w:cs="Times New Roman"/>
          <w:sz w:val="24"/>
          <w:szCs w:val="24"/>
        </w:rPr>
        <w:t xml:space="preserve">the </w:t>
      </w:r>
      <w:r w:rsidR="002E23C0">
        <w:rPr>
          <w:rFonts w:ascii="Times New Roman" w:hAnsi="Times New Roman" w:cs="Times New Roman"/>
          <w:sz w:val="24"/>
          <w:szCs w:val="24"/>
        </w:rPr>
        <w:t xml:space="preserve">empirical literature, </w:t>
      </w:r>
      <w:r w:rsidR="006412DA">
        <w:rPr>
          <w:rFonts w:ascii="Times New Roman" w:hAnsi="Times New Roman" w:cs="Times New Roman"/>
          <w:sz w:val="24"/>
          <w:szCs w:val="24"/>
        </w:rPr>
        <w:t>I included demographic factors</w:t>
      </w:r>
      <w:r w:rsidR="002E23C0">
        <w:rPr>
          <w:rFonts w:ascii="Times New Roman" w:hAnsi="Times New Roman" w:cs="Times New Roman"/>
          <w:sz w:val="24"/>
          <w:szCs w:val="24"/>
        </w:rPr>
        <w:t xml:space="preserve"> </w:t>
      </w:r>
      <w:r w:rsidR="00EF6C38">
        <w:rPr>
          <w:rFonts w:ascii="Times New Roman" w:hAnsi="Times New Roman" w:cs="Times New Roman"/>
          <w:sz w:val="24"/>
          <w:szCs w:val="24"/>
        </w:rPr>
        <w:t xml:space="preserve">to their contextual factors </w:t>
      </w:r>
      <w:r w:rsidR="006412DA">
        <w:rPr>
          <w:rFonts w:ascii="Times New Roman" w:hAnsi="Times New Roman" w:cs="Times New Roman"/>
          <w:sz w:val="24"/>
          <w:szCs w:val="24"/>
        </w:rPr>
        <w:t xml:space="preserve">and used </w:t>
      </w:r>
      <w:r w:rsidR="007D0270">
        <w:rPr>
          <w:rFonts w:ascii="Times New Roman" w:hAnsi="Times New Roman" w:cs="Times New Roman"/>
          <w:sz w:val="24"/>
          <w:szCs w:val="24"/>
        </w:rPr>
        <w:t>them</w:t>
      </w:r>
      <w:r w:rsidR="006412DA">
        <w:rPr>
          <w:rFonts w:ascii="Times New Roman" w:hAnsi="Times New Roman" w:cs="Times New Roman"/>
          <w:sz w:val="24"/>
          <w:szCs w:val="24"/>
        </w:rPr>
        <w:t xml:space="preserve"> to develop the Evaluative Research on Intervention and Context Assessment (ERIC-A) tool that can be used to assess contextual factors in PHIR</w:t>
      </w:r>
      <w:r w:rsidR="002A7C88">
        <w:rPr>
          <w:rFonts w:ascii="Times New Roman" w:hAnsi="Times New Roman" w:cs="Times New Roman"/>
          <w:sz w:val="24"/>
          <w:szCs w:val="24"/>
        </w:rPr>
        <w:t xml:space="preserve"> </w:t>
      </w:r>
      <w:r w:rsidR="008F2DA0">
        <w:rPr>
          <w:rFonts w:ascii="Times New Roman" w:hAnsi="Times New Roman" w:cs="Times New Roman"/>
          <w:sz w:val="24"/>
          <w:szCs w:val="24"/>
        </w:rPr>
        <w:t xml:space="preserve">and evaluative research </w:t>
      </w:r>
      <w:r w:rsidR="002A7C88">
        <w:rPr>
          <w:rFonts w:ascii="Times New Roman" w:hAnsi="Times New Roman" w:cs="Times New Roman"/>
          <w:sz w:val="24"/>
          <w:szCs w:val="24"/>
        </w:rPr>
        <w:t>(See Table 1 in Appendix</w:t>
      </w:r>
      <w:r w:rsidR="002A7C88" w:rsidRPr="00FB7BC8">
        <w:rPr>
          <w:rFonts w:ascii="Times New Roman" w:hAnsi="Times New Roman" w:cs="Times New Roman"/>
          <w:sz w:val="24"/>
          <w:szCs w:val="24"/>
        </w:rPr>
        <w:t>)</w:t>
      </w:r>
      <w:r w:rsidR="002D4B26" w:rsidRPr="00FB7BC8">
        <w:rPr>
          <w:rFonts w:ascii="Times New Roman" w:hAnsi="Times New Roman" w:cs="Times New Roman"/>
          <w:sz w:val="24"/>
          <w:szCs w:val="24"/>
        </w:rPr>
        <w:t xml:space="preserve"> using qualitative research methods</w:t>
      </w:r>
      <w:r w:rsidR="006412DA" w:rsidRPr="00FB7BC8">
        <w:rPr>
          <w:rFonts w:ascii="Times New Roman" w:hAnsi="Times New Roman" w:cs="Times New Roman"/>
          <w:sz w:val="24"/>
          <w:szCs w:val="24"/>
        </w:rPr>
        <w:t>.</w:t>
      </w:r>
      <w:r w:rsidR="00676E29" w:rsidRPr="00FB7BC8">
        <w:rPr>
          <w:rFonts w:ascii="Times New Roman" w:hAnsi="Times New Roman" w:cs="Times New Roman"/>
          <w:sz w:val="24"/>
          <w:szCs w:val="24"/>
        </w:rPr>
        <w:t xml:space="preserve"> T</w:t>
      </w:r>
      <w:r w:rsidR="00B80B11">
        <w:rPr>
          <w:rFonts w:ascii="Times New Roman" w:hAnsi="Times New Roman" w:cs="Times New Roman"/>
          <w:sz w:val="24"/>
          <w:szCs w:val="24"/>
        </w:rPr>
        <w:t xml:space="preserve">he </w:t>
      </w:r>
      <w:r w:rsidR="00676E29" w:rsidRPr="00FB7BC8">
        <w:rPr>
          <w:rFonts w:ascii="Times New Roman" w:hAnsi="Times New Roman" w:cs="Times New Roman"/>
          <w:sz w:val="24"/>
          <w:szCs w:val="24"/>
        </w:rPr>
        <w:t>ERIC-A tool</w:t>
      </w:r>
      <w:r w:rsidR="0063769A">
        <w:rPr>
          <w:rFonts w:ascii="Times New Roman" w:hAnsi="Times New Roman" w:cs="Times New Roman"/>
          <w:sz w:val="24"/>
          <w:szCs w:val="24"/>
        </w:rPr>
        <w:t xml:space="preserve"> for PHIR</w:t>
      </w:r>
      <w:r w:rsidR="005710EC">
        <w:rPr>
          <w:rFonts w:ascii="Times New Roman" w:hAnsi="Times New Roman" w:cs="Times New Roman"/>
          <w:sz w:val="24"/>
          <w:szCs w:val="24"/>
        </w:rPr>
        <w:t xml:space="preserve"> </w:t>
      </w:r>
      <w:r w:rsidR="00676E29" w:rsidRPr="00FB7BC8">
        <w:rPr>
          <w:rFonts w:ascii="Times New Roman" w:hAnsi="Times New Roman" w:cs="Times New Roman"/>
          <w:sz w:val="24"/>
          <w:szCs w:val="24"/>
        </w:rPr>
        <w:t>is made up of 13 domains and 2</w:t>
      </w:r>
      <w:r w:rsidR="006125E0" w:rsidRPr="00FB7BC8">
        <w:rPr>
          <w:rFonts w:ascii="Times New Roman" w:hAnsi="Times New Roman" w:cs="Times New Roman"/>
          <w:sz w:val="24"/>
          <w:szCs w:val="24"/>
        </w:rPr>
        <w:t>8</w:t>
      </w:r>
      <w:r w:rsidR="00676E29" w:rsidRPr="00FB7BC8">
        <w:rPr>
          <w:rFonts w:ascii="Times New Roman" w:hAnsi="Times New Roman" w:cs="Times New Roman"/>
          <w:sz w:val="24"/>
          <w:szCs w:val="24"/>
        </w:rPr>
        <w:t xml:space="preserve"> constructs. </w:t>
      </w:r>
      <w:r w:rsidR="00676E29">
        <w:rPr>
          <w:rFonts w:ascii="Times New Roman" w:hAnsi="Times New Roman" w:cs="Times New Roman"/>
          <w:sz w:val="24"/>
          <w:szCs w:val="24"/>
        </w:rPr>
        <w:t>A PHIR</w:t>
      </w:r>
      <w:r w:rsidR="000A28E1">
        <w:rPr>
          <w:rFonts w:ascii="Times New Roman" w:hAnsi="Times New Roman" w:cs="Times New Roman"/>
          <w:sz w:val="24"/>
          <w:szCs w:val="24"/>
        </w:rPr>
        <w:t xml:space="preserve"> or evaluative research</w:t>
      </w:r>
      <w:r w:rsidR="00676E29">
        <w:rPr>
          <w:rFonts w:ascii="Times New Roman" w:hAnsi="Times New Roman" w:cs="Times New Roman"/>
          <w:sz w:val="24"/>
          <w:szCs w:val="24"/>
        </w:rPr>
        <w:t xml:space="preserve"> scores ‘one’ if it considers a construct and deals with it favorably/effectively</w:t>
      </w:r>
      <w:r w:rsidR="00BB0F60">
        <w:rPr>
          <w:rFonts w:ascii="Times New Roman" w:hAnsi="Times New Roman" w:cs="Times New Roman"/>
          <w:sz w:val="24"/>
          <w:szCs w:val="24"/>
        </w:rPr>
        <w:t xml:space="preserve"> (if such is required)</w:t>
      </w:r>
      <w:r w:rsidR="00676E29">
        <w:rPr>
          <w:rFonts w:ascii="Times New Roman" w:hAnsi="Times New Roman" w:cs="Times New Roman"/>
          <w:sz w:val="24"/>
          <w:szCs w:val="24"/>
        </w:rPr>
        <w:t xml:space="preserve"> and ‘zero’ if it considers it but fails to rectify any issues associated with it </w:t>
      </w:r>
      <w:r w:rsidR="00BB0F60">
        <w:rPr>
          <w:rFonts w:ascii="Times New Roman" w:hAnsi="Times New Roman" w:cs="Times New Roman"/>
          <w:sz w:val="24"/>
          <w:szCs w:val="24"/>
        </w:rPr>
        <w:t xml:space="preserve">(if such is required) </w:t>
      </w:r>
      <w:r w:rsidR="00676E29">
        <w:rPr>
          <w:rFonts w:ascii="Times New Roman" w:hAnsi="Times New Roman" w:cs="Times New Roman"/>
          <w:sz w:val="24"/>
          <w:szCs w:val="24"/>
        </w:rPr>
        <w:t>or does not consider such a construct at all.</w:t>
      </w:r>
      <w:r w:rsidR="00753E2D">
        <w:rPr>
          <w:rFonts w:ascii="Times New Roman" w:hAnsi="Times New Roman" w:cs="Times New Roman"/>
          <w:sz w:val="24"/>
          <w:szCs w:val="24"/>
        </w:rPr>
        <w:t xml:space="preserve"> The scores are summed and</w:t>
      </w:r>
      <w:r w:rsidR="00062924">
        <w:rPr>
          <w:rFonts w:ascii="Times New Roman" w:hAnsi="Times New Roman" w:cs="Times New Roman"/>
          <w:sz w:val="24"/>
          <w:szCs w:val="24"/>
        </w:rPr>
        <w:t xml:space="preserve"> translated into percentages. A</w:t>
      </w:r>
      <w:r w:rsidR="00753E2D">
        <w:rPr>
          <w:rFonts w:ascii="Times New Roman" w:hAnsi="Times New Roman" w:cs="Times New Roman"/>
          <w:sz w:val="24"/>
          <w:szCs w:val="24"/>
        </w:rPr>
        <w:t xml:space="preserve"> </w:t>
      </w:r>
      <w:r w:rsidR="00062924">
        <w:rPr>
          <w:rFonts w:ascii="Times New Roman" w:hAnsi="Times New Roman" w:cs="Times New Roman"/>
          <w:sz w:val="24"/>
          <w:szCs w:val="24"/>
        </w:rPr>
        <w:t>7</w:t>
      </w:r>
      <w:r w:rsidR="00753E2D">
        <w:rPr>
          <w:rFonts w:ascii="Times New Roman" w:hAnsi="Times New Roman" w:cs="Times New Roman"/>
          <w:sz w:val="24"/>
          <w:szCs w:val="24"/>
        </w:rPr>
        <w:t xml:space="preserve">0% (or above) will mean that such a PHIR </w:t>
      </w:r>
      <w:r w:rsidR="00062924">
        <w:rPr>
          <w:rFonts w:ascii="Times New Roman" w:hAnsi="Times New Roman" w:cs="Times New Roman"/>
          <w:sz w:val="24"/>
          <w:szCs w:val="24"/>
        </w:rPr>
        <w:t xml:space="preserve">or intervention </w:t>
      </w:r>
      <w:r w:rsidR="00753E2D">
        <w:rPr>
          <w:rFonts w:ascii="Times New Roman" w:hAnsi="Times New Roman" w:cs="Times New Roman"/>
          <w:sz w:val="24"/>
          <w:szCs w:val="24"/>
        </w:rPr>
        <w:t>considered ‘context’</w:t>
      </w:r>
      <w:r w:rsidR="00F239CA">
        <w:rPr>
          <w:rFonts w:ascii="Times New Roman" w:hAnsi="Times New Roman" w:cs="Times New Roman"/>
          <w:sz w:val="24"/>
          <w:szCs w:val="24"/>
        </w:rPr>
        <w:t xml:space="preserve">, based on the empirical literature and the assessment </w:t>
      </w:r>
      <w:r w:rsidR="00F239CA">
        <w:rPr>
          <w:rFonts w:ascii="Times New Roman" w:hAnsi="Times New Roman" w:cs="Times New Roman"/>
          <w:sz w:val="24"/>
          <w:szCs w:val="24"/>
        </w:rPr>
        <w:lastRenderedPageBreak/>
        <w:t>details of similar tools</w:t>
      </w:r>
      <w:r w:rsidR="0064541D">
        <w:rPr>
          <w:rFonts w:ascii="Times New Roman" w:hAnsi="Times New Roman" w:cs="Times New Roman"/>
          <w:sz w:val="24"/>
          <w:szCs w:val="24"/>
        </w:rPr>
        <w:t>.</w:t>
      </w:r>
      <w:r w:rsidR="00753E2D">
        <w:rPr>
          <w:rFonts w:ascii="Times New Roman" w:hAnsi="Times New Roman" w:cs="Times New Roman"/>
          <w:sz w:val="24"/>
          <w:szCs w:val="24"/>
        </w:rPr>
        <w:t xml:space="preserve"> </w:t>
      </w:r>
      <w:r w:rsidR="004832D3">
        <w:rPr>
          <w:rFonts w:ascii="Times New Roman" w:hAnsi="Times New Roman" w:cs="Times New Roman"/>
          <w:sz w:val="24"/>
          <w:szCs w:val="24"/>
        </w:rPr>
        <w:t>The domains and constructs are explained in the Appendix</w:t>
      </w:r>
      <w:r w:rsidR="003510CC">
        <w:rPr>
          <w:rFonts w:ascii="Times New Roman" w:hAnsi="Times New Roman" w:cs="Times New Roman"/>
          <w:sz w:val="24"/>
          <w:szCs w:val="24"/>
        </w:rPr>
        <w:t xml:space="preserve"> (</w:t>
      </w:r>
      <w:r w:rsidR="00CD6EE9">
        <w:rPr>
          <w:rFonts w:ascii="Times New Roman" w:hAnsi="Times New Roman" w:cs="Times New Roman"/>
          <w:sz w:val="24"/>
          <w:szCs w:val="24"/>
        </w:rPr>
        <w:t xml:space="preserve">i.e., </w:t>
      </w:r>
      <w:r w:rsidR="003510CC">
        <w:rPr>
          <w:rFonts w:ascii="Times New Roman" w:hAnsi="Times New Roman" w:cs="Times New Roman"/>
          <w:sz w:val="24"/>
          <w:szCs w:val="24"/>
        </w:rPr>
        <w:t>Table 1)</w:t>
      </w:r>
      <w:r w:rsidR="004832D3">
        <w:rPr>
          <w:rFonts w:ascii="Times New Roman" w:hAnsi="Times New Roman" w:cs="Times New Roman"/>
          <w:sz w:val="24"/>
          <w:szCs w:val="24"/>
        </w:rPr>
        <w:t xml:space="preserve">. </w:t>
      </w:r>
      <w:r w:rsidR="00095445">
        <w:rPr>
          <w:rFonts w:ascii="Times New Roman" w:hAnsi="Times New Roman" w:cs="Times New Roman"/>
          <w:sz w:val="24"/>
          <w:szCs w:val="24"/>
        </w:rPr>
        <w:t>To the best of my knowledge, th</w:t>
      </w:r>
      <w:r w:rsidR="00C3063B">
        <w:rPr>
          <w:rFonts w:ascii="Times New Roman" w:hAnsi="Times New Roman" w:cs="Times New Roman"/>
          <w:sz w:val="24"/>
          <w:szCs w:val="24"/>
        </w:rPr>
        <w:t>e</w:t>
      </w:r>
      <w:r w:rsidR="00095445">
        <w:rPr>
          <w:rFonts w:ascii="Times New Roman" w:hAnsi="Times New Roman" w:cs="Times New Roman"/>
          <w:sz w:val="24"/>
          <w:szCs w:val="24"/>
        </w:rPr>
        <w:t xml:space="preserve"> ERIC-A tool would serve as the first tool designed to specifically evaluate PHIR or a population intervention </w:t>
      </w:r>
      <w:r w:rsidR="00F72C64">
        <w:rPr>
          <w:rFonts w:ascii="Times New Roman" w:hAnsi="Times New Roman" w:cs="Times New Roman"/>
          <w:sz w:val="24"/>
          <w:szCs w:val="24"/>
        </w:rPr>
        <w:t>based on</w:t>
      </w:r>
      <w:r w:rsidR="00095445">
        <w:rPr>
          <w:rFonts w:ascii="Times New Roman" w:hAnsi="Times New Roman" w:cs="Times New Roman"/>
          <w:sz w:val="24"/>
          <w:szCs w:val="24"/>
        </w:rPr>
        <w:t xml:space="preserve"> contextual factors.</w:t>
      </w:r>
      <w:r w:rsidR="006C37F4">
        <w:rPr>
          <w:rFonts w:ascii="Times New Roman" w:hAnsi="Times New Roman" w:cs="Times New Roman"/>
          <w:sz w:val="24"/>
          <w:szCs w:val="24"/>
        </w:rPr>
        <w:t xml:space="preserve"> It also provides a guide for interventions that are yet to be initiated or adopted.</w:t>
      </w:r>
    </w:p>
    <w:p w14:paraId="5FAABE2E" w14:textId="612656A7" w:rsidR="00C5238A" w:rsidRDefault="003D55A1" w:rsidP="00F632B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Mechanism</w:t>
      </w:r>
    </w:p>
    <w:p w14:paraId="515FD980" w14:textId="6E45209C" w:rsidR="00246604" w:rsidRDefault="003D55A1" w:rsidP="00F632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Context and outcomes can be </w:t>
      </w:r>
      <w:r w:rsidR="00DD1FF5">
        <w:rPr>
          <w:rFonts w:ascii="Times New Roman" w:hAnsi="Times New Roman" w:cs="Times New Roman"/>
          <w:sz w:val="24"/>
          <w:szCs w:val="24"/>
        </w:rPr>
        <w:t>assessed</w:t>
      </w:r>
      <w:r w:rsidR="003863CB">
        <w:rPr>
          <w:rFonts w:ascii="Times New Roman" w:hAnsi="Times New Roman" w:cs="Times New Roman"/>
          <w:sz w:val="24"/>
          <w:szCs w:val="24"/>
        </w:rPr>
        <w:t>,</w:t>
      </w:r>
      <w:r>
        <w:rPr>
          <w:rFonts w:ascii="Times New Roman" w:hAnsi="Times New Roman" w:cs="Times New Roman"/>
          <w:sz w:val="24"/>
          <w:szCs w:val="24"/>
        </w:rPr>
        <w:t xml:space="preserve"> but mechanism provides </w:t>
      </w:r>
      <w:r w:rsidR="008C794A">
        <w:rPr>
          <w:rFonts w:ascii="Times New Roman" w:hAnsi="Times New Roman" w:cs="Times New Roman"/>
          <w:sz w:val="24"/>
          <w:szCs w:val="24"/>
        </w:rPr>
        <w:t xml:space="preserve">details and </w:t>
      </w:r>
      <w:r>
        <w:rPr>
          <w:rFonts w:ascii="Times New Roman" w:hAnsi="Times New Roman" w:cs="Times New Roman"/>
          <w:sz w:val="24"/>
          <w:szCs w:val="24"/>
        </w:rPr>
        <w:t>information on the pathway of operation of the framework.</w:t>
      </w:r>
    </w:p>
    <w:p w14:paraId="389225BA" w14:textId="07E26C50" w:rsidR="003D55A1" w:rsidRPr="004B3A53" w:rsidRDefault="003D55A1" w:rsidP="00F632B7">
      <w:pPr>
        <w:spacing w:line="480" w:lineRule="auto"/>
        <w:jc w:val="both"/>
        <w:rPr>
          <w:rFonts w:ascii="Times New Roman" w:hAnsi="Times New Roman" w:cs="Times New Roman"/>
          <w:i/>
          <w:iCs/>
          <w:sz w:val="24"/>
          <w:szCs w:val="24"/>
        </w:rPr>
      </w:pPr>
      <w:r w:rsidRPr="004B3A53">
        <w:rPr>
          <w:rFonts w:ascii="Times New Roman" w:hAnsi="Times New Roman" w:cs="Times New Roman"/>
          <w:i/>
          <w:iCs/>
          <w:sz w:val="24"/>
          <w:szCs w:val="24"/>
        </w:rPr>
        <w:t>Structure of the Equi-PHIR framework</w:t>
      </w:r>
    </w:p>
    <w:p w14:paraId="67BBF0AA" w14:textId="105CB467" w:rsidR="007E127A" w:rsidRDefault="00246604" w:rsidP="00246604">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 xml:space="preserve">The mechanism of operation of population health interventions are explained as follows. </w:t>
      </w:r>
      <w:r w:rsidR="00286926">
        <w:rPr>
          <w:rFonts w:ascii="Times New Roman" w:hAnsi="Times New Roman" w:cs="Times New Roman"/>
          <w:sz w:val="24"/>
          <w:szCs w:val="24"/>
        </w:rPr>
        <w:t xml:space="preserve">The framework begins with an identified </w:t>
      </w:r>
      <w:r w:rsidR="00DC2492">
        <w:rPr>
          <w:rFonts w:ascii="Times New Roman" w:hAnsi="Times New Roman" w:cs="Times New Roman"/>
          <w:sz w:val="24"/>
          <w:szCs w:val="24"/>
        </w:rPr>
        <w:t>p</w:t>
      </w:r>
      <w:r w:rsidR="00286926">
        <w:rPr>
          <w:rFonts w:ascii="Times New Roman" w:hAnsi="Times New Roman" w:cs="Times New Roman"/>
          <w:sz w:val="24"/>
          <w:szCs w:val="24"/>
        </w:rPr>
        <w:t>opulation health intervention in the form of Universal Public Financing</w:t>
      </w:r>
      <w:r w:rsidR="00497C50">
        <w:rPr>
          <w:rStyle w:val="FootnoteReference"/>
          <w:rFonts w:ascii="Times New Roman" w:hAnsi="Times New Roman" w:cs="Times New Roman"/>
          <w:sz w:val="24"/>
          <w:szCs w:val="24"/>
        </w:rPr>
        <w:footnoteReference w:id="3"/>
      </w:r>
      <w:r w:rsidR="00286926">
        <w:rPr>
          <w:rFonts w:ascii="Times New Roman" w:hAnsi="Times New Roman" w:cs="Times New Roman"/>
          <w:sz w:val="24"/>
          <w:szCs w:val="24"/>
        </w:rPr>
        <w:t xml:space="preserve"> of programs, strategies, policies</w:t>
      </w:r>
      <w:r w:rsidR="004545C2">
        <w:rPr>
          <w:rFonts w:ascii="Times New Roman" w:hAnsi="Times New Roman" w:cs="Times New Roman"/>
          <w:sz w:val="24"/>
          <w:szCs w:val="24"/>
        </w:rPr>
        <w:t>,</w:t>
      </w:r>
      <w:r w:rsidR="00286926">
        <w:rPr>
          <w:rFonts w:ascii="Times New Roman" w:hAnsi="Times New Roman" w:cs="Times New Roman"/>
          <w:sz w:val="24"/>
          <w:szCs w:val="24"/>
        </w:rPr>
        <w:t xml:space="preserve"> or interventions within a target population</w:t>
      </w:r>
      <w:r w:rsidR="007D39DF">
        <w:rPr>
          <w:rFonts w:ascii="Times New Roman" w:hAnsi="Times New Roman" w:cs="Times New Roman"/>
          <w:sz w:val="24"/>
          <w:szCs w:val="24"/>
        </w:rPr>
        <w:t xml:space="preserve"> or macroeconomic policies or other health strategies (such as reduction in salt consumption</w:t>
      </w:r>
      <w:r w:rsidR="00C90CD0">
        <w:rPr>
          <w:rFonts w:ascii="Times New Roman" w:hAnsi="Times New Roman" w:cs="Times New Roman"/>
          <w:sz w:val="24"/>
          <w:szCs w:val="24"/>
        </w:rPr>
        <w:t xml:space="preserve">). </w:t>
      </w:r>
      <w:r w:rsidR="00C90CD0" w:rsidRPr="007A28AF">
        <w:rPr>
          <w:rFonts w:ascii="Times New Roman" w:hAnsi="Times New Roman" w:cs="Times New Roman"/>
          <w:sz w:val="24"/>
          <w:szCs w:val="24"/>
        </w:rPr>
        <w:t>Some articles have considered population health interventions such as Universal Public Financing of treatment</w:t>
      </w:r>
      <w:r w:rsidR="0040430D">
        <w:rPr>
          <w:rFonts w:ascii="Times New Roman" w:hAnsi="Times New Roman" w:cs="Times New Roman"/>
          <w:sz w:val="24"/>
          <w:szCs w:val="24"/>
        </w:rPr>
        <w:t xml:space="preserve"> or </w:t>
      </w:r>
      <w:r w:rsidR="00EC358B">
        <w:rPr>
          <w:rFonts w:ascii="Times New Roman" w:hAnsi="Times New Roman" w:cs="Times New Roman"/>
          <w:sz w:val="24"/>
          <w:szCs w:val="24"/>
        </w:rPr>
        <w:t>surgery</w:t>
      </w:r>
      <w:r w:rsidR="00C90CD0" w:rsidRPr="007A28AF">
        <w:rPr>
          <w:rFonts w:ascii="Times New Roman" w:hAnsi="Times New Roman" w:cs="Times New Roman"/>
          <w:sz w:val="24"/>
          <w:szCs w:val="24"/>
        </w:rPr>
        <w:t xml:space="preserve"> </w:t>
      </w:r>
      <w:r w:rsidR="00C90CD0">
        <w:rPr>
          <w:rFonts w:ascii="Times New Roman" w:hAnsi="Times New Roman" w:cs="Times New Roman"/>
          <w:sz w:val="24"/>
          <w:szCs w:val="24"/>
        </w:rPr>
        <w:t xml:space="preserve">interventions </w:t>
      </w:r>
      <w:r w:rsidR="00C90CD0">
        <w:rPr>
          <w:rFonts w:ascii="Times New Roman" w:hAnsi="Times New Roman" w:cs="Times New Roman"/>
          <w:sz w:val="24"/>
          <w:szCs w:val="24"/>
        </w:rPr>
        <w:fldChar w:fldCharType="begin" w:fldLock="1"/>
      </w:r>
      <w:r w:rsidR="00C90CD0">
        <w:rPr>
          <w:rFonts w:ascii="Times New Roman" w:hAnsi="Times New Roman" w:cs="Times New Roman"/>
          <w:sz w:val="24"/>
          <w:szCs w:val="24"/>
        </w:rPr>
        <w:instrText>ADDIN CSL_CITATION {"citationItems":[{"id":"ITEM-1","itemData":{"DOI":"10.1186/s12936-020-3103-5","ISSN":"14752875","PMID":"31973694","abstract":"Background: Malaria is a public health burden and a major cause for morbidity and mortality in Ethiopia. Malaria also places a substantial financial burden on families and Ethiopia's national economy. Economic evaluations, with evidence on equity and financial risk protection (FRP), are therefore essential to support decision-making for policymakers to identify best buys amongst possible malaria interventions. The aim of this study is to estimate the expected health and FRP benefits of universal public financing of key malaria interventions in Ethiopia. Methods: Using extended cost-effectiveness analysis (ECEA), the potential health and FRP benefits were estimated, and their distributions across socio-economic groups, of publicly financing a 10% coverage increase in artemisinin-based combination therapy (ACT), long-lasting insecticide-treated bed nets (LLIN), indoor residual spraying (IRS), and malaria vaccine (hypothetical). Results: ACT, LLIN, IRS, and vaccine would avert 358, 188, 107 and 38 deaths, respectively, each year at a net government cost of $5.7, 16.5, 32.6, and 5.1 million, respectively. The annual cost of implementing IRS would be two times higher than that of the LLIN interventions, and would be the main driver of the total costs. The averted deaths would be mainly concentrated in the poorest two income quintiles. The four interventions would eliminate about $4,627,800 of private health expenditures, and the poorest income quintiles would see the greatest FRP benefits. ACT and LLINs would have the largest impact on malaria-related deaths averted and FRP benefits. Conclusions: ACT, LLIN, IRS, and vaccine interventions would bring large health and financial benefits to the poorest households in Ethiopia.","author":[{"dropping-particle":"","family":"Assebe","given":"Lelisa Fekadu","non-dropping-particle":"","parse-names":false,"suffix":""},{"dropping-particle":"","family":"Kwete","given":"Xiaoxiao Jiang","non-dropping-particle":"","parse-names":false,"suffix":""},{"dropping-particle":"","family":"Wang","given":"Dan","non-dropping-particle":"","parse-names":false,"suffix":""},{"dropping-particle":"","family":"Liu","given":"Lingrui","non-dropping-particle":"","parse-names":false,"suffix":""},{"dropping-particle":"","family":"Norheim","given":"Ole Frithjof","non-dropping-particle":"","parse-names":false,"suffix":""},{"dropping-particle":"","family":"Jbaily","given":"Abdulrahman","non-dropping-particle":"","parse-names":false,"suffix":""},{"dropping-particle":"","family":"Verguet","given":"Stéphane","non-dropping-particle":"","parse-names":false,"suffix":""},{"dropping-particle":"","family":"Johansson","given":"Kjell Arne","non-dropping-particle":"","parse-names":false,"suffix":""},{"dropping-particle":"","family":"Tolla","given":"Mieraf Taddesse","non-dropping-particle":"","parse-names":false,"suffix":""}],"container-title":"Malaria Journal","id":"ITEM-1","issue":"1","issued":{"date-parts":[["2020"]]},"page":"1-10","publisher":"BioMed Central","title":"Health gains and financial risk protection afforded by public financing of selected malaria interventions in Ethiopia: An extended cost-effectiveness analysis","type":"article-journal","volume":"19"},"uris":["http://www.mendeley.com/documents/?uuid=2743b14c-6286-458b-96b4-c8e8e2bb5d36"]},{"id":"ITEM-2","itemData":{"DOI":"10.1093/heapol/czz181","ISSN":"14602237","PMID":"32031615","abstract":"Treatment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Planning","id":"ITEM-2","issue":"4","issued":{"date-parts":[["2020"]]},"page":"399-407","title":"Who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surgery","type":"article-journal","volume":"35"},"uris":["http://www.mendeley.com/documents/?uuid=60f525c3-7ceb-4a67-8c0b-85a3c7db2c8c"]}],"mendeley":{"formattedCitation":"(Assebe et al., 2020; Essue et al., 2020)","manualFormatting":"(Assebe et al., 2020; Essue et al., 2020","plainTextFormattedCitation":"(Assebe et al., 2020; Essue et al., 2020)","previouslyFormattedCitation":"(Assebe et al., 2020; Essue et al., 2020)"},"properties":{"noteIndex":0},"schema":"https://github.com/citation-style-language/schema/raw/master/csl-citation.json"}</w:instrText>
      </w:r>
      <w:r w:rsidR="00C90CD0">
        <w:rPr>
          <w:rFonts w:ascii="Times New Roman" w:hAnsi="Times New Roman" w:cs="Times New Roman"/>
          <w:sz w:val="24"/>
          <w:szCs w:val="24"/>
        </w:rPr>
        <w:fldChar w:fldCharType="separate"/>
      </w:r>
      <w:r w:rsidR="00C90CD0" w:rsidRPr="00127139">
        <w:rPr>
          <w:rFonts w:ascii="Times New Roman" w:hAnsi="Times New Roman" w:cs="Times New Roman"/>
          <w:noProof/>
          <w:sz w:val="24"/>
          <w:szCs w:val="24"/>
        </w:rPr>
        <w:t>(Assebe et al., 2020; Essue et al., 2020</w:t>
      </w:r>
      <w:r w:rsidR="00C90CD0">
        <w:rPr>
          <w:rFonts w:ascii="Times New Roman" w:hAnsi="Times New Roman" w:cs="Times New Roman"/>
          <w:sz w:val="24"/>
          <w:szCs w:val="24"/>
        </w:rPr>
        <w:fldChar w:fldCharType="end"/>
      </w:r>
      <w:r w:rsidR="00C90CD0">
        <w:rPr>
          <w:rFonts w:ascii="Times New Roman" w:hAnsi="Times New Roman" w:cs="Times New Roman"/>
          <w:sz w:val="24"/>
          <w:szCs w:val="24"/>
        </w:rPr>
        <w:t xml:space="preserve">)  </w:t>
      </w:r>
      <w:r w:rsidR="007D4084">
        <w:rPr>
          <w:rFonts w:ascii="Times New Roman" w:hAnsi="Times New Roman" w:cs="Times New Roman"/>
          <w:sz w:val="24"/>
          <w:szCs w:val="24"/>
        </w:rPr>
        <w:t>or</w:t>
      </w:r>
      <w:r w:rsidR="00C90CD0" w:rsidRPr="007A28AF">
        <w:rPr>
          <w:rFonts w:ascii="Times New Roman" w:hAnsi="Times New Roman" w:cs="Times New Roman"/>
          <w:sz w:val="24"/>
          <w:szCs w:val="24"/>
        </w:rPr>
        <w:t xml:space="preserve"> vaccination programs</w:t>
      </w:r>
      <w:r w:rsidR="00C90CD0">
        <w:rPr>
          <w:rFonts w:ascii="Times New Roman" w:hAnsi="Times New Roman" w:cs="Times New Roman"/>
          <w:sz w:val="24"/>
          <w:szCs w:val="24"/>
        </w:rPr>
        <w:t xml:space="preserve"> (</w:t>
      </w:r>
      <w:r w:rsidR="00C90CD0" w:rsidRPr="007A28AF">
        <w:rPr>
          <w:rFonts w:ascii="Times New Roman" w:hAnsi="Times New Roman" w:cs="Times New Roman"/>
          <w:sz w:val="24"/>
          <w:szCs w:val="24"/>
        </w:rPr>
        <w:fldChar w:fldCharType="begin" w:fldLock="1"/>
      </w:r>
      <w:r w:rsidR="00F608B6">
        <w:rPr>
          <w:rFonts w:ascii="Times New Roman" w:hAnsi="Times New Roman" w:cs="Times New Roman"/>
          <w:sz w:val="24"/>
          <w:szCs w:val="24"/>
        </w:rPr>
        <w:instrText>ADDIN CSL_CITATION {"citationItems":[{"id":"ITEM-1","itemData":{"DOI":"10.1136/bmjopen-2014-006402","ISSN":"20446055","PMID":"25941175","abstract":"OBJECTIVES: Policymakers face many decisions when considering public financing for health, including the kind of health interventions to include in a publically financed package. The consequences of these choices will influence health outcomes as well as the financial risk protection provided to different segments of the population. The purpose of this study is to illustrate the size and distribution of benefits due to treatment and prevention of diarrhoea (ie, rotavirus vaccination).\nMETHODS: We use an economic model to examine the impacts of universal public finance (UPF) of diarrhoeal treatment alone, as opposed to diarrhoeal treatment along with rotavirus vaccination in Ethiopia using extended cost-effectiveness analysis (ECEA). ECEA allows us to measure the health gains and financial risk protection provided by these interventions for each wealth quintile. Our model compares a baseline situation with diarrhoeal treatment seeking of 32% (overall) and no rotavirus vaccination, to a situation where UPF increases treatment seeking by 20 percentage points for each quintile and rotavirus vaccination reaches DTP (diphteria, pertussis, tetanus) 2 levels for each quintile (overall rate of 52%). We calculate deaths averted, private expenditures averted and costs incurred by the government under the baseline situation and with UPF.\nRESULTS: We find that diarrhoeal treatment paired with rotavirus vaccination is more cost effective than diarrhoeal treatment alone for the metrics we examine in this paper (deaths and private expenditures averted). Per US$1 million invested, diarrhoeal treatment saves 44 lives and averts US$115,000 in private expenditures. For the same investment, diarrhoeal treatment and rotavirus vaccination save 61 lives and avert US$150,000 in private expenditures. The health benefits of these interventions tend to benefit the poor, while the financial benefits favour the better-off.\nCONCLUSIONS: Policymakers should consider multiple benefit streams as well as their scale and incidence when considering public finance of health interventions.","author":[{"dropping-particle":"","family":"Pecenka","given":"Clinton J.","non-dropping-particle":"","parse-names":false,"suffix":""},{"dropping-particle":"","family":"Johansson","given":"Kjell Arne","non-dropping-particle":"","parse-names":false,"suffix":""},{"dropping-particle":"","family":"Memirie","given":"Solomon Tessema","non-dropping-particle":"","parse-names":false,"suffix":""},{"dropping-particle":"","family":"Jamison","given":"Dean T.","non-dropping-particle":"","parse-names":false,"suffix":""},{"dropping-particle":"","family":"Verguet","given":"Stéphane","non-dropping-particle":"","parse-names":false,"suffix":""}],"container-title":"BMJ open","id":"ITEM-1","issue":"4","issued":{"date-parts":[["2015"]]},"page":"e006402","title":"Health gains and financial risk protection: an extended cost-effectiveness analysis of treatment and prevention of diarrhoea in Ethiopia","type":"article-journal","volume":"5"},"uris":["http://www.mendeley.com/documents/?uuid=5516fdca-f656-4be1-8f6a-fc2d70c03f5c"]}],"mendeley":{"formattedCitation":"(Pecenka et al., 2015)","manualFormatting":"Pecenka et al., 2015","plainTextFormattedCitation":"(Pecenka et al., 2015)","previouslyFormattedCitation":"(Pecenka et al., 2015)"},"properties":{"noteIndex":0},"schema":"https://github.com/citation-style-language/schema/raw/master/csl-citation.json"}</w:instrText>
      </w:r>
      <w:r w:rsidR="00C90CD0" w:rsidRPr="007A28AF">
        <w:rPr>
          <w:rFonts w:ascii="Times New Roman" w:hAnsi="Times New Roman" w:cs="Times New Roman"/>
          <w:sz w:val="24"/>
          <w:szCs w:val="24"/>
        </w:rPr>
        <w:fldChar w:fldCharType="separate"/>
      </w:r>
      <w:r w:rsidR="00C90CD0" w:rsidRPr="007A28AF">
        <w:rPr>
          <w:rFonts w:ascii="Times New Roman" w:hAnsi="Times New Roman" w:cs="Times New Roman"/>
          <w:noProof/>
          <w:sz w:val="24"/>
          <w:szCs w:val="24"/>
        </w:rPr>
        <w:t>Pecenka et al.</w:t>
      </w:r>
      <w:r w:rsidR="00C90CD0">
        <w:rPr>
          <w:rFonts w:ascii="Times New Roman" w:hAnsi="Times New Roman" w:cs="Times New Roman"/>
          <w:noProof/>
          <w:sz w:val="24"/>
          <w:szCs w:val="24"/>
        </w:rPr>
        <w:t xml:space="preserve">, </w:t>
      </w:r>
      <w:r w:rsidR="00C90CD0" w:rsidRPr="007A28AF">
        <w:rPr>
          <w:rFonts w:ascii="Times New Roman" w:hAnsi="Times New Roman" w:cs="Times New Roman"/>
          <w:noProof/>
          <w:sz w:val="24"/>
          <w:szCs w:val="24"/>
        </w:rPr>
        <w:t>2015</w:t>
      </w:r>
      <w:r w:rsidR="00C90CD0" w:rsidRPr="007A28AF">
        <w:rPr>
          <w:rFonts w:ascii="Times New Roman" w:hAnsi="Times New Roman" w:cs="Times New Roman"/>
          <w:sz w:val="24"/>
          <w:szCs w:val="24"/>
        </w:rPr>
        <w:fldChar w:fldCharType="end"/>
      </w:r>
      <w:r w:rsidR="00C90CD0">
        <w:rPr>
          <w:rFonts w:ascii="Times New Roman" w:hAnsi="Times New Roman" w:cs="Times New Roman"/>
          <w:sz w:val="24"/>
          <w:szCs w:val="24"/>
        </w:rPr>
        <w:t>;</w:t>
      </w:r>
      <w:r w:rsidR="00C90CD0" w:rsidRPr="007A28AF">
        <w:rPr>
          <w:rFonts w:ascii="Times New Roman" w:hAnsi="Times New Roman" w:cs="Times New Roman"/>
          <w:sz w:val="24"/>
          <w:szCs w:val="24"/>
        </w:rPr>
        <w:t xml:space="preserve"> </w:t>
      </w:r>
      <w:r w:rsidR="00C90CD0" w:rsidRPr="007A28AF">
        <w:rPr>
          <w:rFonts w:ascii="Times New Roman" w:hAnsi="Times New Roman" w:cs="Times New Roman"/>
          <w:sz w:val="24"/>
          <w:szCs w:val="24"/>
        </w:rPr>
        <w:fldChar w:fldCharType="begin" w:fldLock="1"/>
      </w:r>
      <w:r w:rsidR="00F608B6">
        <w:rPr>
          <w:rFonts w:ascii="Times New Roman" w:hAnsi="Times New Roman" w:cs="Times New Roman"/>
          <w:sz w:val="24"/>
          <w:szCs w:val="24"/>
        </w:rPr>
        <w:instrText>ADDIN CSL_CITATION {"citationItems":[{"id":"ITEM-1","itemData":{"DOI":"10.1016/j.vaccine.2015.02.052","ISBN":"9781464803499","ISSN":"18732518","PMID":"25770785","abstract":"Introduction: Cervical cancer screening and existing health insurance schemes in China fall short of reaching women with prevention and treatment services, especially in rural areas where the disease burden is greatest. We conducted an extended cost-effectiveness analysis (ECEA) to evaluate public financing of HPV vaccination to prevent cervical cancer, adding new dimensions to conventional cost-effectiveness analysis through an explicit inclusion of equity and impact on financial risk protection. Methods: We synthesized available epidemiological, clinical, and economic data from China using an individual-based Monte Carlo simulation model of cervical cancer to estimate the distribution of deaths averted by income quintile, comparing vaccination plus screening against current practice. We also estimated reductions in cervical cancer incidence, net costs to the government (HPV vaccination costs minus cervical cancer treatment costs averted), and patient cost savings, as well as the incremental government health care costs per death averted. Results: HPV vaccination is cost-effective across all income groups when the cost is less than US $50 per vaccinated girl. Compared to screening alone, adding preadolescent HPV vaccination followed by cervical cancer screening in adulthood could reduce cancer by 44 percent across all income groups, while providing relatively higher financial protection to the poorest women. The absolute numbers of cervical cancer deaths averted and the financial risk protection from HPV vaccination are highest among women in the lowest quintile women in the bottom income quintiles received higher benefits than those in the upper wealth quintiles. Patient cost savings represent a large proportion of poor women's average per capita income, reaching 60 percent among women in the bottom income quintile and declining to 15 percent among women in the wealthiest quintile.","author":[{"dropping-particle":"","family":"Levin","given":"Carol E.","non-dropping-particle":"","parse-names":false,"suffix":""},{"dropping-particle":"","family":"Sharma","given":"Monisha","non-dropping-particle":"","parse-names":false,"suffix":""},{"dropping-particle":"","family":"Olson","given":"Zachary","non-dropping-particle":"","parse-names":false,"suffix":""},{"dropping-particle":"","family":"Verguet","given":"Stéphane","non-dropping-particle":"","parse-names":false,"suffix":""},{"dropping-particle":"","family":"Shi","given":"Ju Fang","non-dropping-particle":"","parse-names":false,"suffix":""},{"dropping-particle":"","family":"Wang","given":"Shao Ming","non-dropping-particle":"","parse-names":false,"suffix":""},{"dropping-particle":"","family":"Qiao","given":"You Lin","non-dropping-particle":"","parse-names":false,"suffix":""},{"dropping-particle":"","family":"Jamison","given":"Dean T.","non-dropping-particle":"","parse-names":false,"suffix":""},{"dropping-particle":"","family":"Kim","given":"Jane J.","non-dropping-particle":"","parse-names":false,"suffix":""}],"container-title":"Vaccine","id":"ITEM-1","issue":"24","issued":{"date-parts":[["2015"]]},"page":"2830-2841","publisher":"Elsevier Ltd","title":"An extended cost-effectiveness analysis of publicly financed HPV vaccination to prevent cervical cancer in China","type":"article-journal","volume":"33"},"uris":["http://www.mendeley.com/documents/?uuid=176dd89d-c055-4911-9274-b26fef46f9e5"]}],"mendeley":{"formattedCitation":"(Levin et al., 2015)","manualFormatting":"Levin et al., 2015; Johansson et al., 2015)","plainTextFormattedCitation":"(Levin et al., 2015)","previouslyFormattedCitation":"(Levin et al., 2015)"},"properties":{"noteIndex":0},"schema":"https://github.com/citation-style-language/schema/raw/master/csl-citation.json"}</w:instrText>
      </w:r>
      <w:r w:rsidR="00C90CD0" w:rsidRPr="007A28AF">
        <w:rPr>
          <w:rFonts w:ascii="Times New Roman" w:hAnsi="Times New Roman" w:cs="Times New Roman"/>
          <w:sz w:val="24"/>
          <w:szCs w:val="24"/>
        </w:rPr>
        <w:fldChar w:fldCharType="separate"/>
      </w:r>
      <w:r w:rsidR="00C90CD0" w:rsidRPr="007A28AF">
        <w:rPr>
          <w:rFonts w:ascii="Times New Roman" w:hAnsi="Times New Roman" w:cs="Times New Roman"/>
          <w:noProof/>
          <w:sz w:val="24"/>
          <w:szCs w:val="24"/>
        </w:rPr>
        <w:t>Levin et al.</w:t>
      </w:r>
      <w:r w:rsidR="00C90CD0">
        <w:rPr>
          <w:rFonts w:ascii="Times New Roman" w:hAnsi="Times New Roman" w:cs="Times New Roman"/>
          <w:noProof/>
          <w:sz w:val="24"/>
          <w:szCs w:val="24"/>
        </w:rPr>
        <w:t xml:space="preserve">, </w:t>
      </w:r>
      <w:r w:rsidR="00C90CD0" w:rsidRPr="007A28AF">
        <w:rPr>
          <w:rFonts w:ascii="Times New Roman" w:hAnsi="Times New Roman" w:cs="Times New Roman"/>
          <w:noProof/>
          <w:sz w:val="24"/>
          <w:szCs w:val="24"/>
        </w:rPr>
        <w:t>2015</w:t>
      </w:r>
      <w:r w:rsidR="00C90CD0">
        <w:rPr>
          <w:rFonts w:ascii="Times New Roman" w:hAnsi="Times New Roman" w:cs="Times New Roman"/>
          <w:noProof/>
          <w:sz w:val="24"/>
          <w:szCs w:val="24"/>
        </w:rPr>
        <w:t xml:space="preserve">; </w:t>
      </w:r>
      <w:r w:rsidR="00C90CD0" w:rsidRPr="007A28AF">
        <w:rPr>
          <w:rFonts w:ascii="Times New Roman" w:hAnsi="Times New Roman" w:cs="Times New Roman"/>
          <w:noProof/>
          <w:sz w:val="24"/>
          <w:szCs w:val="24"/>
        </w:rPr>
        <w:fldChar w:fldCharType="begin" w:fldLock="1"/>
      </w:r>
      <w:r w:rsidR="00F608B6">
        <w:rPr>
          <w:rFonts w:ascii="Times New Roman" w:hAnsi="Times New Roman" w:cs="Times New Roman"/>
          <w:noProof/>
          <w:sz w:val="24"/>
          <w:szCs w:val="24"/>
        </w:rPr>
        <w:instrText>ADDIN CSL_CITATION {"citationItems":[{"id":"ITEM-1","itemData":{"DOI":"10.1371/journal.pone.0142691","ISSN":"19326203","PMID":"26650078","abstract":"Background Pneumonia and pneumococcal disease cause a large disease burden in resource-constrained settings. We pursue an extended cost-effectiveness analysis (ECEA) of two fully publicly financed interventions in Ethiopia: pneumococcal vaccination for newborns and pneumonia treatment for under-five children in Ethiopia. Methods We apply ECEA methods and estimate the program impact on: (1) government program costs; (2) pneumonia and pneumococcal deaths averted; (3) household expenses related to pneumonia/pneumococcal disease treatment averted; (4) prevention of household medical impoverishment measured by an imputed money-metric value of financial risk protection; and (5) distributional consequences across the wealth strata of the country population. Available epidemiological and cost data from Ethiopia are applied and the two interventions are assessed separately at various incremental coverage levels. Results Scaling-up pneumococcal vaccines at around 40% coverage would cost about $11.5 million and avert about 2090 child deaths annually, while a 10% increase of pneumonia treatment to all children under 5 years of age would cost about $13.9 million and avert 2610 deaths annually. Health benefits of the two interventions publicly financed would be concentrated among the bottom income quintile, where 3040% of all deaths averted would be expected to occur in the poorest quintile. In sum, the two interventions would eliminate a total of $2.4 million of private household expenditures annually, where the richest quintile benefits from around 30% of the total private expenditures averted. The financial risk protection benefits would be largely concentrated among the bottom income quintile. The results are most sensitive to variations in vaccine price, population size, number of deaths due to pneumonia, efficacy of interventions and out-of-pocket copayment share. Conclusions Vaccine and treatment interventions for children, as shown with the illustrative examples of pneumococcal vaccine and pneumonia treatment, can bring large health and financial benefits to households in Ethiopia, most particularly among the poorest socio-economic groups.","author":[{"dropping-particle":"","family":"Johansson","given":"Kjell Arne","non-dropping-particle":"","parse-names":false,"suffix":""},{"dropping-particle":"","family":"Memirie","given":"Solomon Tessema","non-dropping-particle":"","parse-names":false,"suffix":""},{"dropping-particle":"","family":"Pecenka","given":"Clint","non-dropping-particle":"","parse-names":false,"suffix":""},{"dropping-particle":"","family":"Jamison","given":"Dean T.","non-dropping-particle":"","parse-names":false,"suffix":""},{"dropping-particle":"","family":"Verguet","given":"Stéphane","non-dropping-particle":"","parse-names":false,"suffix":""}],"container-title":"PLoS ONE","id":"ITEM-1","issue":"12","issued":{"date-parts":[["2015"]]},"page":"1-16","title":"Health Gains and Financial Protection from Pneumococcal Vaccination and Pneumonia Treatment in Ethiopia: Results from an Extended Cost-Effectiveness Analysis","type":"article-journal","volume":"10"},"uris":["http://www.mendeley.com/documents/?uuid=94edce7c-522a-4086-a11e-1a21d1ee8380"]}],"mendeley":{"formattedCitation":"(Johansson et al., 2015)","manualFormatting":"Johansson et al., 2015)","plainTextFormattedCitation":"(Johansson et al., 2015)","previouslyFormattedCitation":"(Johansson et al., 2015)"},"properties":{"noteIndex":0},"schema":"https://github.com/citation-style-language/schema/raw/master/csl-citation.json"}</w:instrText>
      </w:r>
      <w:r w:rsidR="00C90CD0" w:rsidRPr="007A28AF">
        <w:rPr>
          <w:rFonts w:ascii="Times New Roman" w:hAnsi="Times New Roman" w:cs="Times New Roman"/>
          <w:noProof/>
          <w:sz w:val="24"/>
          <w:szCs w:val="24"/>
        </w:rPr>
        <w:fldChar w:fldCharType="separate"/>
      </w:r>
      <w:r w:rsidR="00C90CD0" w:rsidRPr="007A28AF">
        <w:rPr>
          <w:rFonts w:ascii="Times New Roman" w:hAnsi="Times New Roman" w:cs="Times New Roman"/>
          <w:noProof/>
          <w:sz w:val="24"/>
          <w:szCs w:val="24"/>
        </w:rPr>
        <w:t>Johansson et al.</w:t>
      </w:r>
      <w:r w:rsidR="00C90CD0">
        <w:rPr>
          <w:rFonts w:ascii="Times New Roman" w:hAnsi="Times New Roman" w:cs="Times New Roman"/>
          <w:noProof/>
          <w:sz w:val="24"/>
          <w:szCs w:val="24"/>
        </w:rPr>
        <w:t xml:space="preserve">, </w:t>
      </w:r>
      <w:r w:rsidR="00C90CD0" w:rsidRPr="007A28AF">
        <w:rPr>
          <w:rFonts w:ascii="Times New Roman" w:hAnsi="Times New Roman" w:cs="Times New Roman"/>
          <w:noProof/>
          <w:sz w:val="24"/>
          <w:szCs w:val="24"/>
        </w:rPr>
        <w:t>2015)</w:t>
      </w:r>
      <w:r w:rsidR="00C90CD0" w:rsidRPr="007A28AF">
        <w:rPr>
          <w:rFonts w:ascii="Times New Roman" w:hAnsi="Times New Roman" w:cs="Times New Roman"/>
          <w:noProof/>
          <w:sz w:val="24"/>
          <w:szCs w:val="24"/>
        </w:rPr>
        <w:fldChar w:fldCharType="end"/>
      </w:r>
      <w:r w:rsidR="00C90CD0" w:rsidRPr="007A28AF">
        <w:rPr>
          <w:rFonts w:ascii="Times New Roman" w:hAnsi="Times New Roman" w:cs="Times New Roman"/>
          <w:sz w:val="24"/>
          <w:szCs w:val="24"/>
        </w:rPr>
        <w:fldChar w:fldCharType="end"/>
      </w:r>
      <w:r w:rsidR="00C90CD0" w:rsidRPr="007A28AF">
        <w:rPr>
          <w:rFonts w:ascii="Times New Roman" w:hAnsi="Times New Roman" w:cs="Times New Roman"/>
          <w:sz w:val="24"/>
          <w:szCs w:val="24"/>
        </w:rPr>
        <w:t xml:space="preserve"> for several diseases/illnesses and others have considered macroeconomic health policies such as excise tax</w:t>
      </w:r>
      <w:r w:rsidR="00C90CD0">
        <w:rPr>
          <w:rFonts w:ascii="Times New Roman" w:hAnsi="Times New Roman" w:cs="Times New Roman"/>
          <w:sz w:val="24"/>
          <w:szCs w:val="24"/>
        </w:rPr>
        <w:t xml:space="preserve"> </w:t>
      </w:r>
      <w:r w:rsidR="00C90CD0" w:rsidRPr="007A28AF">
        <w:rPr>
          <w:rFonts w:ascii="Times New Roman" w:hAnsi="Times New Roman" w:cs="Times New Roman"/>
          <w:sz w:val="24"/>
          <w:szCs w:val="24"/>
        </w:rPr>
        <w:t>on sugar-sweetened beverages and/or tobacco</w:t>
      </w:r>
      <w:r w:rsidR="00C816FC">
        <w:rPr>
          <w:rFonts w:ascii="Times New Roman" w:hAnsi="Times New Roman" w:cs="Times New Roman"/>
          <w:sz w:val="24"/>
          <w:szCs w:val="24"/>
        </w:rPr>
        <w:t xml:space="preserve"> </w:t>
      </w:r>
      <w:r w:rsidR="00C816FC">
        <w:rPr>
          <w:rFonts w:ascii="Times New Roman" w:hAnsi="Times New Roman" w:cs="Times New Roman"/>
          <w:sz w:val="24"/>
          <w:szCs w:val="24"/>
        </w:rPr>
        <w:fldChar w:fldCharType="begin" w:fldLock="1"/>
      </w:r>
      <w:r w:rsidR="00C816FC">
        <w:rPr>
          <w:rFonts w:ascii="Times New Roman" w:hAnsi="Times New Roman" w:cs="Times New Roman"/>
          <w:sz w:val="24"/>
          <w:szCs w:val="24"/>
        </w:rPr>
        <w:instrText>ADDIN CSL_CITATION {"citationItems":[{"id":"ITEM-1","itemData":{"DOI":"10.12688/gatesopenres.13127.1","ISSN":"25724754","abstract":"Background: In India, about one million deaths occur every year due to smoking. Tobacco taxation is the most effective intervention in reducing smoking. In this paper, we examine the impact of a one-time large cigarette price increase, through an increase in excise tax, on health and financing outcomes in four Indian states. Methods: We used extended cost-effectiveness analysis to estimate, across income quintiles, the life-years gained, treatment cost averted, number of men avoiding catastrophic health expenditures and extreme poverty, additional tax revenue collected, and savings to the Ayushman Bharat Pradhan Mantri Jan Arogya Yojana (AB-PMJAY) with a cigarette price increase to Indian Rupees (INR) 10 plus 10% ad valorem in four Indian states. Results: With the price increase, about 1.5 million men would quit smoking across the four states, with the bottom income group having 7.4 times as many quitters as the top income group (485,725 vs 65,762). As a result of quitting, about 665,000 deaths would be averted. This would yield about 11.9 million life-years, with the bottom income group gaining 7.3 times more than the top income group. Of the INR 1,729 crore in treatment cost averted, the bottom income group would avert 7.4 times more than the top income group. About 454,000 men would avoid catastrophic health expenditures and 75,000 men would avoid falling into extreme poverty. The treatment cost and impoverishment averted would save about INR 672 crore in AB-PMJAY. The tax increase would in turn, generate an additional tax revenue of about INR 4,385 crore. In contrast to the distribution of health benefits, the extra revenue generated from the top income group would be about 3.1 times that from the bottom income group. Conclusions: Cigarette tax increase can provide significant health and economic gains and is a pro-poor policy for India.","author":[{"dropping-particle":"","family":"Jha","given":"Prabhat","non-dropping-particle":"","parse-names":false,"suffix":""},{"dropping-particle":"","family":"Wu","given":"Daphne C.","non-dropping-particle":"","parse-names":false,"suffix":""},{"dropping-particle":"","family":"Sheel","given":"Vikas","non-dropping-particle":"","parse-names":false,"suffix":""},{"dropping-particle":"","family":"Gupta","given":"Pooja","non-dropping-particle":"","parse-names":false,"suffix":""},{"dropping-particle":"","family":"Essue","given":"Beverley M.","non-dropping-particle":"","parse-names":false,"suffix":""},{"dropping-particle":"","family":"Luong","given":"Linh","non-dropping-particle":"","parse-names":false,"suffix":""}],"container-title":"Gates Open Research","id":"ITEM-1","issued":{"date-parts":[["2020"]]},"page":"1-18","title":"Impact of cigarette tax increase on health and financing outcomes in four Indian states","type":"article-journal","volume":"4"},"uris":["http://www.mendeley.com/documents/?uuid=12a92d80-32c8-403b-9453-a5e8d273f5d2"]}],"mendeley":{"formattedCitation":"(Jha et al., 2020)","manualFormatting":"(Verguet et al., 2017; Postolovska et al., 2018; Jha et al., 2020) ","plainTextFormattedCitation":"(Jha et al., 2020)","previouslyFormattedCitation":"(Jha et al., 2020)"},"properties":{"noteIndex":0},"schema":"https://github.com/citation-style-language/schema/raw/master/csl-citation.json"}</w:instrText>
      </w:r>
      <w:r w:rsidR="00C816FC">
        <w:rPr>
          <w:rFonts w:ascii="Times New Roman" w:hAnsi="Times New Roman" w:cs="Times New Roman"/>
          <w:sz w:val="24"/>
          <w:szCs w:val="24"/>
        </w:rPr>
        <w:fldChar w:fldCharType="separate"/>
      </w:r>
      <w:r w:rsidR="00C816FC" w:rsidRPr="00127139">
        <w:rPr>
          <w:rFonts w:ascii="Times New Roman" w:hAnsi="Times New Roman" w:cs="Times New Roman"/>
          <w:noProof/>
          <w:sz w:val="24"/>
          <w:szCs w:val="24"/>
        </w:rPr>
        <w:t>(</w:t>
      </w:r>
      <w:r w:rsidR="00C816FC" w:rsidRPr="007A28AF">
        <w:rPr>
          <w:rFonts w:ascii="Times New Roman" w:hAnsi="Times New Roman" w:cs="Times New Roman"/>
          <w:noProof/>
          <w:sz w:val="24"/>
          <w:szCs w:val="24"/>
        </w:rPr>
        <w:fldChar w:fldCharType="begin" w:fldLock="1"/>
      </w:r>
      <w:r w:rsidR="00C816FC">
        <w:rPr>
          <w:rFonts w:ascii="Times New Roman" w:hAnsi="Times New Roman" w:cs="Times New Roman"/>
          <w:noProof/>
          <w:sz w:val="24"/>
          <w:szCs w:val="24"/>
        </w:rPr>
        <w:instrText>ADDIN CSL_CITATION {"citationItems":[{"id":"ITEM-1","itemData":{"DOI":"10.7189/jogh.07.020701","ISSN":"20472986","PMID":"29188029","abstract":"Background Tobacco taxation and smoke-free workplaces reduce smoking, tobacco-related premature deaths and associated out-of- pocket health care expenditures. We examine the distributional consequences of a price increase in tobacco products through an excise tax hike, and of an implementation of smoke-free workplaces, in China. Methods We use extended cost-effectiveness analysis (ECEA) to evaluate, across income quintiles of the male population (the large majority of Chinese smokers), the premature deaths averted, the change in tax revenues generated, and the financial risk protection procured (eg, poverty cases averted, defined as the number of individuals no longer facing tobacco-related out-of-pocket expenditures for disease treatment, that would otherwise impoverish them), that would follow a 75% increase in cigarette prices through substantial increments in excise tax fully passed onto consumers, and a nationwide total implementation of workplace smoking bans. Results A 75% increase in cigarette prices would avert about 24 million premature deaths among the current Chinese male population, with a third among the bottom income quintile, increase additional tax revenues by US$ 46 billion annually, and prevent around 9 million poverty cases, 19% of which among the bottom income quintile. Implementation of smoking bans in workplaces would avert about 12 million premature deaths, with a fifth among the bottom income quintile, decrease tax revenues by US$ 7 billion annually, and prevent around 4 million poverty cases, 12% of which among the bottom income quintile. Conclusions Increased excise taxes on tobacco products and workplace smoking bans can procure large health and economic benefits to the Chinese population, especially among the poor.","author":[{"dropping-particle":"","family":"Verguet","given":"Stéphane","non-dropping-particle":"","parse-names":false,"suffix":""},{"dropping-particle":"","family":"Tarr","given":"Gillian","non-dropping-particle":"","parse-names":false,"suffix":""},{"dropping-particle":"","family":"Gauvreau","given":"Cindy L.","non-dropping-particle":"","parse-names":false,"suffix":""},{"dropping-particle":"","family":"Mishra","given":"Sujata","non-dropping-particle":"","parse-names":false,"suffix":""},{"dropping-particle":"","family":"Jha","given":"Prabhat","non-dropping-particle":"","parse-names":false,"suffix":""},{"dropping-particle":"","family":"Liu","given":"Lingrui","non-dropping-particle":"","parse-names":false,"suffix":""},{"dropping-particle":"","family":"Xiao","given":"Yue","non-dropping-particle":"","parse-names":false,"suffix":""},{"dropping-particle":"","family":"Qiu","given":"Yingpeng","non-dropping-particle":"","parse-names":false,"suffix":""},{"dropping-particle":"","family":"Zhao","given":"Kun","non-dropping-particle":"","parse-names":false,"suffix":""}],"container-title":"Journal of Global Health","id":"ITEM-1","issue":"2","issued":{"date-parts":[["2017"]]},"page":"1-13","title":"Distributional benefits of tobacco tax and smoke-free workplaces in China: A modeling study","type":"article-journal","volume":"7"},"uris":["http://www.mendeley.com/documents/?uuid=bac6c289-81f1-42c3-9637-5c6f9ddaa6ec"]}],"mendeley":{"formattedCitation":"(Verguet et al., 2017)","manualFormatting":"Verguet et al., 2017","plainTextFormattedCitation":"(Verguet et al., 2017)","previouslyFormattedCitation":"(Verguet et al., 2017)"},"properties":{"noteIndex":0},"schema":"https://github.com/citation-style-language/schema/raw/master/csl-citation.json"}</w:instrText>
      </w:r>
      <w:r w:rsidR="00C816FC" w:rsidRPr="007A28AF">
        <w:rPr>
          <w:rFonts w:ascii="Times New Roman" w:hAnsi="Times New Roman" w:cs="Times New Roman"/>
          <w:noProof/>
          <w:sz w:val="24"/>
          <w:szCs w:val="24"/>
        </w:rPr>
        <w:fldChar w:fldCharType="separate"/>
      </w:r>
      <w:r w:rsidR="00C816FC" w:rsidRPr="007A28AF">
        <w:rPr>
          <w:rFonts w:ascii="Times New Roman" w:hAnsi="Times New Roman" w:cs="Times New Roman"/>
          <w:noProof/>
          <w:sz w:val="24"/>
          <w:szCs w:val="24"/>
        </w:rPr>
        <w:t>Verguet et al.</w:t>
      </w:r>
      <w:r w:rsidR="00C816FC">
        <w:rPr>
          <w:rFonts w:ascii="Times New Roman" w:hAnsi="Times New Roman" w:cs="Times New Roman"/>
          <w:noProof/>
          <w:sz w:val="24"/>
          <w:szCs w:val="24"/>
        </w:rPr>
        <w:t xml:space="preserve">, </w:t>
      </w:r>
      <w:r w:rsidR="00C816FC" w:rsidRPr="007A28AF">
        <w:rPr>
          <w:rFonts w:ascii="Times New Roman" w:hAnsi="Times New Roman" w:cs="Times New Roman"/>
          <w:noProof/>
          <w:sz w:val="24"/>
          <w:szCs w:val="24"/>
        </w:rPr>
        <w:t>2017</w:t>
      </w:r>
      <w:r w:rsidR="00C816FC" w:rsidRPr="007A28AF">
        <w:rPr>
          <w:rFonts w:ascii="Times New Roman" w:hAnsi="Times New Roman" w:cs="Times New Roman"/>
          <w:noProof/>
          <w:sz w:val="24"/>
          <w:szCs w:val="24"/>
        </w:rPr>
        <w:fldChar w:fldCharType="end"/>
      </w:r>
      <w:r w:rsidR="00C816FC">
        <w:rPr>
          <w:rFonts w:ascii="Times New Roman" w:hAnsi="Times New Roman" w:cs="Times New Roman"/>
          <w:noProof/>
          <w:sz w:val="24"/>
          <w:szCs w:val="24"/>
        </w:rPr>
        <w:t xml:space="preserve">; </w:t>
      </w:r>
      <w:r w:rsidR="00C816FC" w:rsidRPr="007A28AF">
        <w:rPr>
          <w:rFonts w:ascii="Times New Roman" w:hAnsi="Times New Roman" w:cs="Times New Roman"/>
          <w:noProof/>
          <w:sz w:val="24"/>
          <w:szCs w:val="24"/>
        </w:rPr>
        <w:fldChar w:fldCharType="begin" w:fldLock="1"/>
      </w:r>
      <w:r w:rsidR="00C816FC">
        <w:rPr>
          <w:rFonts w:ascii="Times New Roman" w:hAnsi="Times New Roman" w:cs="Times New Roman"/>
          <w:noProof/>
          <w:sz w:val="24"/>
          <w:szCs w:val="24"/>
        </w:rPr>
        <w:instrText>ADDIN CSL_CITATION {"citationItems":[{"id":"ITEM-1","itemData":{"DOI":"10.1080/23288604.2017.1413494","author":[{"dropping-particle":"","family":"Postolovska","given":"Iryna","non-dropping-particle":"","parse-names":false,"suffix":""},{"dropping-particle":"","family":"Lavado","given":"Rouselle","non-dropping-particle":"","parse-names":false,"suffix":""},{"dropping-particle":"","family":"Tarr","given":"Gillian","non-dropping-particle":"","parse-names":false,"suffix":""},{"dropping-particle":"","family":"Verguet","given":"Stéphane","non-dropping-particle":"","parse-names":false,"suffix":""},{"dropping-particle":"","family":"Iryna","given":"Francis","non-dropping-particle":"","parse-names":false,"suffix":""},{"dropping-particle":"","family":"Postolovska","given":"Iryna","non-dropping-particle":"","parse-names":false,"suffix":""},{"dropping-particle":"","family":"Lavado","given":"Rouselle","non-dropping-particle":"","parse-names":false,"suffix":""},{"dropping-particle":"","family":"Tarr","given":"Gillian","non-dropping-particle":"","parse-names":false,"suffix":""}],"id":"ITEM-1","issued":{"date-parts":[["2018"]]},"title":"The Health Gains , Financial Risk Protection Benefits , and Distributional Impact of Increased Tobacco Taxes in Armenia The Health Gains , Financial Risk Protection Benefits , and Distributional Impact of Increased Tobacco Taxes in Armenia","type":"article-journal","volume":"8604"},"uris":["http://www.mendeley.com/documents/?uuid=e49b6d89-8a31-4674-9477-d2323605a0de"]}],"mendeley":{"formattedCitation":"(Postolovska et al., 2018)","manualFormatting":"Postolovska et al., 2018","plainTextFormattedCitation":"(Postolovska et al., 2018)","previouslyFormattedCitation":"(Postolovska et al., 2018)"},"properties":{"noteIndex":0},"schema":"https://github.com/citation-style-language/schema/raw/master/csl-citation.json"}</w:instrText>
      </w:r>
      <w:r w:rsidR="00C816FC" w:rsidRPr="007A28AF">
        <w:rPr>
          <w:rFonts w:ascii="Times New Roman" w:hAnsi="Times New Roman" w:cs="Times New Roman"/>
          <w:noProof/>
          <w:sz w:val="24"/>
          <w:szCs w:val="24"/>
        </w:rPr>
        <w:fldChar w:fldCharType="separate"/>
      </w:r>
      <w:r w:rsidR="00C816FC" w:rsidRPr="007A28AF">
        <w:rPr>
          <w:rFonts w:ascii="Times New Roman" w:hAnsi="Times New Roman" w:cs="Times New Roman"/>
          <w:noProof/>
          <w:sz w:val="24"/>
          <w:szCs w:val="24"/>
        </w:rPr>
        <w:t>Postolovska et al.</w:t>
      </w:r>
      <w:r w:rsidR="00C816FC">
        <w:rPr>
          <w:rFonts w:ascii="Times New Roman" w:hAnsi="Times New Roman" w:cs="Times New Roman"/>
          <w:noProof/>
          <w:sz w:val="24"/>
          <w:szCs w:val="24"/>
        </w:rPr>
        <w:t xml:space="preserve">, </w:t>
      </w:r>
      <w:r w:rsidR="00C816FC" w:rsidRPr="007A28AF">
        <w:rPr>
          <w:rFonts w:ascii="Times New Roman" w:hAnsi="Times New Roman" w:cs="Times New Roman"/>
          <w:noProof/>
          <w:sz w:val="24"/>
          <w:szCs w:val="24"/>
        </w:rPr>
        <w:t>2018</w:t>
      </w:r>
      <w:r w:rsidR="00C816FC" w:rsidRPr="007A28AF">
        <w:rPr>
          <w:rFonts w:ascii="Times New Roman" w:hAnsi="Times New Roman" w:cs="Times New Roman"/>
          <w:noProof/>
          <w:sz w:val="24"/>
          <w:szCs w:val="24"/>
        </w:rPr>
        <w:fldChar w:fldCharType="end"/>
      </w:r>
      <w:r w:rsidR="00C816FC">
        <w:rPr>
          <w:rFonts w:ascii="Times New Roman" w:hAnsi="Times New Roman" w:cs="Times New Roman"/>
          <w:noProof/>
          <w:sz w:val="24"/>
          <w:szCs w:val="24"/>
        </w:rPr>
        <w:t xml:space="preserve">; </w:t>
      </w:r>
      <w:r w:rsidR="00C816FC" w:rsidRPr="00127139">
        <w:rPr>
          <w:rFonts w:ascii="Times New Roman" w:hAnsi="Times New Roman" w:cs="Times New Roman"/>
          <w:noProof/>
          <w:sz w:val="24"/>
          <w:szCs w:val="24"/>
        </w:rPr>
        <w:t>Jha et al., 2020</w:t>
      </w:r>
      <w:r w:rsidR="00C816FC">
        <w:rPr>
          <w:rFonts w:ascii="Times New Roman" w:hAnsi="Times New Roman" w:cs="Times New Roman"/>
          <w:noProof/>
          <w:sz w:val="24"/>
          <w:szCs w:val="24"/>
        </w:rPr>
        <w:t>)</w:t>
      </w:r>
      <w:r w:rsidR="00C816FC">
        <w:rPr>
          <w:rFonts w:ascii="Times New Roman" w:hAnsi="Times New Roman" w:cs="Times New Roman"/>
          <w:sz w:val="24"/>
          <w:szCs w:val="24"/>
        </w:rPr>
        <w:fldChar w:fldCharType="end"/>
      </w:r>
      <w:r w:rsidR="00C90CD0" w:rsidRPr="007A28AF">
        <w:rPr>
          <w:rFonts w:ascii="Times New Roman" w:hAnsi="Times New Roman" w:cs="Times New Roman"/>
          <w:sz w:val="24"/>
          <w:szCs w:val="24"/>
        </w:rPr>
        <w:t xml:space="preserve">. Others include national strategies such as salt reduction policies </w:t>
      </w:r>
      <w:r w:rsidR="00C90CD0" w:rsidRPr="007A28AF">
        <w:rPr>
          <w:rFonts w:ascii="Times New Roman" w:hAnsi="Times New Roman" w:cs="Times New Roman"/>
          <w:sz w:val="24"/>
          <w:szCs w:val="24"/>
        </w:rPr>
        <w:fldChar w:fldCharType="begin" w:fldLock="1"/>
      </w:r>
      <w:r w:rsidR="00C90CD0" w:rsidRPr="007A28AF">
        <w:rPr>
          <w:rFonts w:ascii="Times New Roman" w:hAnsi="Times New Roman" w:cs="Times New Roman"/>
          <w:sz w:val="24"/>
          <w:szCs w:val="24"/>
        </w:rPr>
        <w:instrText>ADDIN CSL_CITATION {"citationItems":[{"id":"ITEM-1","itemData":{"DOI":"10.1093/heapol/czv023","ISSN":"14602237","PMID":"25841771","abstract":"The South African Government recently set targets to reduce cardiovascular disease (CVD) by lowering salt consumption. We conducted an extended cost-effectiveness analysis (ECEA) to model the potential health and economic impacts of this salt policy. We used surveys and epidemiologic studies to estimate reductions in CVD resulting from lower salt intake. We calculated the average out-of-pocket (OOP) cost of CVD care, using facility fee schedules and drug prices. We estimated the reduction in OOP expenditures and government subsidies due to the policy. We estimated public and private sector costs of policy implementation. We estimated financial risk protection (FRP) from the policy as (1) cases of catastrophic health expenditure (CHE) averted or (2) cases of poverty averted. We also performed a sensitivity analysis. We found that the salt policy could reduce CVD deaths by 11%, with similar health gains across income quintiles. The policy could save households US$ 4.06 million (2012) in OOP expenditures (US$ 0.29 per capita) and save the government US$ 51.25 million in healthcare subsidies (US$ 2.52 per capita) each year. The cost to the government would be only US$ 0.01 per capita; hence, the policy would be cost saving. If the private sector food reformulation costs were passed on to consumers, food expenditures would increase by &lt;0.2% across all income quintiles. Preventing CVD could avert 2400 cases of CHE or 2000 cases of poverty yearly. Our results were sensitive to baseline CVD mortality rates and the cost of treatment. We conclude that, in addition to health gains, population salt reduction can have positive economic impacts - substantially reducing OOP expenditures and providing FRP, particularly for the middle class. The policy could also provide large government savings on health care.","author":[{"dropping-particle":"","family":"Watkins","given":"David A.","non-dropping-particle":"","parse-names":false,"suffix":""},{"dropping-particle":"","family":"Olson","given":"Zachary D.","non-dropping-particle":"","parse-names":false,"suffix":""},{"dropping-particle":"","family":"Verguet","given":"Stéphane","non-dropping-particle":"","parse-names":false,"suffix":""},{"dropping-particle":"","family":"Nugent","given":"Rachel A.","non-dropping-particle":"","parse-names":false,"suffix":""},{"dropping-particle":"","family":"Jamison","given":"Dean T.","non-dropping-particle":"","parse-names":false,"suffix":""}],"container-title":"Health Policy and Planning","id":"ITEM-1","issue":"1","issued":{"date-parts":[["2016"]]},"page":"75-82","title":"Cardiovascular disease and impoverishment averted due to a salt reduction policy in South Africa: An extended cost-effectiveness analysis","type":"article-journal","volume":"31"},"uris":["http://www.mendeley.com/documents/?uuid=d679fbf4-82d3-45e6-be72-67eba9fe64ae"]}],"mendeley":{"formattedCitation":"(Watkins et al., 2016)","plainTextFormattedCitation":"(Watkins et al., 2016)","previouslyFormattedCitation":"(Watkins et al., 2016)"},"properties":{"noteIndex":0},"schema":"https://github.com/citation-style-language/schema/raw/master/csl-citation.json"}</w:instrText>
      </w:r>
      <w:r w:rsidR="00C90CD0" w:rsidRPr="007A28AF">
        <w:rPr>
          <w:rFonts w:ascii="Times New Roman" w:hAnsi="Times New Roman" w:cs="Times New Roman"/>
          <w:sz w:val="24"/>
          <w:szCs w:val="24"/>
        </w:rPr>
        <w:fldChar w:fldCharType="separate"/>
      </w:r>
      <w:r w:rsidR="00C90CD0" w:rsidRPr="007A28AF">
        <w:rPr>
          <w:rFonts w:ascii="Times New Roman" w:hAnsi="Times New Roman" w:cs="Times New Roman"/>
          <w:noProof/>
          <w:sz w:val="24"/>
          <w:szCs w:val="24"/>
        </w:rPr>
        <w:t>(Watkins et al., 2016)</w:t>
      </w:r>
      <w:r w:rsidR="00C90CD0" w:rsidRPr="007A28AF">
        <w:rPr>
          <w:rFonts w:ascii="Times New Roman" w:hAnsi="Times New Roman" w:cs="Times New Roman"/>
          <w:sz w:val="24"/>
          <w:szCs w:val="24"/>
        </w:rPr>
        <w:fldChar w:fldCharType="end"/>
      </w:r>
      <w:r w:rsidR="00C90CD0" w:rsidRPr="007A28AF">
        <w:rPr>
          <w:rFonts w:ascii="Times New Roman" w:hAnsi="Times New Roman" w:cs="Times New Roman"/>
          <w:sz w:val="24"/>
          <w:szCs w:val="24"/>
        </w:rPr>
        <w:t xml:space="preserve">. </w:t>
      </w:r>
    </w:p>
    <w:p w14:paraId="3E926DE7" w14:textId="460EDB8E" w:rsidR="004B17F5" w:rsidRDefault="004545C2" w:rsidP="00246604">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Population health interventions are aimed at impacting population health and/or health equity by modifying the underlying determinants of health or directly influencing health behaviors (</w:t>
      </w:r>
      <w:r w:rsidRPr="007A28AF">
        <w:rPr>
          <w:rFonts w:ascii="Times New Roman" w:hAnsi="Times New Roman" w:cs="Times New Roman"/>
          <w:sz w:val="24"/>
          <w:szCs w:val="24"/>
        </w:rPr>
        <w:fldChar w:fldCharType="begin" w:fldLock="1"/>
      </w:r>
      <w:r w:rsidRPr="007A28AF">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Pr="007A28AF">
        <w:rPr>
          <w:rFonts w:ascii="Times New Roman" w:hAnsi="Times New Roman" w:cs="Times New Roman"/>
          <w:sz w:val="24"/>
          <w:szCs w:val="24"/>
        </w:rPr>
        <w:fldChar w:fldCharType="separate"/>
      </w:r>
      <w:r w:rsidRPr="007A28AF">
        <w:rPr>
          <w:rFonts w:ascii="Times New Roman" w:hAnsi="Times New Roman" w:cs="Times New Roman"/>
          <w:noProof/>
          <w:sz w:val="24"/>
          <w:szCs w:val="24"/>
        </w:rPr>
        <w:t>Craig et al., 2018)</w:t>
      </w:r>
      <w:r w:rsidRPr="007A28AF">
        <w:rPr>
          <w:rFonts w:ascii="Times New Roman" w:hAnsi="Times New Roman" w:cs="Times New Roman"/>
          <w:sz w:val="24"/>
          <w:szCs w:val="24"/>
        </w:rPr>
        <w:fldChar w:fldCharType="end"/>
      </w:r>
      <w:r w:rsidRPr="007A28AF">
        <w:rPr>
          <w:rFonts w:ascii="Times New Roman" w:hAnsi="Times New Roman" w:cs="Times New Roman"/>
          <w:sz w:val="24"/>
          <w:szCs w:val="24"/>
        </w:rPr>
        <w:t xml:space="preserve">. </w:t>
      </w:r>
      <w:r w:rsidR="00AD3ECF">
        <w:rPr>
          <w:rFonts w:ascii="Times New Roman" w:hAnsi="Times New Roman" w:cs="Times New Roman"/>
          <w:sz w:val="24"/>
          <w:szCs w:val="24"/>
        </w:rPr>
        <w:t>Thus</w:t>
      </w:r>
      <w:r>
        <w:rPr>
          <w:rFonts w:ascii="Times New Roman" w:hAnsi="Times New Roman" w:cs="Times New Roman"/>
          <w:sz w:val="24"/>
          <w:szCs w:val="24"/>
        </w:rPr>
        <w:t>, such intervention</w:t>
      </w:r>
      <w:r w:rsidR="00AD3ECF">
        <w:rPr>
          <w:rFonts w:ascii="Times New Roman" w:hAnsi="Times New Roman" w:cs="Times New Roman"/>
          <w:sz w:val="24"/>
          <w:szCs w:val="24"/>
        </w:rPr>
        <w:t>s</w:t>
      </w:r>
      <w:r>
        <w:rPr>
          <w:rFonts w:ascii="Times New Roman" w:hAnsi="Times New Roman" w:cs="Times New Roman"/>
          <w:sz w:val="24"/>
          <w:szCs w:val="24"/>
        </w:rPr>
        <w:t xml:space="preserve"> </w:t>
      </w:r>
      <w:r w:rsidR="00C44A0E">
        <w:rPr>
          <w:rFonts w:ascii="Times New Roman" w:hAnsi="Times New Roman" w:cs="Times New Roman"/>
          <w:sz w:val="24"/>
          <w:szCs w:val="24"/>
        </w:rPr>
        <w:t xml:space="preserve">could generate health (i.e., DALYs or deaths averted or </w:t>
      </w:r>
      <w:r w:rsidR="00C44A0E">
        <w:rPr>
          <w:rFonts w:ascii="Times New Roman" w:hAnsi="Times New Roman" w:cs="Times New Roman"/>
          <w:sz w:val="24"/>
          <w:szCs w:val="24"/>
        </w:rPr>
        <w:lastRenderedPageBreak/>
        <w:t xml:space="preserve">HALYs gained) and non-health benefits (i.e., </w:t>
      </w:r>
      <w:r w:rsidR="00356359">
        <w:rPr>
          <w:rFonts w:ascii="Times New Roman" w:hAnsi="Times New Roman" w:cs="Times New Roman"/>
          <w:sz w:val="24"/>
          <w:szCs w:val="24"/>
        </w:rPr>
        <w:t>F</w:t>
      </w:r>
      <w:r w:rsidR="007E2E85">
        <w:rPr>
          <w:rFonts w:ascii="Times New Roman" w:hAnsi="Times New Roman" w:cs="Times New Roman"/>
          <w:sz w:val="24"/>
          <w:szCs w:val="24"/>
        </w:rPr>
        <w:t xml:space="preserve">inancial </w:t>
      </w:r>
      <w:r w:rsidR="00356359">
        <w:rPr>
          <w:rFonts w:ascii="Times New Roman" w:hAnsi="Times New Roman" w:cs="Times New Roman"/>
          <w:sz w:val="24"/>
          <w:szCs w:val="24"/>
        </w:rPr>
        <w:t>R</w:t>
      </w:r>
      <w:r w:rsidR="007E2E85">
        <w:rPr>
          <w:rFonts w:ascii="Times New Roman" w:hAnsi="Times New Roman" w:cs="Times New Roman"/>
          <w:sz w:val="24"/>
          <w:szCs w:val="24"/>
        </w:rPr>
        <w:t xml:space="preserve">isk </w:t>
      </w:r>
      <w:r w:rsidR="00356359">
        <w:rPr>
          <w:rFonts w:ascii="Times New Roman" w:hAnsi="Times New Roman" w:cs="Times New Roman"/>
          <w:sz w:val="24"/>
          <w:szCs w:val="24"/>
        </w:rPr>
        <w:t>P</w:t>
      </w:r>
      <w:r w:rsidR="007E2E85">
        <w:rPr>
          <w:rFonts w:ascii="Times New Roman" w:hAnsi="Times New Roman" w:cs="Times New Roman"/>
          <w:sz w:val="24"/>
          <w:szCs w:val="24"/>
        </w:rPr>
        <w:t>rotection</w:t>
      </w:r>
      <w:r w:rsidR="00356359">
        <w:rPr>
          <w:rFonts w:ascii="Times New Roman" w:hAnsi="Times New Roman" w:cs="Times New Roman"/>
          <w:sz w:val="24"/>
          <w:szCs w:val="24"/>
        </w:rPr>
        <w:t>, Financial consequences, and educational impact</w:t>
      </w:r>
      <w:r w:rsidR="00C44A0E">
        <w:rPr>
          <w:rFonts w:ascii="Times New Roman" w:hAnsi="Times New Roman" w:cs="Times New Roman"/>
          <w:sz w:val="24"/>
          <w:szCs w:val="24"/>
        </w:rPr>
        <w:t>)</w:t>
      </w:r>
      <w:r w:rsidR="006B7B1A">
        <w:rPr>
          <w:rFonts w:ascii="Times New Roman" w:hAnsi="Times New Roman" w:cs="Times New Roman"/>
          <w:sz w:val="24"/>
          <w:szCs w:val="24"/>
        </w:rPr>
        <w:t xml:space="preserve"> by </w:t>
      </w:r>
      <w:r w:rsidR="008D7D4A">
        <w:rPr>
          <w:rFonts w:ascii="Times New Roman" w:hAnsi="Times New Roman" w:cs="Times New Roman"/>
          <w:sz w:val="24"/>
          <w:szCs w:val="24"/>
        </w:rPr>
        <w:t>modifying the</w:t>
      </w:r>
      <w:r w:rsidR="006B7B1A">
        <w:rPr>
          <w:rFonts w:ascii="Times New Roman" w:hAnsi="Times New Roman" w:cs="Times New Roman"/>
          <w:sz w:val="24"/>
          <w:szCs w:val="24"/>
        </w:rPr>
        <w:t xml:space="preserve"> determinants of health (i.e., </w:t>
      </w:r>
      <w:r w:rsidR="00770F4F" w:rsidRPr="007A28AF">
        <w:rPr>
          <w:rFonts w:ascii="Times New Roman" w:hAnsi="Times New Roman" w:cs="Times New Roman"/>
          <w:sz w:val="24"/>
          <w:szCs w:val="24"/>
        </w:rPr>
        <w:t>social, structural, ecological</w:t>
      </w:r>
      <w:r w:rsidR="0064346B">
        <w:rPr>
          <w:rFonts w:ascii="Times New Roman" w:hAnsi="Times New Roman" w:cs="Times New Roman"/>
          <w:sz w:val="24"/>
          <w:szCs w:val="24"/>
        </w:rPr>
        <w:t xml:space="preserve"> </w:t>
      </w:r>
      <w:r w:rsidR="00770F4F" w:rsidRPr="007A28AF">
        <w:rPr>
          <w:rFonts w:ascii="Times New Roman" w:hAnsi="Times New Roman" w:cs="Times New Roman"/>
          <w:sz w:val="24"/>
          <w:szCs w:val="24"/>
        </w:rPr>
        <w:t xml:space="preserve">and climate change, </w:t>
      </w:r>
      <w:r w:rsidR="0064346B">
        <w:rPr>
          <w:rFonts w:ascii="Times New Roman" w:hAnsi="Times New Roman" w:cs="Times New Roman"/>
          <w:sz w:val="24"/>
          <w:szCs w:val="24"/>
        </w:rPr>
        <w:t xml:space="preserve">eco-social </w:t>
      </w:r>
      <w:r w:rsidR="00770F4F">
        <w:rPr>
          <w:rFonts w:ascii="Times New Roman" w:hAnsi="Times New Roman" w:cs="Times New Roman"/>
          <w:sz w:val="24"/>
          <w:szCs w:val="24"/>
        </w:rPr>
        <w:t xml:space="preserve">and </w:t>
      </w:r>
      <w:r w:rsidR="00961301">
        <w:rPr>
          <w:rFonts w:ascii="Times New Roman" w:hAnsi="Times New Roman" w:cs="Times New Roman"/>
          <w:sz w:val="24"/>
          <w:szCs w:val="24"/>
        </w:rPr>
        <w:t xml:space="preserve">inter- </w:t>
      </w:r>
      <w:r w:rsidR="006B7B1A">
        <w:rPr>
          <w:rFonts w:ascii="Times New Roman" w:hAnsi="Times New Roman" w:cs="Times New Roman"/>
          <w:sz w:val="24"/>
          <w:szCs w:val="24"/>
        </w:rPr>
        <w:t>and intra-personal</w:t>
      </w:r>
      <w:r w:rsidR="00770F4F">
        <w:rPr>
          <w:rFonts w:ascii="Times New Roman" w:hAnsi="Times New Roman" w:cs="Times New Roman"/>
          <w:sz w:val="24"/>
          <w:szCs w:val="24"/>
        </w:rPr>
        <w:t xml:space="preserve"> determinants</w:t>
      </w:r>
      <w:r w:rsidR="006B7B1A">
        <w:rPr>
          <w:rFonts w:ascii="Times New Roman" w:hAnsi="Times New Roman" w:cs="Times New Roman"/>
          <w:sz w:val="24"/>
          <w:szCs w:val="24"/>
        </w:rPr>
        <w:t xml:space="preserve">) </w:t>
      </w:r>
      <w:r w:rsidR="00514581">
        <w:rPr>
          <w:rFonts w:ascii="Times New Roman" w:hAnsi="Times New Roman" w:cs="Times New Roman"/>
          <w:sz w:val="24"/>
          <w:szCs w:val="24"/>
        </w:rPr>
        <w:t>or by increasing</w:t>
      </w:r>
      <w:r w:rsidR="00637430">
        <w:rPr>
          <w:rFonts w:ascii="Times New Roman" w:hAnsi="Times New Roman" w:cs="Times New Roman"/>
          <w:sz w:val="24"/>
          <w:szCs w:val="24"/>
        </w:rPr>
        <w:t xml:space="preserve"> (existing or new)</w:t>
      </w:r>
      <w:r w:rsidR="00514581">
        <w:rPr>
          <w:rFonts w:ascii="Times New Roman" w:hAnsi="Times New Roman" w:cs="Times New Roman"/>
          <w:sz w:val="24"/>
          <w:szCs w:val="24"/>
        </w:rPr>
        <w:t xml:space="preserve"> intervention coverage to attain</w:t>
      </w:r>
      <w:r w:rsidR="00637430">
        <w:rPr>
          <w:rFonts w:ascii="Times New Roman" w:hAnsi="Times New Roman" w:cs="Times New Roman"/>
          <w:sz w:val="24"/>
          <w:szCs w:val="24"/>
        </w:rPr>
        <w:t xml:space="preserve"> the</w:t>
      </w:r>
      <w:r w:rsidR="00514581">
        <w:rPr>
          <w:rFonts w:ascii="Times New Roman" w:hAnsi="Times New Roman" w:cs="Times New Roman"/>
          <w:sz w:val="24"/>
          <w:szCs w:val="24"/>
        </w:rPr>
        <w:t xml:space="preserve"> UHC</w:t>
      </w:r>
      <w:r w:rsidR="00F81089">
        <w:rPr>
          <w:rStyle w:val="FootnoteReference"/>
          <w:rFonts w:ascii="Times New Roman" w:hAnsi="Times New Roman" w:cs="Times New Roman"/>
          <w:sz w:val="24"/>
          <w:szCs w:val="24"/>
        </w:rPr>
        <w:footnoteReference w:id="4"/>
      </w:r>
      <w:r w:rsidR="00514581">
        <w:rPr>
          <w:rFonts w:ascii="Times New Roman" w:hAnsi="Times New Roman" w:cs="Times New Roman"/>
          <w:sz w:val="24"/>
          <w:szCs w:val="24"/>
        </w:rPr>
        <w:t xml:space="preserve"> </w:t>
      </w:r>
      <w:r w:rsidR="00637430">
        <w:rPr>
          <w:rFonts w:ascii="Times New Roman" w:hAnsi="Times New Roman" w:cs="Times New Roman"/>
          <w:sz w:val="24"/>
          <w:szCs w:val="24"/>
        </w:rPr>
        <w:t xml:space="preserve">level </w:t>
      </w:r>
      <w:r w:rsidR="00514581">
        <w:rPr>
          <w:rFonts w:ascii="Times New Roman" w:hAnsi="Times New Roman" w:cs="Times New Roman"/>
          <w:sz w:val="24"/>
          <w:szCs w:val="24"/>
        </w:rPr>
        <w:t xml:space="preserve">(which operates in </w:t>
      </w:r>
      <w:r w:rsidR="00E621D6">
        <w:rPr>
          <w:rFonts w:ascii="Times New Roman" w:hAnsi="Times New Roman" w:cs="Times New Roman"/>
          <w:sz w:val="24"/>
          <w:szCs w:val="24"/>
        </w:rPr>
        <w:t xml:space="preserve">action </w:t>
      </w:r>
      <w:r w:rsidR="00514581">
        <w:rPr>
          <w:rFonts w:ascii="Times New Roman" w:hAnsi="Times New Roman" w:cs="Times New Roman"/>
          <w:sz w:val="24"/>
          <w:szCs w:val="24"/>
        </w:rPr>
        <w:t>domains determined by the WHO)</w:t>
      </w:r>
      <w:r w:rsidR="00637430">
        <w:rPr>
          <w:rFonts w:ascii="Times New Roman" w:hAnsi="Times New Roman" w:cs="Times New Roman"/>
          <w:sz w:val="24"/>
          <w:szCs w:val="24"/>
        </w:rPr>
        <w:t xml:space="preserve"> or closer</w:t>
      </w:r>
      <w:r w:rsidR="00514581">
        <w:rPr>
          <w:rFonts w:ascii="Times New Roman" w:hAnsi="Times New Roman" w:cs="Times New Roman"/>
          <w:sz w:val="24"/>
          <w:szCs w:val="24"/>
        </w:rPr>
        <w:t>.</w:t>
      </w:r>
      <w:r w:rsidR="007D361F">
        <w:rPr>
          <w:rFonts w:ascii="Times New Roman" w:hAnsi="Times New Roman" w:cs="Times New Roman"/>
          <w:sz w:val="24"/>
          <w:szCs w:val="24"/>
        </w:rPr>
        <w:t xml:space="preserve"> </w:t>
      </w:r>
      <w:r w:rsidR="00246604" w:rsidRPr="007A28AF">
        <w:rPr>
          <w:rFonts w:ascii="Times New Roman" w:hAnsi="Times New Roman" w:cs="Times New Roman"/>
          <w:sz w:val="24"/>
          <w:szCs w:val="24"/>
        </w:rPr>
        <w:t>Eliminating financial barriers to access to health care would position U</w:t>
      </w:r>
      <w:r w:rsidR="00016028">
        <w:rPr>
          <w:rFonts w:ascii="Times New Roman" w:hAnsi="Times New Roman" w:cs="Times New Roman"/>
          <w:sz w:val="24"/>
          <w:szCs w:val="24"/>
        </w:rPr>
        <w:t xml:space="preserve">niversal </w:t>
      </w:r>
      <w:r w:rsidR="00246604" w:rsidRPr="007A28AF">
        <w:rPr>
          <w:rFonts w:ascii="Times New Roman" w:hAnsi="Times New Roman" w:cs="Times New Roman"/>
          <w:sz w:val="24"/>
          <w:szCs w:val="24"/>
        </w:rPr>
        <w:t>P</w:t>
      </w:r>
      <w:r w:rsidR="00016028">
        <w:rPr>
          <w:rFonts w:ascii="Times New Roman" w:hAnsi="Times New Roman" w:cs="Times New Roman"/>
          <w:sz w:val="24"/>
          <w:szCs w:val="24"/>
        </w:rPr>
        <w:t xml:space="preserve">ublic </w:t>
      </w:r>
      <w:r w:rsidR="00246604" w:rsidRPr="007A28AF">
        <w:rPr>
          <w:rFonts w:ascii="Times New Roman" w:hAnsi="Times New Roman" w:cs="Times New Roman"/>
          <w:sz w:val="24"/>
          <w:szCs w:val="24"/>
        </w:rPr>
        <w:t>F</w:t>
      </w:r>
      <w:r w:rsidR="00016028">
        <w:rPr>
          <w:rFonts w:ascii="Times New Roman" w:hAnsi="Times New Roman" w:cs="Times New Roman"/>
          <w:sz w:val="24"/>
          <w:szCs w:val="24"/>
        </w:rPr>
        <w:t>inancing</w:t>
      </w:r>
      <w:r w:rsidR="00246604" w:rsidRPr="007A28AF">
        <w:rPr>
          <w:rFonts w:ascii="Times New Roman" w:hAnsi="Times New Roman" w:cs="Times New Roman"/>
          <w:sz w:val="24"/>
          <w:szCs w:val="24"/>
        </w:rPr>
        <w:t xml:space="preserve"> as a crucial policy device for attaining UHC </w:t>
      </w:r>
      <w:r w:rsidR="00AA6DAC">
        <w:rPr>
          <w:rFonts w:ascii="Times New Roman" w:hAnsi="Times New Roman" w:cs="Times New Roman"/>
          <w:sz w:val="24"/>
          <w:szCs w:val="24"/>
        </w:rPr>
        <w:fldChar w:fldCharType="begin" w:fldLock="1"/>
      </w:r>
      <w:r w:rsidR="00072172">
        <w:rPr>
          <w:rFonts w:ascii="Times New Roman" w:hAnsi="Times New Roman" w:cs="Times New Roman"/>
          <w:sz w:val="24"/>
          <w:szCs w:val="24"/>
        </w:rPr>
        <w:instrText>ADDIN CSL_CITATION {"citationItems":[{"id":"ITEM-1","itemData":{"DOI":"10.1007/s40273-016-0414-z","ISSN":"11792027","PMID":"27374172","abstract":"Health policy instruments such as the public financing of health technologies (e.g., new drugs, vaccines) entail consequences in multiple domains. Fundamentally, public health policies aim at increasing the uptake of effective and efficient interventions and at subsequently leading to better health benefits (e.g., premature mortality and morbidity averted). In addition, public health policies can provide non-health benefits in addition to the sole well-being of populations and beyond the health sector. For instance, public policies such as social and health insurance programs can prevent illness-related impoverishment and procure financial risk protection. Furthermore, public policies can improve the distribution of health in the population and promote the equalization of health among individuals. Extended cost-effectiveness analysis was developed to address health policy assessment, specifically to evaluate the health and financial consequences of public policies in four domains: (1) the health gains; (2) the financial risk protection benefits; (3) the total costs to the policy makers; and (4) the distributional benefits. Here, we present a tutorial that describes both the intent of extended cost-effectiveness analysis and its keys to allow easy implementation for health policy assessment.","author":[{"dropping-particle":"","family":"Verguet","given":"Stéphane","non-dropping-particle":"","parse-names":false,"suffix":""},{"dropping-particle":"","family":"Kim","given":"Jane J.","non-dropping-particle":"","parse-names":false,"suffix":""},{"dropping-particle":"","family":"Jamison","given":"Dean T.","non-dropping-particle":"","parse-names":false,"suffix":""}],"container-title":"PharmacoEconomics","id":"ITEM-1","issue":"9","issued":{"date-parts":[["2016"]]},"page":"913-923","title":"Extended Cost-Effectiveness Analysis for Health Policy Assessment: A Tutorial","type":"article-journal","volume":"34"},"uris":["http://www.mendeley.com/documents/?uuid=849005b7-bc2d-4e66-89ae-3b430f69d511"]}],"mendeley":{"formattedCitation":"(Verguet et al., 2016)","plainTextFormattedCitation":"(Verguet et al., 2016)","previouslyFormattedCitation":"(Verguet et al., 2016)"},"properties":{"noteIndex":0},"schema":"https://github.com/citation-style-language/schema/raw/master/csl-citation.json"}</w:instrText>
      </w:r>
      <w:r w:rsidR="00AA6DAC">
        <w:rPr>
          <w:rFonts w:ascii="Times New Roman" w:hAnsi="Times New Roman" w:cs="Times New Roman"/>
          <w:sz w:val="24"/>
          <w:szCs w:val="24"/>
        </w:rPr>
        <w:fldChar w:fldCharType="separate"/>
      </w:r>
      <w:r w:rsidR="00AA6DAC" w:rsidRPr="00AA6DAC">
        <w:rPr>
          <w:rFonts w:ascii="Times New Roman" w:hAnsi="Times New Roman" w:cs="Times New Roman"/>
          <w:noProof/>
          <w:sz w:val="24"/>
          <w:szCs w:val="24"/>
        </w:rPr>
        <w:t>(Verguet et al., 2016)</w:t>
      </w:r>
      <w:r w:rsidR="00AA6DAC">
        <w:rPr>
          <w:rFonts w:ascii="Times New Roman" w:hAnsi="Times New Roman" w:cs="Times New Roman"/>
          <w:sz w:val="24"/>
          <w:szCs w:val="24"/>
        </w:rPr>
        <w:fldChar w:fldCharType="end"/>
      </w:r>
      <w:r w:rsidR="00246604" w:rsidRPr="007A28AF">
        <w:rPr>
          <w:rFonts w:ascii="Times New Roman" w:hAnsi="Times New Roman" w:cs="Times New Roman"/>
          <w:sz w:val="24"/>
          <w:szCs w:val="24"/>
        </w:rPr>
        <w:t>, which impact</w:t>
      </w:r>
      <w:r w:rsidR="000902BD">
        <w:rPr>
          <w:rFonts w:ascii="Times New Roman" w:hAnsi="Times New Roman" w:cs="Times New Roman"/>
          <w:sz w:val="24"/>
          <w:szCs w:val="24"/>
        </w:rPr>
        <w:t>s</w:t>
      </w:r>
      <w:r w:rsidR="00246604" w:rsidRPr="007A28AF">
        <w:rPr>
          <w:rFonts w:ascii="Times New Roman" w:hAnsi="Times New Roman" w:cs="Times New Roman"/>
          <w:sz w:val="24"/>
          <w:szCs w:val="24"/>
        </w:rPr>
        <w:t xml:space="preserve"> morbidity and mortality or population health. </w:t>
      </w:r>
      <w:r w:rsidR="00FB6AD7">
        <w:rPr>
          <w:rFonts w:ascii="Times New Roman" w:hAnsi="Times New Roman" w:cs="Times New Roman"/>
          <w:sz w:val="24"/>
          <w:szCs w:val="24"/>
        </w:rPr>
        <w:t xml:space="preserve">Moreover, UHC and </w:t>
      </w:r>
      <w:r w:rsidR="004B6305">
        <w:rPr>
          <w:rFonts w:ascii="Times New Roman" w:hAnsi="Times New Roman" w:cs="Times New Roman"/>
          <w:sz w:val="24"/>
          <w:szCs w:val="24"/>
        </w:rPr>
        <w:t>‘</w:t>
      </w:r>
      <w:r w:rsidR="00EF029B">
        <w:rPr>
          <w:rFonts w:ascii="Times New Roman" w:hAnsi="Times New Roman" w:cs="Times New Roman"/>
          <w:sz w:val="24"/>
          <w:szCs w:val="24"/>
        </w:rPr>
        <w:t>d</w:t>
      </w:r>
      <w:r w:rsidR="00FB6AD7">
        <w:rPr>
          <w:rFonts w:ascii="Times New Roman" w:hAnsi="Times New Roman" w:cs="Times New Roman"/>
          <w:sz w:val="24"/>
          <w:szCs w:val="24"/>
        </w:rPr>
        <w:t xml:space="preserve">eterminants of </w:t>
      </w:r>
      <w:r w:rsidR="00EF029B">
        <w:rPr>
          <w:rFonts w:ascii="Times New Roman" w:hAnsi="Times New Roman" w:cs="Times New Roman"/>
          <w:sz w:val="24"/>
          <w:szCs w:val="24"/>
        </w:rPr>
        <w:t>h</w:t>
      </w:r>
      <w:r w:rsidR="00FB6AD7">
        <w:rPr>
          <w:rFonts w:ascii="Times New Roman" w:hAnsi="Times New Roman" w:cs="Times New Roman"/>
          <w:sz w:val="24"/>
          <w:szCs w:val="24"/>
        </w:rPr>
        <w:t>ealth</w:t>
      </w:r>
      <w:r w:rsidR="004B6305">
        <w:rPr>
          <w:rFonts w:ascii="Times New Roman" w:hAnsi="Times New Roman" w:cs="Times New Roman"/>
          <w:sz w:val="24"/>
          <w:szCs w:val="24"/>
        </w:rPr>
        <w:t>’</w:t>
      </w:r>
      <w:r w:rsidR="00FB6AD7">
        <w:rPr>
          <w:rFonts w:ascii="Times New Roman" w:hAnsi="Times New Roman" w:cs="Times New Roman"/>
          <w:sz w:val="24"/>
          <w:szCs w:val="24"/>
        </w:rPr>
        <w:t xml:space="preserve"> may also impact each other as depicted in the framework. </w:t>
      </w:r>
      <w:r w:rsidR="00F01521">
        <w:rPr>
          <w:rFonts w:ascii="Times New Roman" w:hAnsi="Times New Roman" w:cs="Times New Roman"/>
          <w:sz w:val="24"/>
          <w:szCs w:val="24"/>
        </w:rPr>
        <w:t xml:space="preserve">Population health interventions generate </w:t>
      </w:r>
      <w:r w:rsidR="008C742B">
        <w:rPr>
          <w:rFonts w:ascii="Times New Roman" w:hAnsi="Times New Roman" w:cs="Times New Roman"/>
          <w:sz w:val="24"/>
          <w:szCs w:val="24"/>
        </w:rPr>
        <w:t xml:space="preserve">health and non-health outcomes </w:t>
      </w:r>
      <w:r w:rsidR="00F01521">
        <w:rPr>
          <w:rFonts w:ascii="Times New Roman" w:hAnsi="Times New Roman" w:cs="Times New Roman"/>
          <w:sz w:val="24"/>
          <w:szCs w:val="24"/>
        </w:rPr>
        <w:t>that</w:t>
      </w:r>
      <w:r w:rsidR="008C742B">
        <w:rPr>
          <w:rFonts w:ascii="Times New Roman" w:hAnsi="Times New Roman" w:cs="Times New Roman"/>
          <w:sz w:val="24"/>
          <w:szCs w:val="24"/>
        </w:rPr>
        <w:t xml:space="preserve"> are stratified by equity-relevant variables </w:t>
      </w:r>
      <w:r w:rsidR="00591A5F">
        <w:rPr>
          <w:rFonts w:ascii="Times New Roman" w:hAnsi="Times New Roman" w:cs="Times New Roman"/>
          <w:sz w:val="24"/>
          <w:szCs w:val="24"/>
        </w:rPr>
        <w:t>(</w:t>
      </w:r>
      <w:r w:rsidR="008C742B">
        <w:rPr>
          <w:rFonts w:ascii="Times New Roman" w:hAnsi="Times New Roman" w:cs="Times New Roman"/>
          <w:sz w:val="24"/>
          <w:szCs w:val="24"/>
        </w:rPr>
        <w:t>explained using the PROGRESS framework</w:t>
      </w:r>
      <w:r w:rsidR="00591A5F">
        <w:rPr>
          <w:rFonts w:ascii="Times New Roman" w:hAnsi="Times New Roman" w:cs="Times New Roman"/>
          <w:sz w:val="24"/>
          <w:szCs w:val="24"/>
        </w:rPr>
        <w:t>)</w:t>
      </w:r>
      <w:r w:rsidR="008C742B">
        <w:rPr>
          <w:rFonts w:ascii="Times New Roman" w:hAnsi="Times New Roman" w:cs="Times New Roman"/>
          <w:sz w:val="24"/>
          <w:szCs w:val="24"/>
        </w:rPr>
        <w:t>.</w:t>
      </w:r>
    </w:p>
    <w:p w14:paraId="3A070D3C" w14:textId="6CFDD39F" w:rsidR="00B4655F" w:rsidRPr="002F77A8" w:rsidRDefault="00B4655F" w:rsidP="00246604">
      <w:pPr>
        <w:spacing w:line="480" w:lineRule="auto"/>
        <w:jc w:val="both"/>
        <w:rPr>
          <w:rFonts w:ascii="Times New Roman" w:hAnsi="Times New Roman" w:cs="Times New Roman"/>
          <w:i/>
          <w:iCs/>
          <w:sz w:val="24"/>
          <w:szCs w:val="24"/>
        </w:rPr>
      </w:pPr>
      <w:r w:rsidRPr="002F77A8">
        <w:rPr>
          <w:rFonts w:ascii="Times New Roman" w:hAnsi="Times New Roman" w:cs="Times New Roman"/>
          <w:i/>
          <w:iCs/>
          <w:sz w:val="24"/>
          <w:szCs w:val="24"/>
        </w:rPr>
        <w:t>Determinants of Health</w:t>
      </w:r>
    </w:p>
    <w:p w14:paraId="0A1CE4A1" w14:textId="21C2933B" w:rsidR="007D361F" w:rsidRDefault="00104FF5" w:rsidP="002466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determinants of </w:t>
      </w:r>
      <w:r w:rsidR="00915B63">
        <w:rPr>
          <w:rFonts w:ascii="Times New Roman" w:hAnsi="Times New Roman" w:cs="Times New Roman"/>
          <w:sz w:val="24"/>
          <w:szCs w:val="24"/>
        </w:rPr>
        <w:t>health,</w:t>
      </w:r>
      <w:r>
        <w:rPr>
          <w:rFonts w:ascii="Times New Roman" w:hAnsi="Times New Roman" w:cs="Times New Roman"/>
          <w:sz w:val="24"/>
          <w:szCs w:val="24"/>
        </w:rPr>
        <w:t xml:space="preserve"> and they are explained as follows.</w:t>
      </w:r>
      <w:r w:rsidR="007069C2">
        <w:rPr>
          <w:rFonts w:ascii="Times New Roman" w:hAnsi="Times New Roman" w:cs="Times New Roman"/>
          <w:sz w:val="24"/>
          <w:szCs w:val="24"/>
        </w:rPr>
        <w:t xml:space="preserve"> The WHO adopted a social determinants</w:t>
      </w:r>
      <w:r w:rsidR="000B132D">
        <w:rPr>
          <w:rFonts w:ascii="Times New Roman" w:hAnsi="Times New Roman" w:cs="Times New Roman"/>
          <w:sz w:val="24"/>
          <w:szCs w:val="24"/>
        </w:rPr>
        <w:t xml:space="preserve"> of health</w:t>
      </w:r>
      <w:r w:rsidR="00624A3C">
        <w:rPr>
          <w:rFonts w:ascii="Times New Roman" w:hAnsi="Times New Roman" w:cs="Times New Roman"/>
          <w:sz w:val="24"/>
          <w:szCs w:val="24"/>
        </w:rPr>
        <w:t xml:space="preserve"> </w:t>
      </w:r>
      <w:r w:rsidR="007069C2">
        <w:rPr>
          <w:rFonts w:ascii="Times New Roman" w:hAnsi="Times New Roman" w:cs="Times New Roman"/>
          <w:sz w:val="24"/>
          <w:szCs w:val="24"/>
        </w:rPr>
        <w:t xml:space="preserve">framework </w:t>
      </w:r>
      <w:r w:rsidR="007069C2">
        <w:rPr>
          <w:rFonts w:ascii="Times New Roman" w:hAnsi="Times New Roman" w:cs="Times New Roman"/>
          <w:sz w:val="24"/>
          <w:szCs w:val="24"/>
        </w:rPr>
        <w:fldChar w:fldCharType="begin" w:fldLock="1"/>
      </w:r>
      <w:r w:rsidR="00624A3C">
        <w:rPr>
          <w:rFonts w:ascii="Times New Roman" w:hAnsi="Times New Roman" w:cs="Times New Roman"/>
          <w:sz w:val="24"/>
          <w:szCs w:val="24"/>
        </w:rPr>
        <w:instrText>ADDIN CSL_CITATION {"citationItems":[{"id":"ITEM-1","itemData":{"abstract":"Complexity defines health. Now more than ever in the age of globalization is this so. The Commission on Social Determinants of Health (CSDH) was set up by the World Health Organization (WHO) to get to the heart of this complexity. They were tasked with summarizing the evidence on how the structure of societies through myriad social interactions norms and institutions are affecting population health and what governments and public health can do about it. To guide the Commission in its mammoth task the WHO Secretariat conducted a review and summary of different frameworks for understanding the social determinants of health. This review was summarized and synthesized into a single conceptual framework for action on the social determinants of health which was proposed to and largely accepted by the CSDH for orienting their work. A key aim of the framework is to highlight the difference between levels of causation distinguishing between the mechanisms by which social hierarchies are created and the conditions of daily life which then result. This paper describes the review how the proposed conceptual framework was developed and identifies elements of policy directions for action implied by the proposed conceptual framework and analysis of policy approaches. (Excerpt)","author":[{"dropping-particle":"","family":"Solar","given":"O","non-dropping-particle":"","parse-names":false,"suffix":""},{"dropping-particle":"","family":"Irwin","given":"A","non-dropping-particle":"","parse-names":false,"suffix":""}],"id":"ITEM-1","issued":{"date-parts":[["2010"]]},"page":"79","title":"A conceptual framework for action on the social determinants of health.","type":"article-journal"},"uris":["http://www.mendeley.com/documents/?uuid=088a0f94-ed68-48d9-b43d-65e500a2a448"]}],"mendeley":{"formattedCitation":"(Solar &amp; Irwin, 2010)","manualFormatting":"(SDH; Solar and Irwin, 2010)","plainTextFormattedCitation":"(Solar &amp; Irwin, 2010)","previouslyFormattedCitation":"(Solar &amp; Irwin, 2010)"},"properties":{"noteIndex":0},"schema":"https://github.com/citation-style-language/schema/raw/master/csl-citation.json"}</w:instrText>
      </w:r>
      <w:r w:rsidR="007069C2">
        <w:rPr>
          <w:rFonts w:ascii="Times New Roman" w:hAnsi="Times New Roman" w:cs="Times New Roman"/>
          <w:sz w:val="24"/>
          <w:szCs w:val="24"/>
        </w:rPr>
        <w:fldChar w:fldCharType="separate"/>
      </w:r>
      <w:r w:rsidR="007069C2" w:rsidRPr="007069C2">
        <w:rPr>
          <w:rFonts w:ascii="Times New Roman" w:hAnsi="Times New Roman" w:cs="Times New Roman"/>
          <w:noProof/>
          <w:sz w:val="24"/>
          <w:szCs w:val="24"/>
        </w:rPr>
        <w:t>(</w:t>
      </w:r>
      <w:r w:rsidR="00624A3C">
        <w:rPr>
          <w:rFonts w:ascii="Times New Roman" w:hAnsi="Times New Roman" w:cs="Times New Roman"/>
          <w:noProof/>
          <w:sz w:val="24"/>
          <w:szCs w:val="24"/>
        </w:rPr>
        <w:t xml:space="preserve">SDH; </w:t>
      </w:r>
      <w:r w:rsidR="007069C2" w:rsidRPr="007069C2">
        <w:rPr>
          <w:rFonts w:ascii="Times New Roman" w:hAnsi="Times New Roman" w:cs="Times New Roman"/>
          <w:noProof/>
          <w:sz w:val="24"/>
          <w:szCs w:val="24"/>
        </w:rPr>
        <w:t xml:space="preserve">Solar </w:t>
      </w:r>
      <w:r w:rsidR="007069C2">
        <w:rPr>
          <w:rFonts w:ascii="Times New Roman" w:hAnsi="Times New Roman" w:cs="Times New Roman"/>
          <w:noProof/>
          <w:sz w:val="24"/>
          <w:szCs w:val="24"/>
        </w:rPr>
        <w:t>and</w:t>
      </w:r>
      <w:r w:rsidR="007069C2" w:rsidRPr="007069C2">
        <w:rPr>
          <w:rFonts w:ascii="Times New Roman" w:hAnsi="Times New Roman" w:cs="Times New Roman"/>
          <w:noProof/>
          <w:sz w:val="24"/>
          <w:szCs w:val="24"/>
        </w:rPr>
        <w:t xml:space="preserve"> Irwin, 2010)</w:t>
      </w:r>
      <w:r w:rsidR="007069C2">
        <w:rPr>
          <w:rFonts w:ascii="Times New Roman" w:hAnsi="Times New Roman" w:cs="Times New Roman"/>
          <w:sz w:val="24"/>
          <w:szCs w:val="24"/>
        </w:rPr>
        <w:fldChar w:fldCharType="end"/>
      </w:r>
      <w:r w:rsidR="007069C2">
        <w:rPr>
          <w:rFonts w:ascii="Times New Roman" w:hAnsi="Times New Roman" w:cs="Times New Roman"/>
          <w:sz w:val="24"/>
          <w:szCs w:val="24"/>
        </w:rPr>
        <w:t xml:space="preserve"> which was sub-divided into structural determinants (</w:t>
      </w:r>
      <w:r w:rsidR="00E94114">
        <w:rPr>
          <w:rFonts w:ascii="Times New Roman" w:hAnsi="Times New Roman" w:cs="Times New Roman"/>
          <w:sz w:val="24"/>
          <w:szCs w:val="24"/>
        </w:rPr>
        <w:t>i.e., s</w:t>
      </w:r>
      <w:r w:rsidR="007069C2">
        <w:rPr>
          <w:rFonts w:ascii="Times New Roman" w:hAnsi="Times New Roman" w:cs="Times New Roman"/>
          <w:sz w:val="24"/>
          <w:szCs w:val="24"/>
        </w:rPr>
        <w:t>ocial determinants of health inequities) and intermediary determinants (</w:t>
      </w:r>
      <w:r w:rsidR="00085F78">
        <w:rPr>
          <w:rFonts w:ascii="Times New Roman" w:hAnsi="Times New Roman" w:cs="Times New Roman"/>
          <w:sz w:val="24"/>
          <w:szCs w:val="24"/>
        </w:rPr>
        <w:t xml:space="preserve">i.e., </w:t>
      </w:r>
      <w:r w:rsidR="007069C2">
        <w:rPr>
          <w:rFonts w:ascii="Times New Roman" w:hAnsi="Times New Roman" w:cs="Times New Roman"/>
          <w:sz w:val="24"/>
          <w:szCs w:val="24"/>
        </w:rPr>
        <w:t>social determinants of health). The structural determinants included socioeconomic and political context (i.e., governance, macroeconomic policies, social policies, public policies</w:t>
      </w:r>
      <w:r w:rsidR="00E05A4F">
        <w:rPr>
          <w:rFonts w:ascii="Times New Roman" w:hAnsi="Times New Roman" w:cs="Times New Roman"/>
          <w:sz w:val="24"/>
          <w:szCs w:val="24"/>
        </w:rPr>
        <w:t>,</w:t>
      </w:r>
      <w:r w:rsidR="007069C2">
        <w:rPr>
          <w:rFonts w:ascii="Times New Roman" w:hAnsi="Times New Roman" w:cs="Times New Roman"/>
          <w:sz w:val="24"/>
          <w:szCs w:val="24"/>
        </w:rPr>
        <w:t xml:space="preserve"> and culture and social values)</w:t>
      </w:r>
      <w:r w:rsidR="00633072">
        <w:rPr>
          <w:rFonts w:ascii="Times New Roman" w:hAnsi="Times New Roman" w:cs="Times New Roman"/>
          <w:sz w:val="24"/>
          <w:szCs w:val="24"/>
        </w:rPr>
        <w:t>,</w:t>
      </w:r>
      <w:r w:rsidR="007069C2">
        <w:rPr>
          <w:rFonts w:ascii="Times New Roman" w:hAnsi="Times New Roman" w:cs="Times New Roman"/>
          <w:sz w:val="24"/>
          <w:szCs w:val="24"/>
        </w:rPr>
        <w:t xml:space="preserve"> soci</w:t>
      </w:r>
      <w:r w:rsidR="00633072">
        <w:rPr>
          <w:rFonts w:ascii="Times New Roman" w:hAnsi="Times New Roman" w:cs="Times New Roman"/>
          <w:sz w:val="24"/>
          <w:szCs w:val="24"/>
        </w:rPr>
        <w:t xml:space="preserve">oeconomic position, social class, gender, ethnicity (racism), education, occupation, income, social </w:t>
      </w:r>
      <w:r w:rsidR="000B132D">
        <w:rPr>
          <w:rFonts w:ascii="Times New Roman" w:hAnsi="Times New Roman" w:cs="Times New Roman"/>
          <w:sz w:val="24"/>
          <w:szCs w:val="24"/>
        </w:rPr>
        <w:t>cohesion,</w:t>
      </w:r>
      <w:r w:rsidR="00633072">
        <w:rPr>
          <w:rFonts w:ascii="Times New Roman" w:hAnsi="Times New Roman" w:cs="Times New Roman"/>
          <w:sz w:val="24"/>
          <w:szCs w:val="24"/>
        </w:rPr>
        <w:t xml:space="preserve"> and social capital. The intermediary determinants consisted of</w:t>
      </w:r>
      <w:r w:rsidR="00E10C35">
        <w:rPr>
          <w:rFonts w:ascii="Times New Roman" w:hAnsi="Times New Roman" w:cs="Times New Roman"/>
          <w:sz w:val="24"/>
          <w:szCs w:val="24"/>
        </w:rPr>
        <w:t xml:space="preserve"> material circumstances, behaviors</w:t>
      </w:r>
      <w:r w:rsidR="005353DD">
        <w:rPr>
          <w:rFonts w:ascii="Times New Roman" w:hAnsi="Times New Roman" w:cs="Times New Roman"/>
          <w:sz w:val="24"/>
          <w:szCs w:val="24"/>
        </w:rPr>
        <w:t>,</w:t>
      </w:r>
      <w:r w:rsidR="00E10C35">
        <w:rPr>
          <w:rFonts w:ascii="Times New Roman" w:hAnsi="Times New Roman" w:cs="Times New Roman"/>
          <w:sz w:val="24"/>
          <w:szCs w:val="24"/>
        </w:rPr>
        <w:t xml:space="preserve"> and biological factors</w:t>
      </w:r>
      <w:r w:rsidR="005353DD">
        <w:rPr>
          <w:rFonts w:ascii="Times New Roman" w:hAnsi="Times New Roman" w:cs="Times New Roman"/>
          <w:sz w:val="24"/>
          <w:szCs w:val="24"/>
        </w:rPr>
        <w:t>,</w:t>
      </w:r>
      <w:r w:rsidR="00E10C35">
        <w:rPr>
          <w:rFonts w:ascii="Times New Roman" w:hAnsi="Times New Roman" w:cs="Times New Roman"/>
          <w:sz w:val="24"/>
          <w:szCs w:val="24"/>
        </w:rPr>
        <w:t xml:space="preserve"> </w:t>
      </w:r>
      <w:r w:rsidR="00E10C35">
        <w:rPr>
          <w:rFonts w:ascii="Times New Roman" w:hAnsi="Times New Roman" w:cs="Times New Roman"/>
          <w:sz w:val="24"/>
          <w:szCs w:val="24"/>
        </w:rPr>
        <w:lastRenderedPageBreak/>
        <w:t>and psychosocial factors</w:t>
      </w:r>
      <w:r w:rsidR="005353DD">
        <w:rPr>
          <w:rFonts w:ascii="Times New Roman" w:hAnsi="Times New Roman" w:cs="Times New Roman"/>
          <w:sz w:val="24"/>
          <w:szCs w:val="24"/>
        </w:rPr>
        <w:t>,</w:t>
      </w:r>
      <w:r w:rsidR="00E10C35">
        <w:rPr>
          <w:rFonts w:ascii="Times New Roman" w:hAnsi="Times New Roman" w:cs="Times New Roman"/>
          <w:sz w:val="24"/>
          <w:szCs w:val="24"/>
        </w:rPr>
        <w:t xml:space="preserve"> and health system. They explained that the social determinants of health and health inequities have </w:t>
      </w:r>
      <w:r w:rsidR="00572868">
        <w:rPr>
          <w:rFonts w:ascii="Times New Roman" w:hAnsi="Times New Roman" w:cs="Times New Roman"/>
          <w:sz w:val="24"/>
          <w:szCs w:val="24"/>
        </w:rPr>
        <w:t xml:space="preserve">an </w:t>
      </w:r>
      <w:r w:rsidR="00E10C35">
        <w:rPr>
          <w:rFonts w:ascii="Times New Roman" w:hAnsi="Times New Roman" w:cs="Times New Roman"/>
          <w:sz w:val="24"/>
          <w:szCs w:val="24"/>
        </w:rPr>
        <w:t>impact on equity in health and well-being.</w:t>
      </w:r>
    </w:p>
    <w:p w14:paraId="23F68109" w14:textId="37B32BD4" w:rsidR="0068335A" w:rsidRDefault="0068335A" w:rsidP="00246604">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8A184E">
        <w:rPr>
          <w:rFonts w:ascii="Times New Roman" w:hAnsi="Times New Roman" w:cs="Times New Roman"/>
          <w:sz w:val="24"/>
          <w:szCs w:val="24"/>
        </w:rPr>
        <w:instrText>ADDIN CSL_CITATION {"citationItems":[{"id":"ITEM-1","itemData":{"DOI":"10.1016/S0140-6736(15)60854-6","ISSN":"19523998","PMID":"26111439","abstract":"A long report by an international commission, with particularly close collaboration between European and Chinese academic researchers, advocates that the threat that climate change poses to public health be considered an opportunity to implement a profound transformation of human society.","author":[{"dropping-particle":"","family":"Watts","given":"N.","non-dropping-particle":"","parse-names":false,"suffix":""},{"dropping-particle":"","family":"Adger","given":"W. N.","non-dropping-particle":"","parse-names":false,"suffix":""},{"dropping-particle":"","family":"Agnolucci","given":"P.","non-dropping-particle":"","parse-names":false,"suffix":""}],"container-title":"Environnement, Risques et Sante","id":"ITEM-1","issue":"6","issued":{"date-parts":[["2015"]]},"page":"466-468","title":"Health and climate change: Policy responses to protect public health","type":"article-journal","volume":"14"},"uris":["http://www.mendeley.com/documents/?uuid=82685a76-49d2-4f7e-b0e0-5e1dddac8d55"]}],"mendeley":{"formattedCitation":"(Watts et al., 2015)","manualFormatting":"Watts et al. (2015)","plainTextFormattedCitation":"(Watts et al., 2015)","previouslyFormattedCitation":"(Watts et al., 2015)"},"properties":{"noteIndex":0},"schema":"https://github.com/citation-style-language/schema/raw/master/csl-citation.json"}</w:instrText>
      </w:r>
      <w:r>
        <w:rPr>
          <w:rFonts w:ascii="Times New Roman" w:hAnsi="Times New Roman" w:cs="Times New Roman"/>
          <w:sz w:val="24"/>
          <w:szCs w:val="24"/>
        </w:rPr>
        <w:fldChar w:fldCharType="separate"/>
      </w:r>
      <w:r w:rsidRPr="0068335A">
        <w:rPr>
          <w:rFonts w:ascii="Times New Roman" w:hAnsi="Times New Roman" w:cs="Times New Roman"/>
          <w:noProof/>
          <w:sz w:val="24"/>
          <w:szCs w:val="24"/>
        </w:rPr>
        <w:t xml:space="preserve">Watts et al. </w:t>
      </w:r>
      <w:r>
        <w:rPr>
          <w:rFonts w:ascii="Times New Roman" w:hAnsi="Times New Roman" w:cs="Times New Roman"/>
          <w:noProof/>
          <w:sz w:val="24"/>
          <w:szCs w:val="24"/>
        </w:rPr>
        <w:t>(</w:t>
      </w:r>
      <w:r w:rsidRPr="0068335A">
        <w:rPr>
          <w:rFonts w:ascii="Times New Roman" w:hAnsi="Times New Roman" w:cs="Times New Roman"/>
          <w:noProof/>
          <w:sz w:val="24"/>
          <w:szCs w:val="24"/>
        </w:rPr>
        <w:t>2015)</w:t>
      </w:r>
      <w:r>
        <w:rPr>
          <w:rFonts w:ascii="Times New Roman" w:hAnsi="Times New Roman" w:cs="Times New Roman"/>
          <w:sz w:val="24"/>
          <w:szCs w:val="24"/>
        </w:rPr>
        <w:fldChar w:fldCharType="end"/>
      </w:r>
      <w:r w:rsidR="008A184E">
        <w:rPr>
          <w:rFonts w:ascii="Times New Roman" w:hAnsi="Times New Roman" w:cs="Times New Roman"/>
          <w:sz w:val="24"/>
          <w:szCs w:val="24"/>
        </w:rPr>
        <w:t xml:space="preserve"> developed a framework that explained the effect of climate change on health.</w:t>
      </w:r>
      <w:r w:rsidR="000725DE">
        <w:rPr>
          <w:rFonts w:ascii="Times New Roman" w:hAnsi="Times New Roman" w:cs="Times New Roman"/>
          <w:sz w:val="24"/>
          <w:szCs w:val="24"/>
        </w:rPr>
        <w:t xml:space="preserve"> Their framework had four building blocks</w:t>
      </w:r>
      <w:r w:rsidR="00501E46">
        <w:rPr>
          <w:rFonts w:ascii="Times New Roman" w:hAnsi="Times New Roman" w:cs="Times New Roman"/>
          <w:sz w:val="24"/>
          <w:szCs w:val="24"/>
        </w:rPr>
        <w:t>,</w:t>
      </w:r>
      <w:r w:rsidR="000725DE">
        <w:rPr>
          <w:rFonts w:ascii="Times New Roman" w:hAnsi="Times New Roman" w:cs="Times New Roman"/>
          <w:sz w:val="24"/>
          <w:szCs w:val="24"/>
        </w:rPr>
        <w:t xml:space="preserve"> namely direct effects of climate change (</w:t>
      </w:r>
      <w:r w:rsidR="009F6F5C">
        <w:rPr>
          <w:rFonts w:ascii="Times New Roman" w:hAnsi="Times New Roman" w:cs="Times New Roman"/>
          <w:sz w:val="24"/>
          <w:szCs w:val="24"/>
        </w:rPr>
        <w:t xml:space="preserve">i.e., </w:t>
      </w:r>
      <w:r w:rsidR="000725DE">
        <w:rPr>
          <w:rFonts w:ascii="Times New Roman" w:hAnsi="Times New Roman" w:cs="Times New Roman"/>
          <w:sz w:val="24"/>
          <w:szCs w:val="24"/>
        </w:rPr>
        <w:t>storms, drought, flood and heatwave), indirect effects (</w:t>
      </w:r>
      <w:r w:rsidR="009F6F5C">
        <w:rPr>
          <w:rFonts w:ascii="Times New Roman" w:hAnsi="Times New Roman" w:cs="Times New Roman"/>
          <w:sz w:val="24"/>
          <w:szCs w:val="24"/>
        </w:rPr>
        <w:t xml:space="preserve">i.e., </w:t>
      </w:r>
      <w:r w:rsidR="000725DE">
        <w:rPr>
          <w:rFonts w:ascii="Times New Roman" w:hAnsi="Times New Roman" w:cs="Times New Roman"/>
          <w:sz w:val="24"/>
          <w:szCs w:val="24"/>
        </w:rPr>
        <w:t>water quality, air pollution, land</w:t>
      </w:r>
      <w:r w:rsidR="0052636C">
        <w:rPr>
          <w:rFonts w:ascii="Times New Roman" w:hAnsi="Times New Roman" w:cs="Times New Roman"/>
          <w:sz w:val="24"/>
          <w:szCs w:val="24"/>
        </w:rPr>
        <w:t>-</w:t>
      </w:r>
      <w:r w:rsidR="000725DE">
        <w:rPr>
          <w:rFonts w:ascii="Times New Roman" w:hAnsi="Times New Roman" w:cs="Times New Roman"/>
          <w:sz w:val="24"/>
          <w:szCs w:val="24"/>
        </w:rPr>
        <w:t>use change and ecological change), social dynamics (</w:t>
      </w:r>
      <w:r w:rsidR="009F6F5C">
        <w:rPr>
          <w:rFonts w:ascii="Times New Roman" w:hAnsi="Times New Roman" w:cs="Times New Roman"/>
          <w:sz w:val="24"/>
          <w:szCs w:val="24"/>
        </w:rPr>
        <w:t xml:space="preserve">i.e., </w:t>
      </w:r>
      <w:r w:rsidR="000725DE">
        <w:rPr>
          <w:rFonts w:ascii="Times New Roman" w:hAnsi="Times New Roman" w:cs="Times New Roman"/>
          <w:sz w:val="24"/>
          <w:szCs w:val="24"/>
        </w:rPr>
        <w:t>age and gender, health status, socioeconomic status, social capital, public health infrastructure and mobility and conflict status) and health impact (</w:t>
      </w:r>
      <w:r w:rsidR="009F6F5C">
        <w:rPr>
          <w:rFonts w:ascii="Times New Roman" w:hAnsi="Times New Roman" w:cs="Times New Roman"/>
          <w:sz w:val="24"/>
          <w:szCs w:val="24"/>
        </w:rPr>
        <w:t xml:space="preserve">i.e., </w:t>
      </w:r>
      <w:r w:rsidR="000725DE">
        <w:rPr>
          <w:rFonts w:ascii="Times New Roman" w:hAnsi="Times New Roman" w:cs="Times New Roman"/>
          <w:sz w:val="24"/>
          <w:szCs w:val="24"/>
        </w:rPr>
        <w:t>mental illness, undernutrition, allergies, cardiovascular diseases, infectious diseases, injuries, respiratory diseases and poisoning). Th</w:t>
      </w:r>
      <w:r w:rsidR="00573A53">
        <w:rPr>
          <w:rFonts w:ascii="Times New Roman" w:hAnsi="Times New Roman" w:cs="Times New Roman"/>
          <w:sz w:val="24"/>
          <w:szCs w:val="24"/>
        </w:rPr>
        <w:t xml:space="preserve">us, climate change affects health directly or through </w:t>
      </w:r>
      <w:r w:rsidR="00502AD7">
        <w:rPr>
          <w:rFonts w:ascii="Times New Roman" w:hAnsi="Times New Roman" w:cs="Times New Roman"/>
          <w:sz w:val="24"/>
          <w:szCs w:val="24"/>
        </w:rPr>
        <w:t xml:space="preserve">the </w:t>
      </w:r>
      <w:r w:rsidR="00502AD7">
        <w:rPr>
          <w:rFonts w:ascii="Times New Roman" w:hAnsi="Times New Roman" w:cs="Times New Roman"/>
          <w:sz w:val="24"/>
          <w:szCs w:val="24"/>
        </w:rPr>
        <w:t>social dynamics</w:t>
      </w:r>
      <w:r w:rsidR="00502AD7">
        <w:rPr>
          <w:rFonts w:ascii="Times New Roman" w:hAnsi="Times New Roman" w:cs="Times New Roman"/>
          <w:sz w:val="24"/>
          <w:szCs w:val="24"/>
        </w:rPr>
        <w:t xml:space="preserve"> or </w:t>
      </w:r>
      <w:r w:rsidR="00573A53">
        <w:rPr>
          <w:rFonts w:ascii="Times New Roman" w:hAnsi="Times New Roman" w:cs="Times New Roman"/>
          <w:sz w:val="24"/>
          <w:szCs w:val="24"/>
        </w:rPr>
        <w:t>its</w:t>
      </w:r>
      <w:r w:rsidR="000725DE">
        <w:rPr>
          <w:rFonts w:ascii="Times New Roman" w:hAnsi="Times New Roman" w:cs="Times New Roman"/>
          <w:sz w:val="24"/>
          <w:szCs w:val="24"/>
        </w:rPr>
        <w:t xml:space="preserve"> direct</w:t>
      </w:r>
      <w:r w:rsidR="00573A53">
        <w:rPr>
          <w:rFonts w:ascii="Times New Roman" w:hAnsi="Times New Roman" w:cs="Times New Roman"/>
          <w:sz w:val="24"/>
          <w:szCs w:val="24"/>
        </w:rPr>
        <w:t xml:space="preserve"> </w:t>
      </w:r>
      <w:r w:rsidR="00EC3EE6">
        <w:rPr>
          <w:rFonts w:ascii="Times New Roman" w:hAnsi="Times New Roman" w:cs="Times New Roman"/>
          <w:sz w:val="24"/>
          <w:szCs w:val="24"/>
        </w:rPr>
        <w:t>or indirect</w:t>
      </w:r>
      <w:r w:rsidR="000725DE">
        <w:rPr>
          <w:rFonts w:ascii="Times New Roman" w:hAnsi="Times New Roman" w:cs="Times New Roman"/>
          <w:sz w:val="24"/>
          <w:szCs w:val="24"/>
        </w:rPr>
        <w:t xml:space="preserve"> </w:t>
      </w:r>
      <w:r w:rsidR="00502AD7">
        <w:rPr>
          <w:rFonts w:ascii="Times New Roman" w:hAnsi="Times New Roman" w:cs="Times New Roman"/>
          <w:sz w:val="24"/>
          <w:szCs w:val="24"/>
        </w:rPr>
        <w:t>effects</w:t>
      </w:r>
      <w:r w:rsidR="00573A53">
        <w:rPr>
          <w:rFonts w:ascii="Times New Roman" w:hAnsi="Times New Roman" w:cs="Times New Roman"/>
          <w:sz w:val="24"/>
          <w:szCs w:val="24"/>
        </w:rPr>
        <w:t>.</w:t>
      </w:r>
    </w:p>
    <w:p w14:paraId="6902F26A" w14:textId="0F0989F0" w:rsidR="00EC3EE6" w:rsidRDefault="00EC3EE6" w:rsidP="00FA70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regards to ecological determinants of health, </w:t>
      </w:r>
      <w:r>
        <w:rPr>
          <w:rFonts w:ascii="Times New Roman" w:hAnsi="Times New Roman" w:cs="Times New Roman"/>
          <w:sz w:val="24"/>
          <w:szCs w:val="24"/>
        </w:rPr>
        <w:fldChar w:fldCharType="begin" w:fldLock="1"/>
      </w:r>
      <w:r w:rsidR="006B1D9D">
        <w:rPr>
          <w:rFonts w:ascii="Times New Roman" w:hAnsi="Times New Roman" w:cs="Times New Roman"/>
          <w:sz w:val="24"/>
          <w:szCs w:val="24"/>
        </w:rPr>
        <w:instrText>ADDIN CSL_CITATION {"citationItems":[{"id":"ITEM-1","itemData":{"DOI":"10.1126/science.1259855","ISSN":"10959203","PMID":"25592418","abstract":"The planetary boundaries framework defines a safe operating space for humanity based on the intrinsic biophysical processes that regulate the stability of the Earth system. Here, we revise and update the planetary boundary framework, with a focus on the underpinning biophysical science, based on targeted input from expert research communities and on more general scientific advances over the past 5 years. Several of the boundaries now have a two-tier approach, reflecting the importance of cross-scale interactions and the regional-level heterogeneity of the processes that underpin the boundaries. Two core boundaries-climate change and biosphere integrity-have been identified, each of which has the potential on its own to drive the Earth system into a new state should they be substantially and persistently transgressed.","author":[{"dropping-particle":"","family":"Steffen","given":"Will","non-dropping-particle":"","parse-names":false,"suffix":""},{"dropping-particle":"","family":"Richardson","given":"Katherine","non-dropping-particle":"","parse-names":false,"suffix":""},{"dropping-particle":"","family":"Rockström","given":"Johan","non-dropping-particle":"","parse-names":false,"suffix":""},{"dropping-particle":"","family":"Cornell","given":"Sarah E.","non-dropping-particle":"","parse-names":false,"suffix":""},{"dropping-particle":"","family":"Fetzer","given":"Ingo","non-dropping-particle":"","parse-names":false,"suffix":""},{"dropping-particle":"","family":"Bennett","given":"Elena M.","non-dropping-particle":"","parse-names":false,"suffix":""},{"dropping-particle":"","family":"Biggs","given":"Reinette","non-dropping-particle":"","parse-names":false,"suffix":""},{"dropping-particle":"","family":"Carpenter","given":"Stephen R.","non-dropping-particle":"","parse-names":false,"suffix":""},{"dropping-particle":"","family":"Vries","given":"Wim","non-dropping-particle":"De","parse-names":false,"suffix":""},{"dropping-particle":"","family":"Wit","given":"Cynthia A.","non-dropping-particle":"De","parse-names":false,"suffix":""},{"dropping-particle":"","family":"Folke","given":"Carl","non-dropping-particle":"","parse-names":false,"suffix":""},{"dropping-particle":"","family":"Gerten","given":"Dieter","non-dropping-particle":"","parse-names":false,"suffix":""},{"dropping-particle":"","family":"Heinke","given":"Jens","non-dropping-particle":"","parse-names":false,"suffix":""},{"dropping-particle":"","family":"Mace","given":"Georgina M.","non-dropping-particle":"","parse-names":false,"suffix":""},{"dropping-particle":"","family":"Persson","given":"Linn M.","non-dropping-particle":"","parse-names":false,"suffix":""},{"dropping-particle":"","family":"Ramanathan","given":"Veerabhadran","non-dropping-particle":"","parse-names":false,"suffix":""},{"dropping-particle":"","family":"Reyers","given":"Belinda","non-dropping-particle":"","parse-names":false,"suffix":""},{"dropping-particle":"","family":"Sörlin","given":"Sverker","non-dropping-particle":"","parse-names":false,"suffix":""}],"container-title":"Science","id":"ITEM-1","issue":"6223","issued":{"date-parts":[["2015"]]},"title":"Planetary boundaries: Guiding human development on a changing planet","type":"article-journal","volume":"347"},"uris":["http://www.mendeley.com/documents/?uuid=dcc52fea-8bf4-474e-bf60-83776b4602bd"]}],"mendeley":{"formattedCitation":"(Steffen et al., 2015)","manualFormatting":"Steffen et al. (2015)","plainTextFormattedCitation":"(Steffen et al., 2015)","previouslyFormattedCitation":"(Steffen et al., 2015)"},"properties":{"noteIndex":0},"schema":"https://github.com/citation-style-language/schema/raw/master/csl-citation.json"}</w:instrText>
      </w:r>
      <w:r>
        <w:rPr>
          <w:rFonts w:ascii="Times New Roman" w:hAnsi="Times New Roman" w:cs="Times New Roman"/>
          <w:sz w:val="24"/>
          <w:szCs w:val="24"/>
        </w:rPr>
        <w:fldChar w:fldCharType="separate"/>
      </w:r>
      <w:r w:rsidRPr="00EC3EE6">
        <w:rPr>
          <w:rFonts w:ascii="Times New Roman" w:hAnsi="Times New Roman" w:cs="Times New Roman"/>
          <w:noProof/>
          <w:sz w:val="24"/>
          <w:szCs w:val="24"/>
        </w:rPr>
        <w:t xml:space="preserve">Steffen et al. </w:t>
      </w:r>
      <w:r>
        <w:rPr>
          <w:rFonts w:ascii="Times New Roman" w:hAnsi="Times New Roman" w:cs="Times New Roman"/>
          <w:noProof/>
          <w:sz w:val="24"/>
          <w:szCs w:val="24"/>
        </w:rPr>
        <w:t>(</w:t>
      </w:r>
      <w:r w:rsidRPr="00EC3EE6">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developed a framework (termed as the Planetary Boundaries framework) aimed at defining a safe operating space for human societies to develop and thrive. They identified </w:t>
      </w:r>
      <w:r w:rsidR="005A3517">
        <w:rPr>
          <w:rFonts w:ascii="Times New Roman" w:hAnsi="Times New Roman" w:cs="Times New Roman"/>
          <w:sz w:val="24"/>
          <w:szCs w:val="24"/>
        </w:rPr>
        <w:t xml:space="preserve">nine dimensions or </w:t>
      </w:r>
      <w:r>
        <w:rPr>
          <w:rFonts w:ascii="Times New Roman" w:hAnsi="Times New Roman" w:cs="Times New Roman"/>
          <w:sz w:val="24"/>
          <w:szCs w:val="24"/>
        </w:rPr>
        <w:t>planetary</w:t>
      </w:r>
      <w:r w:rsidR="001F12EF">
        <w:rPr>
          <w:rFonts w:ascii="Times New Roman" w:hAnsi="Times New Roman" w:cs="Times New Roman"/>
          <w:sz w:val="24"/>
          <w:szCs w:val="24"/>
        </w:rPr>
        <w:t xml:space="preserve"> boundaries as the building blocks of the framework: Climate change, novel entities, stratospheric ozone depletion, atmospheric aerosol loading, ocean acidification, biochemical flows, freshwater use, land-system </w:t>
      </w:r>
      <w:r w:rsidR="00F40893">
        <w:rPr>
          <w:rFonts w:ascii="Times New Roman" w:hAnsi="Times New Roman" w:cs="Times New Roman"/>
          <w:sz w:val="24"/>
          <w:szCs w:val="24"/>
        </w:rPr>
        <w:t>change,</w:t>
      </w:r>
      <w:r w:rsidR="001F12EF">
        <w:rPr>
          <w:rFonts w:ascii="Times New Roman" w:hAnsi="Times New Roman" w:cs="Times New Roman"/>
          <w:sz w:val="24"/>
          <w:szCs w:val="24"/>
        </w:rPr>
        <w:t xml:space="preserve"> and biosphere integrity. They defined high risk, increasing risk, unquantified </w:t>
      </w:r>
      <w:r w:rsidR="005A3517">
        <w:rPr>
          <w:rFonts w:ascii="Times New Roman" w:hAnsi="Times New Roman" w:cs="Times New Roman"/>
          <w:sz w:val="24"/>
          <w:szCs w:val="24"/>
        </w:rPr>
        <w:t>boundaries,</w:t>
      </w:r>
      <w:r w:rsidR="001F12EF">
        <w:rPr>
          <w:rFonts w:ascii="Times New Roman" w:hAnsi="Times New Roman" w:cs="Times New Roman"/>
          <w:sz w:val="24"/>
          <w:szCs w:val="24"/>
        </w:rPr>
        <w:t xml:space="preserve"> and safe boundaries of operations.</w:t>
      </w:r>
      <w:r w:rsidR="006B1D9D">
        <w:rPr>
          <w:rFonts w:ascii="Times New Roman" w:hAnsi="Times New Roman" w:cs="Times New Roman"/>
          <w:sz w:val="24"/>
          <w:szCs w:val="24"/>
        </w:rPr>
        <w:t xml:space="preserve"> </w:t>
      </w:r>
      <w:r w:rsidR="005A3517">
        <w:rPr>
          <w:rFonts w:ascii="Times New Roman" w:hAnsi="Times New Roman" w:cs="Times New Roman"/>
          <w:sz w:val="24"/>
          <w:szCs w:val="24"/>
        </w:rPr>
        <w:t>Adding to</w:t>
      </w:r>
      <w:r w:rsidR="006B1D9D">
        <w:rPr>
          <w:rFonts w:ascii="Times New Roman" w:hAnsi="Times New Roman" w:cs="Times New Roman"/>
          <w:sz w:val="24"/>
          <w:szCs w:val="24"/>
        </w:rPr>
        <w:t xml:space="preserve"> the Planetary </w:t>
      </w:r>
      <w:r w:rsidR="00B97B7E">
        <w:rPr>
          <w:rFonts w:ascii="Times New Roman" w:hAnsi="Times New Roman" w:cs="Times New Roman"/>
          <w:sz w:val="24"/>
          <w:szCs w:val="24"/>
        </w:rPr>
        <w:t>B</w:t>
      </w:r>
      <w:r w:rsidR="006B1D9D">
        <w:rPr>
          <w:rFonts w:ascii="Times New Roman" w:hAnsi="Times New Roman" w:cs="Times New Roman"/>
          <w:sz w:val="24"/>
          <w:szCs w:val="24"/>
        </w:rPr>
        <w:t>oundaries</w:t>
      </w:r>
      <w:r w:rsidR="005A3517">
        <w:rPr>
          <w:rFonts w:ascii="Times New Roman" w:hAnsi="Times New Roman" w:cs="Times New Roman"/>
          <w:sz w:val="24"/>
          <w:szCs w:val="24"/>
        </w:rPr>
        <w:t xml:space="preserve"> (PB)</w:t>
      </w:r>
      <w:r w:rsidR="006B1D9D">
        <w:rPr>
          <w:rFonts w:ascii="Times New Roman" w:hAnsi="Times New Roman" w:cs="Times New Roman"/>
          <w:sz w:val="24"/>
          <w:szCs w:val="24"/>
        </w:rPr>
        <w:t xml:space="preserve"> framework, </w:t>
      </w:r>
      <w:r w:rsidR="006B1D9D">
        <w:rPr>
          <w:rFonts w:ascii="Times New Roman" w:hAnsi="Times New Roman" w:cs="Times New Roman"/>
          <w:sz w:val="24"/>
          <w:szCs w:val="24"/>
        </w:rPr>
        <w:fldChar w:fldCharType="begin" w:fldLock="1"/>
      </w:r>
      <w:r w:rsidR="00844BF2">
        <w:rPr>
          <w:rFonts w:ascii="Times New Roman" w:hAnsi="Times New Roman" w:cs="Times New Roman"/>
          <w:sz w:val="24"/>
          <w:szCs w:val="24"/>
        </w:rPr>
        <w:instrText>ADDIN CSL_CITATION {"citationItems":[{"id":"ITEM-1","itemData":{"DOI":"10.1016/S2542-5196(17)30028-1","ISSN":"25425196","PMID":"29851576","author":[{"dropping-particle":"","family":"Raworth","given":"Kate","non-dropping-particle":"","parse-names":false,"suffix":""}],"container-title":"The Lancet Planetary Health","id":"ITEM-1","issue":"2","issued":{"date-parts":[["2017"]]},"page":"e48-e49","publisher":"The Author(s). Published by Elsevier Ltd. This is an Open Access article under the CC BY 4.0 license","title":"A Doughnut for the Anthropocene: humanity's compass in the 21st century","type":"article-journal","volume":"1"},"uris":["http://www.mendeley.com/documents/?uuid=08ad80a9-4df3-424b-8788-1614ce0528f6"]}],"mendeley":{"formattedCitation":"(Raworth, 2017)","manualFormatting":"Raworth (2017)","plainTextFormattedCitation":"(Raworth, 2017)","previouslyFormattedCitation":"(Raworth, 2017)"},"properties":{"noteIndex":0},"schema":"https://github.com/citation-style-language/schema/raw/master/csl-citation.json"}</w:instrText>
      </w:r>
      <w:r w:rsidR="006B1D9D">
        <w:rPr>
          <w:rFonts w:ascii="Times New Roman" w:hAnsi="Times New Roman" w:cs="Times New Roman"/>
          <w:sz w:val="24"/>
          <w:szCs w:val="24"/>
        </w:rPr>
        <w:fldChar w:fldCharType="separate"/>
      </w:r>
      <w:r w:rsidR="006B1D9D" w:rsidRPr="006B1D9D">
        <w:rPr>
          <w:rFonts w:ascii="Times New Roman" w:hAnsi="Times New Roman" w:cs="Times New Roman"/>
          <w:noProof/>
          <w:sz w:val="24"/>
          <w:szCs w:val="24"/>
        </w:rPr>
        <w:t xml:space="preserve">Raworth </w:t>
      </w:r>
      <w:r w:rsidR="006B1D9D">
        <w:rPr>
          <w:rFonts w:ascii="Times New Roman" w:hAnsi="Times New Roman" w:cs="Times New Roman"/>
          <w:noProof/>
          <w:sz w:val="24"/>
          <w:szCs w:val="24"/>
        </w:rPr>
        <w:t>(</w:t>
      </w:r>
      <w:r w:rsidR="006B1D9D" w:rsidRPr="006B1D9D">
        <w:rPr>
          <w:rFonts w:ascii="Times New Roman" w:hAnsi="Times New Roman" w:cs="Times New Roman"/>
          <w:noProof/>
          <w:sz w:val="24"/>
          <w:szCs w:val="24"/>
        </w:rPr>
        <w:t>2017)</w:t>
      </w:r>
      <w:r w:rsidR="006B1D9D">
        <w:rPr>
          <w:rFonts w:ascii="Times New Roman" w:hAnsi="Times New Roman" w:cs="Times New Roman"/>
          <w:sz w:val="24"/>
          <w:szCs w:val="24"/>
        </w:rPr>
        <w:fldChar w:fldCharType="end"/>
      </w:r>
      <w:r w:rsidR="006B1D9D">
        <w:rPr>
          <w:rFonts w:ascii="Times New Roman" w:hAnsi="Times New Roman" w:cs="Times New Roman"/>
          <w:sz w:val="24"/>
          <w:szCs w:val="24"/>
        </w:rPr>
        <w:t xml:space="preserve"> built </w:t>
      </w:r>
      <w:r w:rsidR="005A3517">
        <w:rPr>
          <w:rFonts w:ascii="Times New Roman" w:hAnsi="Times New Roman" w:cs="Times New Roman"/>
          <w:sz w:val="24"/>
          <w:szCs w:val="24"/>
        </w:rPr>
        <w:t>the ‘</w:t>
      </w:r>
      <w:r w:rsidR="006B1D9D">
        <w:rPr>
          <w:rFonts w:ascii="Times New Roman" w:hAnsi="Times New Roman" w:cs="Times New Roman"/>
          <w:sz w:val="24"/>
          <w:szCs w:val="24"/>
        </w:rPr>
        <w:t>Doughnut framework</w:t>
      </w:r>
      <w:r w:rsidR="005A3517">
        <w:rPr>
          <w:rFonts w:ascii="Times New Roman" w:hAnsi="Times New Roman" w:cs="Times New Roman"/>
          <w:sz w:val="24"/>
          <w:szCs w:val="24"/>
        </w:rPr>
        <w:t>’</w:t>
      </w:r>
      <w:r w:rsidR="00CC35EE">
        <w:rPr>
          <w:rFonts w:ascii="Times New Roman" w:hAnsi="Times New Roman" w:cs="Times New Roman"/>
          <w:sz w:val="24"/>
          <w:szCs w:val="24"/>
        </w:rPr>
        <w:t>,</w:t>
      </w:r>
      <w:r w:rsidR="006B1D9D">
        <w:rPr>
          <w:rFonts w:ascii="Times New Roman" w:hAnsi="Times New Roman" w:cs="Times New Roman"/>
          <w:sz w:val="24"/>
          <w:szCs w:val="24"/>
        </w:rPr>
        <w:t xml:space="preserve"> which combines both social and ecological boundaries (</w:t>
      </w:r>
      <w:r w:rsidR="00BE20D7">
        <w:rPr>
          <w:rFonts w:ascii="Times New Roman" w:hAnsi="Times New Roman" w:cs="Times New Roman"/>
          <w:sz w:val="24"/>
          <w:szCs w:val="24"/>
        </w:rPr>
        <w:t xml:space="preserve">i.e., </w:t>
      </w:r>
      <w:r w:rsidR="006B1D9D">
        <w:rPr>
          <w:rFonts w:ascii="Times New Roman" w:hAnsi="Times New Roman" w:cs="Times New Roman"/>
          <w:sz w:val="24"/>
          <w:szCs w:val="24"/>
        </w:rPr>
        <w:t>eco-social determinants) that encompass human well</w:t>
      </w:r>
      <w:r w:rsidR="006E4D69">
        <w:rPr>
          <w:rFonts w:ascii="Times New Roman" w:hAnsi="Times New Roman" w:cs="Times New Roman"/>
          <w:sz w:val="24"/>
          <w:szCs w:val="24"/>
        </w:rPr>
        <w:t>-</w:t>
      </w:r>
      <w:r w:rsidR="006B1D9D">
        <w:rPr>
          <w:rFonts w:ascii="Times New Roman" w:hAnsi="Times New Roman" w:cs="Times New Roman"/>
          <w:sz w:val="24"/>
          <w:szCs w:val="24"/>
        </w:rPr>
        <w:t>being together.</w:t>
      </w:r>
      <w:r w:rsidR="005A3517">
        <w:rPr>
          <w:rFonts w:ascii="Times New Roman" w:hAnsi="Times New Roman" w:cs="Times New Roman"/>
          <w:sz w:val="24"/>
          <w:szCs w:val="24"/>
        </w:rPr>
        <w:t xml:space="preserve"> They maintained the nine dimensions of the PB framework and termed it as</w:t>
      </w:r>
      <w:r w:rsidR="005A3517" w:rsidRPr="005A3517">
        <w:rPr>
          <w:rFonts w:ascii="Times New Roman" w:hAnsi="Times New Roman" w:cs="Times New Roman"/>
          <w:sz w:val="24"/>
          <w:szCs w:val="24"/>
        </w:rPr>
        <w:t xml:space="preserve"> outer boundary </w:t>
      </w:r>
      <w:r w:rsidR="005A3517">
        <w:rPr>
          <w:rFonts w:ascii="Times New Roman" w:hAnsi="Times New Roman" w:cs="Times New Roman"/>
          <w:sz w:val="24"/>
          <w:szCs w:val="24"/>
        </w:rPr>
        <w:t xml:space="preserve">or </w:t>
      </w:r>
      <w:r w:rsidR="005A3517" w:rsidRPr="005A3517">
        <w:rPr>
          <w:rFonts w:ascii="Times New Roman" w:hAnsi="Times New Roman" w:cs="Times New Roman"/>
          <w:sz w:val="24"/>
          <w:szCs w:val="24"/>
        </w:rPr>
        <w:t>ecological</w:t>
      </w:r>
      <w:r w:rsidR="00B11930">
        <w:rPr>
          <w:rFonts w:ascii="Times New Roman" w:hAnsi="Times New Roman" w:cs="Times New Roman"/>
          <w:sz w:val="24"/>
          <w:szCs w:val="24"/>
        </w:rPr>
        <w:t xml:space="preserve"> </w:t>
      </w:r>
      <w:r w:rsidR="005A3517" w:rsidRPr="005A3517">
        <w:rPr>
          <w:rFonts w:ascii="Times New Roman" w:hAnsi="Times New Roman" w:cs="Times New Roman"/>
          <w:sz w:val="24"/>
          <w:szCs w:val="24"/>
        </w:rPr>
        <w:t>ceiling, beyond which lies an overshoot of pressure</w:t>
      </w:r>
      <w:r w:rsidR="005A3517">
        <w:rPr>
          <w:rFonts w:ascii="Times New Roman" w:hAnsi="Times New Roman" w:cs="Times New Roman"/>
          <w:sz w:val="24"/>
          <w:szCs w:val="24"/>
        </w:rPr>
        <w:t xml:space="preserve"> </w:t>
      </w:r>
      <w:r w:rsidR="005A3517" w:rsidRPr="005A3517">
        <w:rPr>
          <w:rFonts w:ascii="Times New Roman" w:hAnsi="Times New Roman" w:cs="Times New Roman"/>
          <w:sz w:val="24"/>
          <w:szCs w:val="24"/>
        </w:rPr>
        <w:t>on Earth’s life-supporting systems,</w:t>
      </w:r>
      <w:r w:rsidR="00B11930">
        <w:rPr>
          <w:rFonts w:ascii="Times New Roman" w:hAnsi="Times New Roman" w:cs="Times New Roman"/>
          <w:sz w:val="24"/>
          <w:szCs w:val="24"/>
        </w:rPr>
        <w:t xml:space="preserve"> </w:t>
      </w:r>
      <w:r w:rsidR="00B11930" w:rsidRPr="00B11930">
        <w:rPr>
          <w:rFonts w:ascii="Times New Roman" w:hAnsi="Times New Roman" w:cs="Times New Roman"/>
          <w:sz w:val="24"/>
          <w:szCs w:val="24"/>
        </w:rPr>
        <w:t>such as climate</w:t>
      </w:r>
      <w:r w:rsidR="00B11930">
        <w:rPr>
          <w:rFonts w:ascii="Times New Roman" w:hAnsi="Times New Roman" w:cs="Times New Roman"/>
          <w:sz w:val="24"/>
          <w:szCs w:val="24"/>
        </w:rPr>
        <w:t xml:space="preserve"> </w:t>
      </w:r>
      <w:r w:rsidR="00B11930" w:rsidRPr="00B11930">
        <w:rPr>
          <w:rFonts w:ascii="Times New Roman" w:hAnsi="Times New Roman" w:cs="Times New Roman"/>
          <w:sz w:val="24"/>
          <w:szCs w:val="24"/>
        </w:rPr>
        <w:t>change, ocean acidification, and biodiversity loss</w:t>
      </w:r>
      <w:r w:rsidR="00B11930">
        <w:rPr>
          <w:rFonts w:ascii="Times New Roman" w:hAnsi="Times New Roman" w:cs="Times New Roman"/>
          <w:sz w:val="24"/>
          <w:szCs w:val="24"/>
        </w:rPr>
        <w:t xml:space="preserve"> (in the PB framework). </w:t>
      </w:r>
      <w:r w:rsidR="005A3517" w:rsidRPr="005A3517">
        <w:rPr>
          <w:rFonts w:ascii="Times New Roman" w:hAnsi="Times New Roman" w:cs="Times New Roman"/>
          <w:sz w:val="24"/>
          <w:szCs w:val="24"/>
        </w:rPr>
        <w:t>The</w:t>
      </w:r>
      <w:r w:rsidR="005A3517">
        <w:rPr>
          <w:rFonts w:ascii="Times New Roman" w:hAnsi="Times New Roman" w:cs="Times New Roman"/>
          <w:sz w:val="24"/>
          <w:szCs w:val="24"/>
        </w:rPr>
        <w:t>y introduced an</w:t>
      </w:r>
      <w:r w:rsidR="005A3517" w:rsidRPr="005A3517">
        <w:rPr>
          <w:rFonts w:ascii="Times New Roman" w:hAnsi="Times New Roman" w:cs="Times New Roman"/>
          <w:sz w:val="24"/>
          <w:szCs w:val="24"/>
        </w:rPr>
        <w:t xml:space="preserve"> inner boundary </w:t>
      </w:r>
      <w:r w:rsidR="00B11930">
        <w:rPr>
          <w:rFonts w:ascii="Times New Roman" w:hAnsi="Times New Roman" w:cs="Times New Roman"/>
          <w:sz w:val="24"/>
          <w:szCs w:val="24"/>
        </w:rPr>
        <w:t xml:space="preserve">and termed it as </w:t>
      </w:r>
      <w:r w:rsidR="00817F4F">
        <w:rPr>
          <w:rFonts w:ascii="Times New Roman" w:hAnsi="Times New Roman" w:cs="Times New Roman"/>
          <w:sz w:val="24"/>
          <w:szCs w:val="24"/>
        </w:rPr>
        <w:t xml:space="preserve">the </w:t>
      </w:r>
      <w:r w:rsidR="005A3517" w:rsidRPr="005A3517">
        <w:rPr>
          <w:rFonts w:ascii="Times New Roman" w:hAnsi="Times New Roman" w:cs="Times New Roman"/>
          <w:sz w:val="24"/>
          <w:szCs w:val="24"/>
        </w:rPr>
        <w:t>social foundation, below which</w:t>
      </w:r>
      <w:r w:rsidR="005A3517">
        <w:rPr>
          <w:rFonts w:ascii="Times New Roman" w:hAnsi="Times New Roman" w:cs="Times New Roman"/>
          <w:sz w:val="24"/>
          <w:szCs w:val="24"/>
        </w:rPr>
        <w:t xml:space="preserve"> </w:t>
      </w:r>
      <w:r w:rsidR="005A3517" w:rsidRPr="005A3517">
        <w:rPr>
          <w:rFonts w:ascii="Times New Roman" w:hAnsi="Times New Roman" w:cs="Times New Roman"/>
          <w:sz w:val="24"/>
          <w:szCs w:val="24"/>
        </w:rPr>
        <w:t xml:space="preserve">lie shortfalls in </w:t>
      </w:r>
      <w:r w:rsidR="005A3517" w:rsidRPr="005A3517">
        <w:rPr>
          <w:rFonts w:ascii="Times New Roman" w:hAnsi="Times New Roman" w:cs="Times New Roman"/>
          <w:sz w:val="24"/>
          <w:szCs w:val="24"/>
        </w:rPr>
        <w:lastRenderedPageBreak/>
        <w:t>well</w:t>
      </w:r>
      <w:r w:rsidR="001D7C9A">
        <w:rPr>
          <w:rFonts w:ascii="Times New Roman" w:hAnsi="Times New Roman" w:cs="Times New Roman"/>
          <w:sz w:val="24"/>
          <w:szCs w:val="24"/>
        </w:rPr>
        <w:t>-</w:t>
      </w:r>
      <w:r w:rsidR="005A3517" w:rsidRPr="005A3517">
        <w:rPr>
          <w:rFonts w:ascii="Times New Roman" w:hAnsi="Times New Roman" w:cs="Times New Roman"/>
          <w:sz w:val="24"/>
          <w:szCs w:val="24"/>
        </w:rPr>
        <w:t>being, such as hunger, ill</w:t>
      </w:r>
      <w:r w:rsidR="00460A95">
        <w:rPr>
          <w:rFonts w:ascii="Times New Roman" w:hAnsi="Times New Roman" w:cs="Times New Roman"/>
          <w:sz w:val="24"/>
          <w:szCs w:val="24"/>
        </w:rPr>
        <w:t>-</w:t>
      </w:r>
      <w:r w:rsidR="005A3517" w:rsidRPr="005A3517">
        <w:rPr>
          <w:rFonts w:ascii="Times New Roman" w:hAnsi="Times New Roman" w:cs="Times New Roman"/>
          <w:sz w:val="24"/>
          <w:szCs w:val="24"/>
        </w:rPr>
        <w:t>health,</w:t>
      </w:r>
      <w:r w:rsidR="00B11930">
        <w:rPr>
          <w:rFonts w:ascii="Times New Roman" w:hAnsi="Times New Roman" w:cs="Times New Roman"/>
          <w:sz w:val="24"/>
          <w:szCs w:val="24"/>
        </w:rPr>
        <w:t xml:space="preserve"> </w:t>
      </w:r>
      <w:r w:rsidR="005A3517" w:rsidRPr="005A3517">
        <w:rPr>
          <w:rFonts w:ascii="Times New Roman" w:hAnsi="Times New Roman" w:cs="Times New Roman"/>
          <w:sz w:val="24"/>
          <w:szCs w:val="24"/>
        </w:rPr>
        <w:t xml:space="preserve">illiteracy, and energy poverty. </w:t>
      </w:r>
      <w:r w:rsidR="009E46D0">
        <w:rPr>
          <w:rFonts w:ascii="Times New Roman" w:hAnsi="Times New Roman" w:cs="Times New Roman"/>
          <w:sz w:val="24"/>
          <w:szCs w:val="24"/>
        </w:rPr>
        <w:t xml:space="preserve">The </w:t>
      </w:r>
      <w:r w:rsidR="009E46D0" w:rsidRPr="005A3517">
        <w:rPr>
          <w:rFonts w:ascii="Times New Roman" w:hAnsi="Times New Roman" w:cs="Times New Roman"/>
          <w:sz w:val="24"/>
          <w:szCs w:val="24"/>
        </w:rPr>
        <w:t xml:space="preserve">social foundation </w:t>
      </w:r>
      <w:r w:rsidR="00762DCD">
        <w:rPr>
          <w:rFonts w:ascii="Times New Roman" w:hAnsi="Times New Roman" w:cs="Times New Roman"/>
          <w:sz w:val="24"/>
          <w:szCs w:val="24"/>
        </w:rPr>
        <w:t>encompasses</w:t>
      </w:r>
      <w:r w:rsidR="005A3517" w:rsidRPr="005A3517">
        <w:rPr>
          <w:rFonts w:ascii="Times New Roman" w:hAnsi="Times New Roman" w:cs="Times New Roman"/>
          <w:sz w:val="24"/>
          <w:szCs w:val="24"/>
        </w:rPr>
        <w:t xml:space="preserve"> twelve </w:t>
      </w:r>
      <w:r w:rsidR="009E46D0">
        <w:rPr>
          <w:rFonts w:ascii="Times New Roman" w:hAnsi="Times New Roman" w:cs="Times New Roman"/>
          <w:sz w:val="24"/>
          <w:szCs w:val="24"/>
        </w:rPr>
        <w:t xml:space="preserve">elements in the </w:t>
      </w:r>
      <w:r w:rsidR="005A3517" w:rsidRPr="005A3517">
        <w:rPr>
          <w:rFonts w:ascii="Times New Roman" w:hAnsi="Times New Roman" w:cs="Times New Roman"/>
          <w:sz w:val="24"/>
          <w:szCs w:val="24"/>
        </w:rPr>
        <w:t>Sustainable</w:t>
      </w:r>
      <w:r w:rsidR="00B11930">
        <w:rPr>
          <w:rFonts w:ascii="Times New Roman" w:hAnsi="Times New Roman" w:cs="Times New Roman"/>
          <w:sz w:val="24"/>
          <w:szCs w:val="24"/>
        </w:rPr>
        <w:t xml:space="preserve"> </w:t>
      </w:r>
      <w:r w:rsidR="005A3517" w:rsidRPr="005A3517">
        <w:rPr>
          <w:rFonts w:ascii="Times New Roman" w:hAnsi="Times New Roman" w:cs="Times New Roman"/>
          <w:sz w:val="24"/>
          <w:szCs w:val="24"/>
        </w:rPr>
        <w:t>Development Goals</w:t>
      </w:r>
      <w:r w:rsidR="00B11930">
        <w:rPr>
          <w:rFonts w:ascii="Times New Roman" w:hAnsi="Times New Roman" w:cs="Times New Roman"/>
          <w:sz w:val="24"/>
          <w:szCs w:val="24"/>
        </w:rPr>
        <w:t xml:space="preserve">: </w:t>
      </w:r>
      <w:r w:rsidR="009F3C1F">
        <w:rPr>
          <w:rFonts w:ascii="Times New Roman" w:hAnsi="Times New Roman" w:cs="Times New Roman"/>
          <w:sz w:val="24"/>
          <w:szCs w:val="24"/>
        </w:rPr>
        <w:t xml:space="preserve">energy, water, food, health, </w:t>
      </w:r>
      <w:r w:rsidR="00BC52CB">
        <w:rPr>
          <w:rFonts w:ascii="Times New Roman" w:hAnsi="Times New Roman" w:cs="Times New Roman"/>
          <w:sz w:val="24"/>
          <w:szCs w:val="24"/>
        </w:rPr>
        <w:t>education, income and work, peace and justice, political voice, gender equality, social equity, housing, and networks.</w:t>
      </w:r>
      <w:r w:rsidR="0080082F">
        <w:rPr>
          <w:rFonts w:ascii="Times New Roman" w:hAnsi="Times New Roman" w:cs="Times New Roman"/>
          <w:sz w:val="24"/>
          <w:szCs w:val="24"/>
        </w:rPr>
        <w:t xml:space="preserve"> Canada Public Health Association adopted an eco-social framework for public health action </w:t>
      </w:r>
      <w:r w:rsidR="003F5019">
        <w:rPr>
          <w:rFonts w:ascii="Times New Roman" w:hAnsi="Times New Roman" w:cs="Times New Roman"/>
          <w:sz w:val="24"/>
          <w:szCs w:val="24"/>
        </w:rPr>
        <w:t xml:space="preserve">(See figure </w:t>
      </w:r>
      <w:r w:rsidR="006B757C">
        <w:rPr>
          <w:rFonts w:ascii="Times New Roman" w:hAnsi="Times New Roman" w:cs="Times New Roman"/>
          <w:sz w:val="24"/>
          <w:szCs w:val="24"/>
        </w:rPr>
        <w:t>1</w:t>
      </w:r>
      <w:r w:rsidR="003F5019">
        <w:rPr>
          <w:rFonts w:ascii="Times New Roman" w:hAnsi="Times New Roman" w:cs="Times New Roman"/>
          <w:sz w:val="24"/>
          <w:szCs w:val="24"/>
        </w:rPr>
        <w:t xml:space="preserve"> in Appendix</w:t>
      </w:r>
      <w:r w:rsidR="00CF0CA7">
        <w:rPr>
          <w:rFonts w:ascii="Times New Roman" w:hAnsi="Times New Roman" w:cs="Times New Roman"/>
          <w:sz w:val="24"/>
          <w:szCs w:val="24"/>
        </w:rPr>
        <w:t>),</w:t>
      </w:r>
      <w:r w:rsidR="009455C0">
        <w:rPr>
          <w:rFonts w:ascii="Times New Roman" w:hAnsi="Times New Roman" w:cs="Times New Roman"/>
          <w:sz w:val="24"/>
          <w:szCs w:val="24"/>
        </w:rPr>
        <w:t xml:space="preserve"> </w:t>
      </w:r>
      <w:r w:rsidR="0080082F">
        <w:rPr>
          <w:rFonts w:ascii="Times New Roman" w:hAnsi="Times New Roman" w:cs="Times New Roman"/>
          <w:sz w:val="24"/>
          <w:szCs w:val="24"/>
        </w:rPr>
        <w:t xml:space="preserve">and it highlights the relevance of </w:t>
      </w:r>
      <w:r w:rsidR="004024EE">
        <w:rPr>
          <w:rFonts w:ascii="Times New Roman" w:hAnsi="Times New Roman" w:cs="Times New Roman"/>
          <w:sz w:val="24"/>
          <w:szCs w:val="24"/>
        </w:rPr>
        <w:t xml:space="preserve">the effect of </w:t>
      </w:r>
      <w:r w:rsidR="0080082F">
        <w:rPr>
          <w:rFonts w:ascii="Times New Roman" w:hAnsi="Times New Roman" w:cs="Times New Roman"/>
          <w:sz w:val="24"/>
          <w:szCs w:val="24"/>
        </w:rPr>
        <w:t>ecological or eco-social determinants on health.</w:t>
      </w:r>
      <w:r w:rsidR="00FA7070">
        <w:rPr>
          <w:rFonts w:ascii="Times New Roman" w:hAnsi="Times New Roman" w:cs="Times New Roman"/>
          <w:sz w:val="24"/>
          <w:szCs w:val="24"/>
        </w:rPr>
        <w:t xml:space="preserve"> They highlighted that </w:t>
      </w:r>
      <w:r w:rsidR="00FA7070" w:rsidRPr="00FA7070">
        <w:rPr>
          <w:rFonts w:ascii="Times New Roman" w:hAnsi="Times New Roman" w:cs="Times New Roman"/>
          <w:sz w:val="24"/>
          <w:szCs w:val="24"/>
        </w:rPr>
        <w:t>there is a growing recognition that the</w:t>
      </w:r>
      <w:r w:rsidR="00FA7070">
        <w:rPr>
          <w:rFonts w:ascii="Times New Roman" w:hAnsi="Times New Roman" w:cs="Times New Roman"/>
          <w:sz w:val="24"/>
          <w:szCs w:val="24"/>
        </w:rPr>
        <w:t xml:space="preserve"> </w:t>
      </w:r>
      <w:r w:rsidR="00FA7070" w:rsidRPr="00FA7070">
        <w:rPr>
          <w:rFonts w:ascii="Times New Roman" w:hAnsi="Times New Roman" w:cs="Times New Roman"/>
          <w:sz w:val="24"/>
          <w:szCs w:val="24"/>
        </w:rPr>
        <w:t>Earth is itself a living system and that the ultimate determinant</w:t>
      </w:r>
      <w:r w:rsidR="00FA7070">
        <w:rPr>
          <w:rFonts w:ascii="Times New Roman" w:hAnsi="Times New Roman" w:cs="Times New Roman"/>
          <w:sz w:val="24"/>
          <w:szCs w:val="24"/>
        </w:rPr>
        <w:t xml:space="preserve"> </w:t>
      </w:r>
      <w:r w:rsidR="00FA7070" w:rsidRPr="00FA7070">
        <w:rPr>
          <w:rFonts w:ascii="Times New Roman" w:hAnsi="Times New Roman" w:cs="Times New Roman"/>
          <w:sz w:val="24"/>
          <w:szCs w:val="24"/>
        </w:rPr>
        <w:t>of human health (and that of all other species) is the</w:t>
      </w:r>
      <w:r w:rsidR="00FA7070">
        <w:rPr>
          <w:rFonts w:ascii="Times New Roman" w:hAnsi="Times New Roman" w:cs="Times New Roman"/>
          <w:sz w:val="24"/>
          <w:szCs w:val="24"/>
        </w:rPr>
        <w:t xml:space="preserve"> </w:t>
      </w:r>
      <w:r w:rsidR="00FA7070" w:rsidRPr="00FA7070">
        <w:rPr>
          <w:rFonts w:ascii="Times New Roman" w:hAnsi="Times New Roman" w:cs="Times New Roman"/>
          <w:sz w:val="24"/>
          <w:szCs w:val="24"/>
        </w:rPr>
        <w:t>health of the Earth’s life-supporting systems. The ecosystem</w:t>
      </w:r>
      <w:r w:rsidR="00391135">
        <w:rPr>
          <w:rFonts w:ascii="Times New Roman" w:hAnsi="Times New Roman" w:cs="Times New Roman"/>
          <w:sz w:val="24"/>
          <w:szCs w:val="24"/>
        </w:rPr>
        <w:t>-b</w:t>
      </w:r>
      <w:r w:rsidR="00FA7070" w:rsidRPr="00FA7070">
        <w:rPr>
          <w:rFonts w:ascii="Times New Roman" w:hAnsi="Times New Roman" w:cs="Times New Roman"/>
          <w:sz w:val="24"/>
          <w:szCs w:val="24"/>
        </w:rPr>
        <w:t>ased</w:t>
      </w:r>
      <w:r w:rsidR="00FA7070">
        <w:rPr>
          <w:rFonts w:ascii="Times New Roman" w:hAnsi="Times New Roman" w:cs="Times New Roman"/>
          <w:sz w:val="24"/>
          <w:szCs w:val="24"/>
        </w:rPr>
        <w:t xml:space="preserve"> </w:t>
      </w:r>
      <w:r w:rsidR="00FA7070" w:rsidRPr="00FA7070">
        <w:rPr>
          <w:rFonts w:ascii="Times New Roman" w:hAnsi="Times New Roman" w:cs="Times New Roman"/>
          <w:sz w:val="24"/>
          <w:szCs w:val="24"/>
        </w:rPr>
        <w:t>‘goods and services’ that we get from nature are the</w:t>
      </w:r>
      <w:r w:rsidR="00FA7070">
        <w:rPr>
          <w:rFonts w:ascii="Times New Roman" w:hAnsi="Times New Roman" w:cs="Times New Roman"/>
          <w:sz w:val="24"/>
          <w:szCs w:val="24"/>
        </w:rPr>
        <w:t xml:space="preserve"> </w:t>
      </w:r>
      <w:r w:rsidR="00FA7070" w:rsidRPr="00FA7070">
        <w:rPr>
          <w:rFonts w:ascii="Times New Roman" w:hAnsi="Times New Roman" w:cs="Times New Roman"/>
          <w:sz w:val="24"/>
          <w:szCs w:val="24"/>
        </w:rPr>
        <w:t>ecological determinants of health</w:t>
      </w:r>
      <w:r w:rsidR="00FA7070">
        <w:rPr>
          <w:rFonts w:ascii="Times New Roman" w:hAnsi="Times New Roman" w:cs="Times New Roman"/>
          <w:sz w:val="24"/>
          <w:szCs w:val="24"/>
        </w:rPr>
        <w:t xml:space="preserve"> (or population health)</w:t>
      </w:r>
      <w:r w:rsidR="00FA7070" w:rsidRPr="00FA7070">
        <w:rPr>
          <w:rFonts w:ascii="Times New Roman" w:hAnsi="Times New Roman" w:cs="Times New Roman"/>
          <w:sz w:val="24"/>
          <w:szCs w:val="24"/>
        </w:rPr>
        <w:t>.</w:t>
      </w:r>
    </w:p>
    <w:p w14:paraId="7845F5A5" w14:textId="51629625" w:rsidR="0028246F" w:rsidRDefault="00343B06" w:rsidP="00624A3C">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96F0C">
        <w:rPr>
          <w:rFonts w:ascii="Times New Roman" w:hAnsi="Times New Roman" w:cs="Times New Roman"/>
          <w:sz w:val="24"/>
          <w:szCs w:val="24"/>
        </w:rPr>
        <w:instrText>ADDIN CSL_CITATION {"citationItems":[{"id":"ITEM-1","itemData":{"DOI":"10.1111/nin.12017","ISSN":"13207881","PMID":"23217099","abstract":"Individuals' health outcomes are influenced not only by their knowledge and behavior, but also by complex social, political and economic forces. Attention to these multi-level factors is necessary to accurately and comprehensively understand and intervene to improve human health. The population health framework is a valuable conceptual framework to guide nurse researchers in identifying and targeting the broad range of determinants of health. However, attention to the intermediate processes linking multi-level factors and use of appropriate multi-level theory and research methodology is critical to utilizing the framework effectively. Nurse researchers are well equipped to undertake such investigations but need to consider a number of political, societal, professional and organizational barriers to do so. By fully embracing the population health framework, nurse researchers have the opportunity to explore the multi-level influences on health and to develop, implement and evaluate interventions that target immediate needs, more distal factors and the intermediate processes that connect them. © 2012 Blackwell Publishing Ltd.","author":[{"dropping-particle":"","family":"MacDonald","given":"Shannon E.","non-dropping-particle":"","parse-names":false,"suffix":""},{"dropping-particle":"V.","family":"Newburn-Cook","given":"Christine","non-dropping-particle":"","parse-names":false,"suffix":""},{"dropping-particle":"","family":"Allen","given":"Marion","non-dropping-particle":"","parse-names":false,"suffix":""},{"dropping-particle":"","family":"Reutter","given":"Linda","non-dropping-particle":"","parse-names":false,"suffix":""}],"container-title":"Nursing Inquiry","id":"ITEM-1","issue":"1","issued":{"date-parts":[["2013"]]},"page":"30-41","title":"Embracing the population health framework in nursing research","type":"article-journal","volume":"20"},"uris":["http://www.mendeley.com/documents/?uuid=b972c592-c7ae-436b-82e1-5b87c2e1c3c2"]}],"mendeley":{"formattedCitation":"(MacDonald et al., 2013)","manualFormatting":"MacDonald et al. (2013)","plainTextFormattedCitation":"(MacDonald et al., 2013)","previouslyFormattedCitation":"(MacDonald et al., 2013)"},"properties":{"noteIndex":0},"schema":"https://github.com/citation-style-language/schema/raw/master/csl-citation.json"}</w:instrText>
      </w:r>
      <w:r>
        <w:rPr>
          <w:rFonts w:ascii="Times New Roman" w:hAnsi="Times New Roman" w:cs="Times New Roman"/>
          <w:sz w:val="24"/>
          <w:szCs w:val="24"/>
        </w:rPr>
        <w:fldChar w:fldCharType="separate"/>
      </w:r>
      <w:r w:rsidRPr="00844BF2">
        <w:rPr>
          <w:rFonts w:ascii="Times New Roman" w:hAnsi="Times New Roman" w:cs="Times New Roman"/>
          <w:noProof/>
          <w:sz w:val="24"/>
          <w:szCs w:val="24"/>
        </w:rPr>
        <w:t xml:space="preserve">MacDonald et al. </w:t>
      </w:r>
      <w:r>
        <w:rPr>
          <w:rFonts w:ascii="Times New Roman" w:hAnsi="Times New Roman" w:cs="Times New Roman"/>
          <w:noProof/>
          <w:sz w:val="24"/>
          <w:szCs w:val="24"/>
        </w:rPr>
        <w:t>(</w:t>
      </w:r>
      <w:r w:rsidRPr="00844BF2">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developed the ‘population health framework’ which describes inter- and intra-personal determinants of health</w:t>
      </w:r>
      <w:r w:rsidR="00624A3C">
        <w:rPr>
          <w:rFonts w:ascii="Times New Roman" w:hAnsi="Times New Roman" w:cs="Times New Roman"/>
          <w:sz w:val="24"/>
          <w:szCs w:val="24"/>
        </w:rPr>
        <w:t xml:space="preserve"> </w:t>
      </w:r>
      <w:r w:rsidR="009022F4">
        <w:rPr>
          <w:rFonts w:ascii="Times New Roman" w:hAnsi="Times New Roman" w:cs="Times New Roman"/>
          <w:sz w:val="24"/>
          <w:szCs w:val="24"/>
        </w:rPr>
        <w:t>to</w:t>
      </w:r>
      <w:r w:rsidR="00624A3C" w:rsidRPr="00624A3C">
        <w:rPr>
          <w:rFonts w:ascii="Times New Roman" w:hAnsi="Times New Roman" w:cs="Times New Roman"/>
          <w:sz w:val="24"/>
          <w:szCs w:val="24"/>
        </w:rPr>
        <w:t xml:space="preserve"> include personal health behaviors (</w:t>
      </w:r>
      <w:r w:rsidR="00120BB8">
        <w:rPr>
          <w:rFonts w:ascii="Times New Roman" w:hAnsi="Times New Roman" w:cs="Times New Roman"/>
          <w:sz w:val="24"/>
          <w:szCs w:val="24"/>
        </w:rPr>
        <w:t xml:space="preserve">i.e., </w:t>
      </w:r>
      <w:r w:rsidR="00624A3C" w:rsidRPr="00624A3C">
        <w:rPr>
          <w:rFonts w:ascii="Times New Roman" w:hAnsi="Times New Roman" w:cs="Times New Roman"/>
          <w:sz w:val="24"/>
          <w:szCs w:val="24"/>
        </w:rPr>
        <w:t>lifestyle</w:t>
      </w:r>
      <w:r w:rsidR="00624A3C">
        <w:rPr>
          <w:rFonts w:ascii="Times New Roman" w:hAnsi="Times New Roman" w:cs="Times New Roman"/>
          <w:sz w:val="24"/>
          <w:szCs w:val="24"/>
        </w:rPr>
        <w:t xml:space="preserve"> </w:t>
      </w:r>
      <w:r w:rsidR="00624A3C" w:rsidRPr="00624A3C">
        <w:rPr>
          <w:rFonts w:ascii="Times New Roman" w:hAnsi="Times New Roman" w:cs="Times New Roman"/>
          <w:sz w:val="24"/>
          <w:szCs w:val="24"/>
        </w:rPr>
        <w:t>choices such as diet</w:t>
      </w:r>
      <w:r w:rsidR="009A1101">
        <w:rPr>
          <w:rFonts w:ascii="Times New Roman" w:hAnsi="Times New Roman" w:cs="Times New Roman"/>
          <w:sz w:val="24"/>
          <w:szCs w:val="24"/>
        </w:rPr>
        <w:t>,</w:t>
      </w:r>
      <w:r w:rsidR="00624A3C" w:rsidRPr="00624A3C">
        <w:rPr>
          <w:rFonts w:ascii="Times New Roman" w:hAnsi="Times New Roman" w:cs="Times New Roman"/>
          <w:sz w:val="24"/>
          <w:szCs w:val="24"/>
        </w:rPr>
        <w:t xml:space="preserve"> physical activity</w:t>
      </w:r>
      <w:r w:rsidR="009A1101">
        <w:rPr>
          <w:rFonts w:ascii="Times New Roman" w:hAnsi="Times New Roman" w:cs="Times New Roman"/>
          <w:sz w:val="24"/>
          <w:szCs w:val="24"/>
        </w:rPr>
        <w:t>, smoking of tobacco products, and consumption of salt or sugar-sweetened beverages</w:t>
      </w:r>
      <w:r w:rsidR="00624A3C" w:rsidRPr="00624A3C">
        <w:rPr>
          <w:rFonts w:ascii="Times New Roman" w:hAnsi="Times New Roman" w:cs="Times New Roman"/>
          <w:sz w:val="24"/>
          <w:szCs w:val="24"/>
        </w:rPr>
        <w:t>), individual</w:t>
      </w:r>
      <w:r w:rsidR="00624A3C">
        <w:rPr>
          <w:rFonts w:ascii="Times New Roman" w:hAnsi="Times New Roman" w:cs="Times New Roman"/>
          <w:sz w:val="24"/>
          <w:szCs w:val="24"/>
        </w:rPr>
        <w:t xml:space="preserve"> </w:t>
      </w:r>
      <w:r w:rsidR="00624A3C" w:rsidRPr="00624A3C">
        <w:rPr>
          <w:rFonts w:ascii="Times New Roman" w:hAnsi="Times New Roman" w:cs="Times New Roman"/>
          <w:sz w:val="24"/>
          <w:szCs w:val="24"/>
        </w:rPr>
        <w:t>capacity and coping skills, medical services (</w:t>
      </w:r>
      <w:r w:rsidR="009022F4">
        <w:rPr>
          <w:rFonts w:ascii="Times New Roman" w:hAnsi="Times New Roman" w:cs="Times New Roman"/>
          <w:sz w:val="24"/>
          <w:szCs w:val="24"/>
        </w:rPr>
        <w:t>sometimes</w:t>
      </w:r>
      <w:r w:rsidR="00624A3C" w:rsidRPr="00624A3C">
        <w:rPr>
          <w:rFonts w:ascii="Times New Roman" w:hAnsi="Times New Roman" w:cs="Times New Roman"/>
          <w:sz w:val="24"/>
          <w:szCs w:val="24"/>
        </w:rPr>
        <w:t xml:space="preserve"> include</w:t>
      </w:r>
      <w:r w:rsidR="009022F4">
        <w:rPr>
          <w:rFonts w:ascii="Times New Roman" w:hAnsi="Times New Roman" w:cs="Times New Roman"/>
          <w:sz w:val="24"/>
          <w:szCs w:val="24"/>
        </w:rPr>
        <w:t xml:space="preserve">d </w:t>
      </w:r>
      <w:r w:rsidR="00624A3C" w:rsidRPr="00624A3C">
        <w:rPr>
          <w:rFonts w:ascii="Times New Roman" w:hAnsi="Times New Roman" w:cs="Times New Roman"/>
          <w:sz w:val="24"/>
          <w:szCs w:val="24"/>
        </w:rPr>
        <w:t xml:space="preserve">in </w:t>
      </w:r>
      <w:r w:rsidR="009022F4">
        <w:rPr>
          <w:rFonts w:ascii="Times New Roman" w:hAnsi="Times New Roman" w:cs="Times New Roman"/>
          <w:sz w:val="24"/>
          <w:szCs w:val="24"/>
        </w:rPr>
        <w:t xml:space="preserve">the </w:t>
      </w:r>
      <w:r w:rsidR="00624A3C" w:rsidRPr="00624A3C">
        <w:rPr>
          <w:rFonts w:ascii="Times New Roman" w:hAnsi="Times New Roman" w:cs="Times New Roman"/>
          <w:sz w:val="24"/>
          <w:szCs w:val="24"/>
        </w:rPr>
        <w:t>SDH), genetics or biology</w:t>
      </w:r>
      <w:r w:rsidR="00624A3C">
        <w:rPr>
          <w:rFonts w:ascii="Times New Roman" w:hAnsi="Times New Roman" w:cs="Times New Roman"/>
          <w:sz w:val="24"/>
          <w:szCs w:val="24"/>
        </w:rPr>
        <w:t>.</w:t>
      </w:r>
      <w:r>
        <w:rPr>
          <w:rFonts w:ascii="Times New Roman" w:hAnsi="Times New Roman" w:cs="Times New Roman"/>
          <w:sz w:val="24"/>
          <w:szCs w:val="24"/>
        </w:rPr>
        <w:t xml:space="preserve"> According to </w:t>
      </w:r>
      <w:r>
        <w:rPr>
          <w:rFonts w:ascii="Times New Roman" w:hAnsi="Times New Roman" w:cs="Times New Roman"/>
          <w:sz w:val="24"/>
          <w:szCs w:val="24"/>
        </w:rPr>
        <w:fldChar w:fldCharType="begin" w:fldLock="1"/>
      </w:r>
      <w:r w:rsidR="00B96F0C">
        <w:rPr>
          <w:rFonts w:ascii="Times New Roman" w:hAnsi="Times New Roman" w:cs="Times New Roman"/>
          <w:sz w:val="24"/>
          <w:szCs w:val="24"/>
        </w:rPr>
        <w:instrText>ADDIN CSL_CITATION {"citationItems":[{"id":"ITEM-1","itemData":{"DOI":"10.1111/nin.12017","ISSN":"13207881","PMID":"23217099","abstract":"Individuals' health outcomes are influenced not only by their knowledge and behavior, but also by complex social, political and economic forces. Attention to these multi-level factors is necessary to accurately and comprehensively understand and intervene to improve human health. The population health framework is a valuable conceptual framework to guide nurse researchers in identifying and targeting the broad range of determinants of health. However, attention to the intermediate processes linking multi-level factors and use of appropriate multi-level theory and research methodology is critical to utilizing the framework effectively. Nurse researchers are well equipped to undertake such investigations but need to consider a number of political, societal, professional and organizational barriers to do so. By fully embracing the population health framework, nurse researchers have the opportunity to explore the multi-level influences on health and to develop, implement and evaluate interventions that target immediate needs, more distal factors and the intermediate processes that connect them. © 2012 Blackwell Publishing Ltd.","author":[{"dropping-particle":"","family":"MacDonald","given":"Shannon E.","non-dropping-particle":"","parse-names":false,"suffix":""},{"dropping-particle":"V.","family":"Newburn-Cook","given":"Christine","non-dropping-particle":"","parse-names":false,"suffix":""},{"dropping-particle":"","family":"Allen","given":"Marion","non-dropping-particle":"","parse-names":false,"suffix":""},{"dropping-particle":"","family":"Reutter","given":"Linda","non-dropping-particle":"","parse-names":false,"suffix":""}],"container-title":"Nursing Inquiry","id":"ITEM-1","issue":"1","issued":{"date-parts":[["2013"]]},"page":"30-41","title":"Embracing the population health framework in nursing research","type":"article-journal","volume":"20"},"uris":["http://www.mendeley.com/documents/?uuid=b972c592-c7ae-436b-82e1-5b87c2e1c3c2"]}],"mendeley":{"formattedCitation":"(MacDonald et al., 2013)","manualFormatting":"MacDonald et al. (2013)","plainTextFormattedCitation":"(MacDonald et al., 2013)","previouslyFormattedCitation":"(MacDonald et al., 2013)"},"properties":{"noteIndex":0},"schema":"https://github.com/citation-style-language/schema/raw/master/csl-citation.json"}</w:instrText>
      </w:r>
      <w:r>
        <w:rPr>
          <w:rFonts w:ascii="Times New Roman" w:hAnsi="Times New Roman" w:cs="Times New Roman"/>
          <w:sz w:val="24"/>
          <w:szCs w:val="24"/>
        </w:rPr>
        <w:fldChar w:fldCharType="separate"/>
      </w:r>
      <w:r w:rsidRPr="00844BF2">
        <w:rPr>
          <w:rFonts w:ascii="Times New Roman" w:hAnsi="Times New Roman" w:cs="Times New Roman"/>
          <w:noProof/>
          <w:sz w:val="24"/>
          <w:szCs w:val="24"/>
        </w:rPr>
        <w:t xml:space="preserve">MacDonald et al. </w:t>
      </w:r>
      <w:r>
        <w:rPr>
          <w:rFonts w:ascii="Times New Roman" w:hAnsi="Times New Roman" w:cs="Times New Roman"/>
          <w:noProof/>
          <w:sz w:val="24"/>
          <w:szCs w:val="24"/>
        </w:rPr>
        <w:t>(</w:t>
      </w:r>
      <w:r w:rsidRPr="00844BF2">
        <w:rPr>
          <w:rFonts w:ascii="Times New Roman" w:hAnsi="Times New Roman" w:cs="Times New Roman"/>
          <w:noProof/>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w:t>
      </w:r>
      <w:r w:rsidRPr="00624A3C">
        <w:rPr>
          <w:rFonts w:ascii="Times New Roman" w:hAnsi="Times New Roman" w:cs="Times New Roman"/>
          <w:sz w:val="24"/>
          <w:szCs w:val="24"/>
        </w:rPr>
        <w:t xml:space="preserve"> </w:t>
      </w:r>
      <w:r>
        <w:rPr>
          <w:rFonts w:ascii="Times New Roman" w:hAnsi="Times New Roman" w:cs="Times New Roman"/>
          <w:sz w:val="24"/>
          <w:szCs w:val="24"/>
        </w:rPr>
        <w:t xml:space="preserve">the SDH framework is </w:t>
      </w:r>
      <w:r w:rsidRPr="00624A3C">
        <w:rPr>
          <w:rFonts w:ascii="Times New Roman" w:hAnsi="Times New Roman" w:cs="Times New Roman"/>
          <w:sz w:val="24"/>
          <w:szCs w:val="24"/>
        </w:rPr>
        <w:t>defined as ‘the social, economic and</w:t>
      </w:r>
      <w:r>
        <w:rPr>
          <w:rFonts w:ascii="Times New Roman" w:hAnsi="Times New Roman" w:cs="Times New Roman"/>
          <w:sz w:val="24"/>
          <w:szCs w:val="24"/>
        </w:rPr>
        <w:t xml:space="preserve"> </w:t>
      </w:r>
      <w:r w:rsidRPr="00624A3C">
        <w:rPr>
          <w:rFonts w:ascii="Times New Roman" w:hAnsi="Times New Roman" w:cs="Times New Roman"/>
          <w:sz w:val="24"/>
          <w:szCs w:val="24"/>
        </w:rPr>
        <w:t>political contexts in which people live and work and</w:t>
      </w:r>
      <w:r>
        <w:rPr>
          <w:rFonts w:ascii="Times New Roman" w:hAnsi="Times New Roman" w:cs="Times New Roman"/>
          <w:sz w:val="24"/>
          <w:szCs w:val="24"/>
        </w:rPr>
        <w:t xml:space="preserve"> </w:t>
      </w:r>
      <w:r w:rsidRPr="00624A3C">
        <w:rPr>
          <w:rFonts w:ascii="Times New Roman" w:hAnsi="Times New Roman" w:cs="Times New Roman"/>
          <w:sz w:val="24"/>
          <w:szCs w:val="24"/>
        </w:rPr>
        <w:t>which contribute to population</w:t>
      </w:r>
      <w:r>
        <w:rPr>
          <w:rFonts w:ascii="Times New Roman" w:hAnsi="Times New Roman" w:cs="Times New Roman"/>
          <w:sz w:val="24"/>
          <w:szCs w:val="24"/>
        </w:rPr>
        <w:t xml:space="preserve"> health and </w:t>
      </w:r>
      <w:r w:rsidRPr="00624A3C">
        <w:rPr>
          <w:rFonts w:ascii="Times New Roman" w:hAnsi="Times New Roman" w:cs="Times New Roman"/>
          <w:sz w:val="24"/>
          <w:szCs w:val="24"/>
        </w:rPr>
        <w:t>the health of individuals</w:t>
      </w:r>
      <w:r>
        <w:rPr>
          <w:rFonts w:ascii="Times New Roman" w:hAnsi="Times New Roman" w:cs="Times New Roman"/>
          <w:sz w:val="24"/>
          <w:szCs w:val="24"/>
        </w:rPr>
        <w:t xml:space="preserve"> and it does not include the inter- and intra-personal determinants of health described above</w:t>
      </w:r>
      <w:r w:rsidR="006E4728">
        <w:rPr>
          <w:rFonts w:ascii="Times New Roman" w:hAnsi="Times New Roman" w:cs="Times New Roman"/>
          <w:sz w:val="24"/>
          <w:szCs w:val="24"/>
        </w:rPr>
        <w:t>.</w:t>
      </w:r>
    </w:p>
    <w:p w14:paraId="489DC00C" w14:textId="6DF402EF" w:rsidR="00624A3C" w:rsidRPr="004B17F5" w:rsidRDefault="00AF12AC" w:rsidP="00F632B7">
      <w:pPr>
        <w:spacing w:line="480" w:lineRule="auto"/>
        <w:jc w:val="both"/>
        <w:rPr>
          <w:rFonts w:ascii="Times New Roman" w:hAnsi="Times New Roman" w:cs="Times New Roman"/>
          <w:i/>
          <w:iCs/>
          <w:sz w:val="24"/>
          <w:szCs w:val="24"/>
        </w:rPr>
      </w:pPr>
      <w:r w:rsidRPr="004B17F5">
        <w:rPr>
          <w:rFonts w:ascii="Times New Roman" w:hAnsi="Times New Roman" w:cs="Times New Roman"/>
          <w:i/>
          <w:iCs/>
          <w:sz w:val="24"/>
          <w:szCs w:val="24"/>
        </w:rPr>
        <w:t xml:space="preserve">Action Domain of UHC </w:t>
      </w:r>
    </w:p>
    <w:p w14:paraId="12936D2D" w14:textId="050A16D5" w:rsidR="00082827" w:rsidRDefault="005F25AC" w:rsidP="00A866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framework developed by the </w:t>
      </w:r>
      <w:r w:rsidR="0028246F" w:rsidRPr="007A28AF">
        <w:rPr>
          <w:rFonts w:ascii="Times New Roman" w:hAnsi="Times New Roman" w:cs="Times New Roman"/>
          <w:b/>
          <w:bCs/>
          <w:sz w:val="24"/>
          <w:szCs w:val="24"/>
          <w:u w:val="single"/>
        </w:rPr>
        <w:fldChar w:fldCharType="begin" w:fldLock="1"/>
      </w:r>
      <w:r w:rsidR="0028246F" w:rsidRPr="007A28AF">
        <w:rPr>
          <w:rFonts w:ascii="Times New Roman" w:hAnsi="Times New Roman" w:cs="Times New Roman"/>
          <w:b/>
          <w:bCs/>
          <w:sz w:val="24"/>
          <w:szCs w:val="24"/>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0028246F" w:rsidRPr="007A28AF">
        <w:rPr>
          <w:rFonts w:ascii="Times New Roman" w:hAnsi="Times New Roman" w:cs="Times New Roman"/>
          <w:b/>
          <w:bCs/>
          <w:sz w:val="24"/>
          <w:szCs w:val="24"/>
          <w:u w:val="single"/>
        </w:rPr>
        <w:fldChar w:fldCharType="separate"/>
      </w:r>
      <w:r w:rsidR="0028246F" w:rsidRPr="007A28AF">
        <w:rPr>
          <w:rFonts w:ascii="Times New Roman" w:hAnsi="Times New Roman" w:cs="Times New Roman"/>
          <w:bCs/>
          <w:noProof/>
          <w:sz w:val="24"/>
          <w:szCs w:val="24"/>
        </w:rPr>
        <w:t>World Health Organization (2016)</w:t>
      </w:r>
      <w:r w:rsidR="0028246F" w:rsidRPr="007A28AF">
        <w:rPr>
          <w:rFonts w:ascii="Times New Roman" w:hAnsi="Times New Roman" w:cs="Times New Roman"/>
          <w:b/>
          <w:bCs/>
          <w:sz w:val="24"/>
          <w:szCs w:val="24"/>
          <w:u w:val="single"/>
        </w:rPr>
        <w:fldChar w:fldCharType="end"/>
      </w:r>
      <w:r w:rsidR="0028246F" w:rsidRPr="007A28AF">
        <w:rPr>
          <w:rFonts w:ascii="Times New Roman" w:hAnsi="Times New Roman" w:cs="Times New Roman"/>
          <w:sz w:val="24"/>
          <w:szCs w:val="24"/>
        </w:rPr>
        <w:t xml:space="preserve"> </w:t>
      </w:r>
      <w:r>
        <w:rPr>
          <w:rFonts w:ascii="Times New Roman" w:hAnsi="Times New Roman" w:cs="Times New Roman"/>
          <w:sz w:val="24"/>
          <w:szCs w:val="24"/>
        </w:rPr>
        <w:t>explains that health system</w:t>
      </w:r>
      <w:r w:rsidR="00BB566B">
        <w:rPr>
          <w:rFonts w:ascii="Times New Roman" w:hAnsi="Times New Roman" w:cs="Times New Roman"/>
          <w:sz w:val="24"/>
          <w:szCs w:val="24"/>
        </w:rPr>
        <w:t xml:space="preserve"> building blocks or service delivery at the individual and population-level (</w:t>
      </w:r>
      <w:r w:rsidR="00120BB8">
        <w:rPr>
          <w:rFonts w:ascii="Times New Roman" w:hAnsi="Times New Roman" w:cs="Times New Roman"/>
          <w:sz w:val="24"/>
          <w:szCs w:val="24"/>
        </w:rPr>
        <w:t xml:space="preserve">i.e., </w:t>
      </w:r>
      <w:r w:rsidR="00BB566B">
        <w:rPr>
          <w:rFonts w:ascii="Times New Roman" w:hAnsi="Times New Roman" w:cs="Times New Roman"/>
          <w:sz w:val="24"/>
          <w:szCs w:val="24"/>
        </w:rPr>
        <w:t>Governance, health workforce, health financing, essential medicines and technologies, and health information system)</w:t>
      </w:r>
      <w:r>
        <w:rPr>
          <w:rFonts w:ascii="Times New Roman" w:hAnsi="Times New Roman" w:cs="Times New Roman"/>
          <w:sz w:val="24"/>
          <w:szCs w:val="24"/>
        </w:rPr>
        <w:t xml:space="preserve"> impact health</w:t>
      </w:r>
      <w:r w:rsidR="00BB566B">
        <w:rPr>
          <w:rFonts w:ascii="Times New Roman" w:hAnsi="Times New Roman" w:cs="Times New Roman"/>
          <w:sz w:val="24"/>
          <w:szCs w:val="24"/>
        </w:rPr>
        <w:t xml:space="preserve"> (</w:t>
      </w:r>
      <w:r w:rsidR="00120BB8">
        <w:rPr>
          <w:rFonts w:ascii="Times New Roman" w:hAnsi="Times New Roman" w:cs="Times New Roman"/>
          <w:sz w:val="24"/>
          <w:szCs w:val="24"/>
        </w:rPr>
        <w:t xml:space="preserve">i.e., </w:t>
      </w:r>
      <w:r w:rsidR="00BB566B">
        <w:rPr>
          <w:rFonts w:ascii="Times New Roman" w:hAnsi="Times New Roman" w:cs="Times New Roman"/>
          <w:sz w:val="24"/>
          <w:szCs w:val="24"/>
        </w:rPr>
        <w:t xml:space="preserve">reduced health risks and improved health and equitable health outcomes) and </w:t>
      </w:r>
      <w:r w:rsidR="00BB566B">
        <w:rPr>
          <w:rFonts w:ascii="Times New Roman" w:hAnsi="Times New Roman" w:cs="Times New Roman"/>
          <w:sz w:val="24"/>
          <w:szCs w:val="24"/>
        </w:rPr>
        <w:lastRenderedPageBreak/>
        <w:t>non-health</w:t>
      </w:r>
      <w:r>
        <w:rPr>
          <w:rFonts w:ascii="Times New Roman" w:hAnsi="Times New Roman" w:cs="Times New Roman"/>
          <w:sz w:val="24"/>
          <w:szCs w:val="24"/>
        </w:rPr>
        <w:t xml:space="preserve"> outcomes</w:t>
      </w:r>
      <w:r w:rsidR="00BB566B">
        <w:rPr>
          <w:rFonts w:ascii="Times New Roman" w:hAnsi="Times New Roman" w:cs="Times New Roman"/>
          <w:sz w:val="24"/>
          <w:szCs w:val="24"/>
        </w:rPr>
        <w:t xml:space="preserve"> (</w:t>
      </w:r>
      <w:r w:rsidR="00120BB8">
        <w:rPr>
          <w:rFonts w:ascii="Times New Roman" w:hAnsi="Times New Roman" w:cs="Times New Roman"/>
          <w:sz w:val="24"/>
          <w:szCs w:val="24"/>
        </w:rPr>
        <w:t xml:space="preserve">i.e., </w:t>
      </w:r>
      <w:r w:rsidR="00BB566B">
        <w:rPr>
          <w:rFonts w:ascii="Times New Roman" w:hAnsi="Times New Roman" w:cs="Times New Roman"/>
          <w:sz w:val="24"/>
          <w:szCs w:val="24"/>
        </w:rPr>
        <w:t>improved financial protection)</w:t>
      </w:r>
      <w:r>
        <w:rPr>
          <w:rFonts w:ascii="Times New Roman" w:hAnsi="Times New Roman" w:cs="Times New Roman"/>
          <w:sz w:val="24"/>
          <w:szCs w:val="24"/>
        </w:rPr>
        <w:t xml:space="preserve"> through five action domains of </w:t>
      </w:r>
      <w:r w:rsidR="00BB566B">
        <w:rPr>
          <w:rFonts w:ascii="Times New Roman" w:hAnsi="Times New Roman" w:cs="Times New Roman"/>
          <w:sz w:val="24"/>
          <w:szCs w:val="24"/>
        </w:rPr>
        <w:t>UHC</w:t>
      </w:r>
      <w:r w:rsidR="00A86628">
        <w:rPr>
          <w:rFonts w:ascii="Times New Roman" w:hAnsi="Times New Roman" w:cs="Times New Roman"/>
          <w:sz w:val="24"/>
          <w:szCs w:val="24"/>
        </w:rPr>
        <w:t xml:space="preserve"> (</w:t>
      </w:r>
      <w:r w:rsidR="00120BB8">
        <w:rPr>
          <w:rFonts w:ascii="Times New Roman" w:hAnsi="Times New Roman" w:cs="Times New Roman"/>
          <w:sz w:val="24"/>
          <w:szCs w:val="24"/>
        </w:rPr>
        <w:t xml:space="preserve">i.e., </w:t>
      </w:r>
      <w:r w:rsidR="00A86628" w:rsidRPr="007A28AF">
        <w:rPr>
          <w:rFonts w:ascii="Times New Roman" w:hAnsi="Times New Roman" w:cs="Times New Roman"/>
          <w:sz w:val="24"/>
          <w:szCs w:val="24"/>
        </w:rPr>
        <w:t>Quality, Efficiency, Equity</w:t>
      </w:r>
      <w:r w:rsidR="00A86628">
        <w:rPr>
          <w:rFonts w:ascii="Times New Roman" w:hAnsi="Times New Roman" w:cs="Times New Roman"/>
          <w:sz w:val="24"/>
          <w:szCs w:val="24"/>
        </w:rPr>
        <w:t>,</w:t>
      </w:r>
      <w:r w:rsidR="00A86628" w:rsidRPr="007A28AF">
        <w:rPr>
          <w:rFonts w:ascii="Times New Roman" w:hAnsi="Times New Roman" w:cs="Times New Roman"/>
          <w:sz w:val="24"/>
          <w:szCs w:val="24"/>
        </w:rPr>
        <w:t xml:space="preserve"> Accountability, </w:t>
      </w:r>
      <w:r w:rsidR="00A86628">
        <w:rPr>
          <w:rFonts w:ascii="Times New Roman" w:hAnsi="Times New Roman" w:cs="Times New Roman"/>
          <w:sz w:val="24"/>
          <w:szCs w:val="24"/>
        </w:rPr>
        <w:t xml:space="preserve">and </w:t>
      </w:r>
      <w:r w:rsidR="00A86628" w:rsidRPr="007A28AF">
        <w:rPr>
          <w:rFonts w:ascii="Times New Roman" w:hAnsi="Times New Roman" w:cs="Times New Roman"/>
          <w:sz w:val="24"/>
          <w:szCs w:val="24"/>
        </w:rPr>
        <w:t>Sustainability</w:t>
      </w:r>
      <w:r w:rsidR="00A86628">
        <w:rPr>
          <w:rFonts w:ascii="Times New Roman" w:hAnsi="Times New Roman" w:cs="Times New Roman"/>
          <w:sz w:val="24"/>
          <w:szCs w:val="24"/>
        </w:rPr>
        <w:t>)</w:t>
      </w:r>
      <w:r w:rsidR="00BB566B">
        <w:rPr>
          <w:rFonts w:ascii="Times New Roman" w:hAnsi="Times New Roman" w:cs="Times New Roman"/>
          <w:sz w:val="24"/>
          <w:szCs w:val="24"/>
        </w:rPr>
        <w:t>.</w:t>
      </w:r>
      <w:r w:rsidR="0028246F" w:rsidRPr="007A28AF">
        <w:rPr>
          <w:rFonts w:ascii="Times New Roman" w:hAnsi="Times New Roman" w:cs="Times New Roman"/>
          <w:sz w:val="24"/>
          <w:szCs w:val="24"/>
        </w:rPr>
        <w:t xml:space="preserve"> These action domains are intended to guide developing country-specific road maps</w:t>
      </w:r>
      <w:r w:rsidR="009D5AB6">
        <w:rPr>
          <w:rFonts w:ascii="Times New Roman" w:hAnsi="Times New Roman" w:cs="Times New Roman"/>
          <w:sz w:val="24"/>
          <w:szCs w:val="24"/>
        </w:rPr>
        <w:t>/interventions</w:t>
      </w:r>
      <w:r w:rsidR="00C3256F">
        <w:rPr>
          <w:rFonts w:ascii="Times New Roman" w:hAnsi="Times New Roman" w:cs="Times New Roman"/>
          <w:sz w:val="24"/>
          <w:szCs w:val="24"/>
        </w:rPr>
        <w:t xml:space="preserve"> (such as health financing or U</w:t>
      </w:r>
      <w:r w:rsidR="00175EB7">
        <w:rPr>
          <w:rFonts w:ascii="Times New Roman" w:hAnsi="Times New Roman" w:cs="Times New Roman"/>
          <w:sz w:val="24"/>
          <w:szCs w:val="24"/>
        </w:rPr>
        <w:t xml:space="preserve">niversal </w:t>
      </w:r>
      <w:r w:rsidR="00C3256F">
        <w:rPr>
          <w:rFonts w:ascii="Times New Roman" w:hAnsi="Times New Roman" w:cs="Times New Roman"/>
          <w:sz w:val="24"/>
          <w:szCs w:val="24"/>
        </w:rPr>
        <w:t>P</w:t>
      </w:r>
      <w:r w:rsidR="00175EB7">
        <w:rPr>
          <w:rFonts w:ascii="Times New Roman" w:hAnsi="Times New Roman" w:cs="Times New Roman"/>
          <w:sz w:val="24"/>
          <w:szCs w:val="24"/>
        </w:rPr>
        <w:t xml:space="preserve">ublic </w:t>
      </w:r>
      <w:r w:rsidR="00C3256F">
        <w:rPr>
          <w:rFonts w:ascii="Times New Roman" w:hAnsi="Times New Roman" w:cs="Times New Roman"/>
          <w:sz w:val="24"/>
          <w:szCs w:val="24"/>
        </w:rPr>
        <w:t>F</w:t>
      </w:r>
      <w:r w:rsidR="00175EB7">
        <w:rPr>
          <w:rFonts w:ascii="Times New Roman" w:hAnsi="Times New Roman" w:cs="Times New Roman"/>
          <w:sz w:val="24"/>
          <w:szCs w:val="24"/>
        </w:rPr>
        <w:t>inancing</w:t>
      </w:r>
      <w:r w:rsidR="00C3256F">
        <w:rPr>
          <w:rFonts w:ascii="Times New Roman" w:hAnsi="Times New Roman" w:cs="Times New Roman"/>
          <w:sz w:val="24"/>
          <w:szCs w:val="24"/>
        </w:rPr>
        <w:t>)</w:t>
      </w:r>
      <w:r w:rsidR="0028246F" w:rsidRPr="007A28AF">
        <w:rPr>
          <w:rFonts w:ascii="Times New Roman" w:hAnsi="Times New Roman" w:cs="Times New Roman"/>
          <w:sz w:val="24"/>
          <w:szCs w:val="24"/>
        </w:rPr>
        <w:t xml:space="preserve"> towards UHC</w:t>
      </w:r>
      <w:r w:rsidR="007866CA">
        <w:rPr>
          <w:rFonts w:ascii="Times New Roman" w:hAnsi="Times New Roman" w:cs="Times New Roman"/>
          <w:sz w:val="24"/>
          <w:szCs w:val="24"/>
        </w:rPr>
        <w:t xml:space="preserve"> and</w:t>
      </w:r>
      <w:r w:rsidR="001F709A">
        <w:rPr>
          <w:rFonts w:ascii="Times New Roman" w:hAnsi="Times New Roman" w:cs="Times New Roman"/>
          <w:sz w:val="24"/>
          <w:szCs w:val="24"/>
        </w:rPr>
        <w:t>,</w:t>
      </w:r>
      <w:r w:rsidR="00C3256F">
        <w:rPr>
          <w:rFonts w:ascii="Times New Roman" w:hAnsi="Times New Roman" w:cs="Times New Roman"/>
          <w:sz w:val="24"/>
          <w:szCs w:val="24"/>
        </w:rPr>
        <w:t xml:space="preserve"> consequently</w:t>
      </w:r>
      <w:r w:rsidR="007866CA">
        <w:rPr>
          <w:rFonts w:ascii="Times New Roman" w:hAnsi="Times New Roman" w:cs="Times New Roman"/>
          <w:sz w:val="24"/>
          <w:szCs w:val="24"/>
        </w:rPr>
        <w:t xml:space="preserve"> </w:t>
      </w:r>
      <w:r w:rsidR="0028246F" w:rsidRPr="007A28AF">
        <w:rPr>
          <w:rFonts w:ascii="Times New Roman" w:hAnsi="Times New Roman" w:cs="Times New Roman"/>
          <w:sz w:val="24"/>
          <w:szCs w:val="24"/>
        </w:rPr>
        <w:t>impact population health. Member States are encouraged to prioritize multiple actions that are mutually reinforcing and embed them in their interventions as they move towards the attainment of the UHC vision (</w:t>
      </w:r>
      <w:r w:rsidR="0028246F" w:rsidRPr="007A28AF">
        <w:rPr>
          <w:rFonts w:ascii="Times New Roman" w:hAnsi="Times New Roman" w:cs="Times New Roman"/>
          <w:b/>
          <w:bCs/>
          <w:sz w:val="24"/>
          <w:szCs w:val="24"/>
          <w:u w:val="single"/>
        </w:rPr>
        <w:fldChar w:fldCharType="begin" w:fldLock="1"/>
      </w:r>
      <w:r w:rsidR="0028246F" w:rsidRPr="007A28AF">
        <w:rPr>
          <w:rFonts w:ascii="Times New Roman" w:hAnsi="Times New Roman" w:cs="Times New Roman"/>
          <w:b/>
          <w:bCs/>
          <w:sz w:val="24"/>
          <w:szCs w:val="24"/>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0028246F" w:rsidRPr="007A28AF">
        <w:rPr>
          <w:rFonts w:ascii="Times New Roman" w:hAnsi="Times New Roman" w:cs="Times New Roman"/>
          <w:b/>
          <w:bCs/>
          <w:sz w:val="24"/>
          <w:szCs w:val="24"/>
          <w:u w:val="single"/>
        </w:rPr>
        <w:fldChar w:fldCharType="separate"/>
      </w:r>
      <w:r w:rsidR="0028246F" w:rsidRPr="007A28AF">
        <w:rPr>
          <w:rFonts w:ascii="Times New Roman" w:hAnsi="Times New Roman" w:cs="Times New Roman"/>
          <w:bCs/>
          <w:noProof/>
          <w:sz w:val="24"/>
          <w:szCs w:val="24"/>
        </w:rPr>
        <w:t>World Health Organization, 2016)</w:t>
      </w:r>
      <w:r w:rsidR="0028246F" w:rsidRPr="007A28AF">
        <w:rPr>
          <w:rFonts w:ascii="Times New Roman" w:hAnsi="Times New Roman" w:cs="Times New Roman"/>
          <w:b/>
          <w:bCs/>
          <w:sz w:val="24"/>
          <w:szCs w:val="24"/>
          <w:u w:val="single"/>
        </w:rPr>
        <w:fldChar w:fldCharType="end"/>
      </w:r>
      <w:r w:rsidR="0028246F" w:rsidRPr="007A28AF">
        <w:rPr>
          <w:rFonts w:ascii="Times New Roman" w:hAnsi="Times New Roman" w:cs="Times New Roman"/>
          <w:sz w:val="24"/>
          <w:szCs w:val="24"/>
        </w:rPr>
        <w:t>.</w:t>
      </w:r>
      <w:r w:rsidR="005F038D">
        <w:rPr>
          <w:rFonts w:ascii="Times New Roman" w:hAnsi="Times New Roman" w:cs="Times New Roman"/>
          <w:sz w:val="24"/>
          <w:szCs w:val="24"/>
        </w:rPr>
        <w:t xml:space="preserve"> These action domains include WHO recommendations that ensure that UHC translates into improved population health and non-health outcomes (See Table </w:t>
      </w:r>
      <w:r w:rsidR="005C2648">
        <w:rPr>
          <w:rFonts w:ascii="Times New Roman" w:hAnsi="Times New Roman" w:cs="Times New Roman"/>
          <w:sz w:val="24"/>
          <w:szCs w:val="24"/>
        </w:rPr>
        <w:t>2</w:t>
      </w:r>
      <w:r w:rsidR="00470823">
        <w:rPr>
          <w:rFonts w:ascii="Times New Roman" w:hAnsi="Times New Roman" w:cs="Times New Roman"/>
          <w:sz w:val="24"/>
          <w:szCs w:val="24"/>
        </w:rPr>
        <w:t xml:space="preserve"> </w:t>
      </w:r>
      <w:r w:rsidR="005F038D">
        <w:rPr>
          <w:rFonts w:ascii="Times New Roman" w:hAnsi="Times New Roman" w:cs="Times New Roman"/>
          <w:sz w:val="24"/>
          <w:szCs w:val="24"/>
        </w:rPr>
        <w:t>in Appendix for details).</w:t>
      </w:r>
    </w:p>
    <w:p w14:paraId="413A7209" w14:textId="5432BEE2" w:rsidR="003A7BE9" w:rsidRPr="004B3A53" w:rsidRDefault="003A7BE9" w:rsidP="00F632B7">
      <w:pPr>
        <w:spacing w:line="480" w:lineRule="auto"/>
        <w:jc w:val="both"/>
        <w:rPr>
          <w:rFonts w:ascii="Times New Roman" w:hAnsi="Times New Roman" w:cs="Times New Roman"/>
          <w:b/>
          <w:bCs/>
          <w:sz w:val="24"/>
          <w:szCs w:val="24"/>
        </w:rPr>
      </w:pPr>
      <w:r w:rsidRPr="004B3A53">
        <w:rPr>
          <w:rFonts w:ascii="Times New Roman" w:hAnsi="Times New Roman" w:cs="Times New Roman"/>
          <w:b/>
          <w:bCs/>
          <w:sz w:val="24"/>
          <w:szCs w:val="24"/>
        </w:rPr>
        <w:t xml:space="preserve">Health </w:t>
      </w:r>
      <w:r w:rsidR="00081389" w:rsidRPr="004B3A53">
        <w:rPr>
          <w:rFonts w:ascii="Times New Roman" w:hAnsi="Times New Roman" w:cs="Times New Roman"/>
          <w:b/>
          <w:bCs/>
          <w:sz w:val="24"/>
          <w:szCs w:val="24"/>
        </w:rPr>
        <w:t xml:space="preserve">and Non-health </w:t>
      </w:r>
      <w:r w:rsidRPr="004B3A53">
        <w:rPr>
          <w:rFonts w:ascii="Times New Roman" w:hAnsi="Times New Roman" w:cs="Times New Roman"/>
          <w:b/>
          <w:bCs/>
          <w:sz w:val="24"/>
          <w:szCs w:val="24"/>
        </w:rPr>
        <w:t xml:space="preserve">Outcomes </w:t>
      </w:r>
    </w:p>
    <w:p w14:paraId="70AA3EB7" w14:textId="2D424723" w:rsidR="003C451F" w:rsidRPr="007A28AF" w:rsidRDefault="00082827" w:rsidP="00F632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deduced from the empirical literature that </w:t>
      </w:r>
      <w:r w:rsidR="003C451F" w:rsidRPr="007A28AF">
        <w:rPr>
          <w:rFonts w:ascii="Times New Roman" w:hAnsi="Times New Roman" w:cs="Times New Roman"/>
          <w:sz w:val="24"/>
          <w:szCs w:val="24"/>
        </w:rPr>
        <w:t>the impact of policy instruments for an intervention</w:t>
      </w:r>
      <w:r w:rsidR="00147D04" w:rsidRPr="007A28AF">
        <w:rPr>
          <w:rFonts w:ascii="Times New Roman" w:hAnsi="Times New Roman" w:cs="Times New Roman"/>
          <w:sz w:val="24"/>
          <w:szCs w:val="24"/>
        </w:rPr>
        <w:t xml:space="preserve"> on population health</w:t>
      </w:r>
      <w:r w:rsidR="003C451F" w:rsidRPr="007A28AF">
        <w:rPr>
          <w:rFonts w:ascii="Times New Roman" w:hAnsi="Times New Roman" w:cs="Times New Roman"/>
          <w:sz w:val="24"/>
          <w:szCs w:val="24"/>
        </w:rPr>
        <w:t xml:space="preserve"> is measured in terms of Health Benefit Gains, and Non-health benefits (</w:t>
      </w:r>
      <w:r w:rsidR="0004303A">
        <w:rPr>
          <w:rFonts w:ascii="Times New Roman" w:hAnsi="Times New Roman" w:cs="Times New Roman"/>
          <w:sz w:val="24"/>
          <w:szCs w:val="24"/>
        </w:rPr>
        <w:t xml:space="preserve">i.e., </w:t>
      </w:r>
      <w:r w:rsidR="003C451F" w:rsidRPr="007A28AF">
        <w:rPr>
          <w:rFonts w:ascii="Times New Roman" w:hAnsi="Times New Roman" w:cs="Times New Roman"/>
          <w:sz w:val="24"/>
          <w:szCs w:val="24"/>
        </w:rPr>
        <w:t>Financial consequences</w:t>
      </w:r>
      <w:r w:rsidR="00685AB3">
        <w:rPr>
          <w:rFonts w:ascii="Times New Roman" w:hAnsi="Times New Roman" w:cs="Times New Roman"/>
          <w:sz w:val="24"/>
          <w:szCs w:val="24"/>
        </w:rPr>
        <w:t xml:space="preserve">, </w:t>
      </w:r>
      <w:r w:rsidR="007E2E85">
        <w:rPr>
          <w:rFonts w:ascii="Times New Roman" w:hAnsi="Times New Roman" w:cs="Times New Roman"/>
          <w:sz w:val="24"/>
          <w:szCs w:val="24"/>
        </w:rPr>
        <w:t>Financial Risk Protection</w:t>
      </w:r>
      <w:r w:rsidR="00685AB3">
        <w:rPr>
          <w:rFonts w:ascii="Times New Roman" w:hAnsi="Times New Roman" w:cs="Times New Roman"/>
          <w:sz w:val="24"/>
          <w:szCs w:val="24"/>
        </w:rPr>
        <w:t>, and education</w:t>
      </w:r>
      <w:r w:rsidR="001D3490">
        <w:rPr>
          <w:rFonts w:ascii="Times New Roman" w:hAnsi="Times New Roman" w:cs="Times New Roman"/>
          <w:sz w:val="24"/>
          <w:szCs w:val="24"/>
        </w:rPr>
        <w:t xml:space="preserve"> gains</w:t>
      </w:r>
      <w:r w:rsidR="003C451F" w:rsidRPr="007A28AF">
        <w:rPr>
          <w:rFonts w:ascii="Times New Roman" w:hAnsi="Times New Roman" w:cs="Times New Roman"/>
          <w:sz w:val="24"/>
          <w:szCs w:val="24"/>
        </w:rPr>
        <w:t>) and they are stratified by income quintile (</w:t>
      </w:r>
      <w:r w:rsidR="00120BB8">
        <w:rPr>
          <w:rFonts w:ascii="Times New Roman" w:hAnsi="Times New Roman" w:cs="Times New Roman"/>
          <w:sz w:val="24"/>
          <w:szCs w:val="24"/>
        </w:rPr>
        <w:t xml:space="preserve">i.e., </w:t>
      </w:r>
      <w:r w:rsidR="003C451F" w:rsidRPr="007A28AF">
        <w:rPr>
          <w:rFonts w:ascii="Times New Roman" w:hAnsi="Times New Roman" w:cs="Times New Roman"/>
          <w:sz w:val="24"/>
          <w:szCs w:val="24"/>
        </w:rPr>
        <w:t>poorest, poor</w:t>
      </w:r>
      <w:r w:rsidR="00FF3E5F">
        <w:rPr>
          <w:rFonts w:ascii="Times New Roman" w:hAnsi="Times New Roman" w:cs="Times New Roman"/>
          <w:sz w:val="24"/>
          <w:szCs w:val="24"/>
        </w:rPr>
        <w:t>er</w:t>
      </w:r>
      <w:r w:rsidR="003C451F" w:rsidRPr="007A28AF">
        <w:rPr>
          <w:rFonts w:ascii="Times New Roman" w:hAnsi="Times New Roman" w:cs="Times New Roman"/>
          <w:sz w:val="24"/>
          <w:szCs w:val="24"/>
        </w:rPr>
        <w:t>, middle, riche</w:t>
      </w:r>
      <w:r w:rsidR="00FF3E5F">
        <w:rPr>
          <w:rFonts w:ascii="Times New Roman" w:hAnsi="Times New Roman" w:cs="Times New Roman"/>
          <w:sz w:val="24"/>
          <w:szCs w:val="24"/>
        </w:rPr>
        <w:t>r</w:t>
      </w:r>
      <w:r w:rsidR="003C451F" w:rsidRPr="007A28AF">
        <w:rPr>
          <w:rFonts w:ascii="Times New Roman" w:hAnsi="Times New Roman" w:cs="Times New Roman"/>
          <w:sz w:val="24"/>
          <w:szCs w:val="24"/>
        </w:rPr>
        <w:t xml:space="preserve"> and richest quintiles)</w:t>
      </w:r>
      <w:r w:rsidR="00FF3E5F">
        <w:rPr>
          <w:rFonts w:ascii="Times New Roman" w:hAnsi="Times New Roman" w:cs="Times New Roman"/>
          <w:sz w:val="24"/>
          <w:szCs w:val="24"/>
        </w:rPr>
        <w:t xml:space="preserve"> or equity-relevant variables</w:t>
      </w:r>
      <w:r>
        <w:rPr>
          <w:rFonts w:ascii="Times New Roman" w:hAnsi="Times New Roman" w:cs="Times New Roman"/>
          <w:sz w:val="24"/>
          <w:szCs w:val="24"/>
        </w:rPr>
        <w:t xml:space="preserve"> (</w:t>
      </w:r>
      <w:r w:rsidRPr="007A28A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{"citationItems":[{"id":"ITEM-1","itemData":{"DOI":"10.1371/journal.pone.0142691","ISSN":"19326203","PMID":"26650078","abstract":"Background Pneumonia and pneumococcal disease cause a large disease burden in resource-constrained settings. We pursue an extended cost-effectiveness analysis (ECEA) of two fully publicly financed interventions in Ethiopia: pneumococcal vaccination for newborns and pneumonia treatment for under-five children in Ethiopia. Methods We apply ECEA methods and estimate the program impact on: (1) government program costs; (2) pneumonia and pneumococcal deaths averted; (3) household expenses related to pneumonia/pneumococcal disease treatment averted; (4) prevention of household medical impoverishment measured by an imputed money-metric value of financial risk protection; and (5) distributional consequences across the wealth strata of the country population. Available epidemiological and cost data from Ethiopia are applied and the two interventions are assessed separately at various incremental coverage levels. Results Scaling-up pneumococcal vaccines at around 40% coverage would cost about $11.5 million and avert about 2090 child deaths annually, while a 10% increase of pneumonia treatment to all children under 5 years of age would cost about $13.9 million and avert 2610 deaths annually. Health benefits of the two interventions publicly financed would be concentrated among the bottom income quintile, where 3040% of all deaths averted would be expected to occur in the poorest quintile. In sum, the two interventions would eliminate a total of $2.4 million of private household expenditures annually, where the richest quintile benefits from around 30% of the total private expenditures averted. The financial risk protection benefits would be largely concentrated among the bottom income quintile. The results are most sensitive to variations in vaccine price, population size, number of deaths due to pneumonia, efficacy of interventions and out-of-pocket copayment share. Conclusions Vaccine and treatment interventions for children, as shown with the illustrative examples of pneumococcal vaccine and pneumonia treatment, can bring large health and financial benefits to households in Ethiopia, most particularly among the poorest socio-economic groups.","author":[{"dropping-particle":"","family":"Johansson","given":"Kjell Arne","non-dropping-particle":"","parse-names":false,"suffix":""},{"dropping-particle":"","family":"Memirie","given":"Solomon Tessema","non-dropping-particle":"","parse-names":false,"suffix":""},{"dropping-particle":"","family":"Pecenka","given":"Clint","non-dropping-particle":"","parse-names":false,"suffix":""},{"dropping-particle":"","family":"Jamison","given":"Dean T.","non-dropping-particle":"","parse-names":false,"suffix":""},{"dropping-particle":"","family":"Verguet","given":"Stéphane","non-dropping-particle":"","parse-names":false,"suffix":""}],"container-title":"PLoS ONE","id":"ITEM-1","issue":"12","issued":{"date-parts":[["2015"]]},"page":"1-16","title":"Health Gains and Financial Protection from Pneumococcal Vaccination and Pneumonia Treatment in Ethiopia: Results from an Extended Cost-Effectiveness Analysis","type":"article-journal","volume":"10"},"uris":["http://www.mendeley.com/documents/?uuid=94edce7c-522a-4086-a11e-1a21d1ee8380"]}],"mendeley":{"formattedCitation":"(Johansson et al., 2015)","manualFormatting":"Johansson et al., 2015;","plainTextFormattedCitation":"(Johansson et al., 2015)","previouslyFormattedCitation":"(Johansson et al., 2015)"},"properties":{"noteIndex":0},"schema":"https://github.com/citation-style-language/schema/raw/master/csl-citation.json"}</w:instrText>
      </w:r>
      <w:r w:rsidRPr="007A28AF">
        <w:rPr>
          <w:rFonts w:ascii="Times New Roman" w:hAnsi="Times New Roman" w:cs="Times New Roman"/>
          <w:sz w:val="24"/>
          <w:szCs w:val="24"/>
        </w:rPr>
        <w:fldChar w:fldCharType="separate"/>
      </w:r>
      <w:r w:rsidRPr="007A28AF">
        <w:rPr>
          <w:rFonts w:ascii="Times New Roman" w:hAnsi="Times New Roman" w:cs="Times New Roman"/>
          <w:noProof/>
          <w:sz w:val="24"/>
          <w:szCs w:val="24"/>
        </w:rPr>
        <w:t>Johansson et al.</w:t>
      </w:r>
      <w:r>
        <w:rPr>
          <w:rFonts w:ascii="Times New Roman" w:hAnsi="Times New Roman" w:cs="Times New Roman"/>
          <w:noProof/>
          <w:sz w:val="24"/>
          <w:szCs w:val="24"/>
        </w:rPr>
        <w:t xml:space="preserve">, </w:t>
      </w:r>
      <w:r w:rsidRPr="007A28AF">
        <w:rPr>
          <w:rFonts w:ascii="Times New Roman" w:hAnsi="Times New Roman" w:cs="Times New Roman"/>
          <w:noProof/>
          <w:sz w:val="24"/>
          <w:szCs w:val="24"/>
        </w:rPr>
        <w:t>2015</w:t>
      </w:r>
      <w:r>
        <w:rPr>
          <w:rFonts w:ascii="Times New Roman" w:hAnsi="Times New Roman" w:cs="Times New Roman"/>
          <w:noProof/>
          <w:sz w:val="24"/>
          <w:szCs w:val="24"/>
        </w:rPr>
        <w:t>;</w:t>
      </w:r>
      <w:r w:rsidRPr="007A28AF">
        <w:rPr>
          <w:rFonts w:ascii="Times New Roman" w:hAnsi="Times New Roman" w:cs="Times New Roman"/>
          <w:sz w:val="24"/>
          <w:szCs w:val="24"/>
        </w:rPr>
        <w:fldChar w:fldCharType="end"/>
      </w:r>
      <w:r w:rsidRPr="007A28AF">
        <w:rPr>
          <w:rFonts w:ascii="Times New Roman" w:hAnsi="Times New Roman" w:cs="Times New Roman"/>
          <w:sz w:val="24"/>
          <w:szCs w:val="24"/>
        </w:rPr>
        <w:t xml:space="preserve"> </w:t>
      </w:r>
      <w:r w:rsidRPr="007A28A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{"citationItems":[{"id":"ITEM-1","itemData":{"DOI":"10.1007/s40273-016-0414-z","ISSN":"11792027","PMID":"27374172","abstract":"Health policy instruments such as the public financing of health technologies (e.g., new drugs, vaccines) entail consequences in multiple domains. Fundamentally, public health policies aim at increasing the uptake of effective and efficient interventions and at subsequently leading to better health benefits (e.g., premature mortality and morbidity averted). In addition, public health policies can provide non-health benefits in addition to the sole well-being of populations and beyond the health sector. For instance, public policies such as social and health insurance programs can prevent illness-related impoverishment and procure financial risk protection. Furthermore, public policies can improve the distribution of health in the population and promote the equalization of health among individuals. Extended cost-effectiveness analysis was developed to address health policy assessment, specifically to evaluate the health and financial consequences of public policies in four domains: (1) the health gains; (2) the financial risk protection benefits; (3) the total costs to the policy makers; and (4) the distributional benefits. Here, we present a tutorial that describes both the intent of extended cost-effectiveness analysis and its keys to allow easy implementation for health policy assessment.","author":[{"dropping-particle":"","family":"Verguet","given":"Stéphane","non-dropping-particle":"","parse-names":false,"suffix":""},{"dropping-particle":"","family":"Kim","given":"Jane J.","non-dropping-particle":"","parse-names":false,"suffix":""},{"dropping-particle":"","family":"Jamison","given":"Dean T.","non-dropping-particle":"","parse-names":false,"suffix":""}],"container-title":"PharmacoEconomics","id":"ITEM-1","issue":"9","issued":{"date-parts":[["2016"]]},"page":"913-923","title":"Extended Cost-Effectiveness Analysis for Health Policy Assessment: A Tutorial","type":"article-journal","volume":"34"},"uris":["http://www.mendeley.com/documents/?uuid=849005b7-bc2d-4e66-89ae-3b430f69d511"]}],"mendeley":{"formattedCitation":"(Verguet et al., 2016)","manualFormatting":"Verguet et al., 2016)","plainTextFormattedCitation":"(Verguet et al., 2016)","previouslyFormattedCitation":"(Verguet et al., 2016)"},"properties":{"noteIndex":0},"schema":"https://github.com/citation-style-language/schema/raw/master/csl-citation.json"}</w:instrText>
      </w:r>
      <w:r w:rsidRPr="007A28AF">
        <w:rPr>
          <w:rFonts w:ascii="Times New Roman" w:hAnsi="Times New Roman" w:cs="Times New Roman"/>
          <w:sz w:val="24"/>
          <w:szCs w:val="24"/>
        </w:rPr>
        <w:fldChar w:fldCharType="separate"/>
      </w:r>
      <w:r w:rsidRPr="007A28AF">
        <w:rPr>
          <w:rFonts w:ascii="Times New Roman" w:hAnsi="Times New Roman" w:cs="Times New Roman"/>
          <w:noProof/>
          <w:sz w:val="24"/>
          <w:szCs w:val="24"/>
        </w:rPr>
        <w:t>Verguet et al.</w:t>
      </w:r>
      <w:r>
        <w:rPr>
          <w:rFonts w:ascii="Times New Roman" w:hAnsi="Times New Roman" w:cs="Times New Roman"/>
          <w:noProof/>
          <w:sz w:val="24"/>
          <w:szCs w:val="24"/>
        </w:rPr>
        <w:t xml:space="preserve">, </w:t>
      </w:r>
      <w:r w:rsidRPr="007A28AF">
        <w:rPr>
          <w:rFonts w:ascii="Times New Roman" w:hAnsi="Times New Roman" w:cs="Times New Roman"/>
          <w:noProof/>
          <w:sz w:val="24"/>
          <w:szCs w:val="24"/>
        </w:rPr>
        <w:t>2016)</w:t>
      </w:r>
      <w:r w:rsidRPr="007A28AF">
        <w:rPr>
          <w:rFonts w:ascii="Times New Roman" w:hAnsi="Times New Roman" w:cs="Times New Roman"/>
          <w:sz w:val="24"/>
          <w:szCs w:val="24"/>
        </w:rPr>
        <w:fldChar w:fldCharType="end"/>
      </w:r>
      <w:r>
        <w:rPr>
          <w:rFonts w:ascii="Times New Roman" w:hAnsi="Times New Roman" w:cs="Times New Roman"/>
          <w:sz w:val="24"/>
          <w:szCs w:val="24"/>
        </w:rPr>
        <w:t>.</w:t>
      </w:r>
      <w:r w:rsidRPr="007A28AF">
        <w:rPr>
          <w:rFonts w:ascii="Times New Roman" w:hAnsi="Times New Roman" w:cs="Times New Roman"/>
          <w:sz w:val="24"/>
          <w:szCs w:val="24"/>
        </w:rPr>
        <w:t xml:space="preserve"> </w:t>
      </w:r>
      <w:r w:rsidR="00E0424A">
        <w:rPr>
          <w:rFonts w:ascii="Times New Roman" w:hAnsi="Times New Roman" w:cs="Times New Roman"/>
          <w:sz w:val="24"/>
          <w:szCs w:val="24"/>
        </w:rPr>
        <w:t xml:space="preserve">The </w:t>
      </w:r>
      <w:r w:rsidR="003C451F" w:rsidRPr="007A28AF">
        <w:rPr>
          <w:rFonts w:ascii="Times New Roman" w:hAnsi="Times New Roman" w:cs="Times New Roman"/>
          <w:sz w:val="24"/>
          <w:szCs w:val="24"/>
        </w:rPr>
        <w:t>domains of health intervention outcomes</w:t>
      </w:r>
      <w:r w:rsidR="00E0424A">
        <w:rPr>
          <w:rFonts w:ascii="Times New Roman" w:hAnsi="Times New Roman" w:cs="Times New Roman"/>
          <w:sz w:val="24"/>
          <w:szCs w:val="24"/>
        </w:rPr>
        <w:t xml:space="preserve"> are explained</w:t>
      </w:r>
      <w:r w:rsidR="003C451F" w:rsidRPr="007A28AF">
        <w:rPr>
          <w:rFonts w:ascii="Times New Roman" w:hAnsi="Times New Roman" w:cs="Times New Roman"/>
          <w:sz w:val="24"/>
          <w:szCs w:val="24"/>
        </w:rPr>
        <w:t xml:space="preserve"> as follows</w:t>
      </w:r>
      <w:r w:rsidR="00E0424A">
        <w:rPr>
          <w:rFonts w:ascii="Times New Roman" w:hAnsi="Times New Roman" w:cs="Times New Roman"/>
          <w:sz w:val="24"/>
          <w:szCs w:val="24"/>
        </w:rPr>
        <w:t xml:space="preserve"> (</w:t>
      </w:r>
      <w:r w:rsidR="00E0424A" w:rsidRPr="007A28AF">
        <w:rPr>
          <w:rFonts w:ascii="Times New Roman" w:hAnsi="Times New Roman" w:cs="Times New Roman"/>
          <w:sz w:val="24"/>
          <w:szCs w:val="24"/>
        </w:rPr>
        <w:fldChar w:fldCharType="begin" w:fldLock="1"/>
      </w:r>
      <w:r w:rsidR="006F7EA8">
        <w:rPr>
          <w:rFonts w:ascii="Times New Roman" w:hAnsi="Times New Roman" w:cs="Times New Roman"/>
          <w:sz w:val="24"/>
          <w:szCs w:val="24"/>
        </w:rPr>
        <w:instrText>ADDIN CSL_CITATION {"citationItems":[{"id":"ITEM-1","itemData":{"DOI":"10.1007/s40273-016-0414-z","ISSN":"11792027","PMID":"27374172","abstract":"Health policy instruments such as the public financing of health technologies (e.g., new drugs, vaccines) entail consequences in multiple domains. Fundamentally, public health policies aim at increasing the uptake of effective and efficient interventions and at subsequently leading to better health benefits (e.g., premature mortality and morbidity averted). In addition, public health policies can provide non-health benefits in addition to the sole well-being of populations and beyond the health sector. For instance, public policies such as social and health insurance programs can prevent illness-related impoverishment and procure financial risk protection. Furthermore, public policies can improve the distribution of health in the population and promote the equalization of health among individuals. Extended cost-effectiveness analysis was developed to address health policy assessment, specifically to evaluate the health and financial consequences of public policies in four domains: (1) the health gains; (2) the financial risk protection benefits; (3) the total costs to the policy makers; and (4) the distributional benefits. Here, we present a tutorial that describes both the intent of extended cost-effectiveness analysis and its keys to allow easy implementation for health policy assessment.","author":[{"dropping-particle":"","family":"Verguet","given":"Stéphane","non-dropping-particle":"","parse-names":false,"suffix":""},{"dropping-particle":"","family":"Kim","given":"Jane J.","non-dropping-particle":"","parse-names":false,"suffix":""},{"dropping-particle":"","family":"Jamison","given":"Dean T.","non-dropping-particle":"","parse-names":false,"suffix":""}],"container-title":"PharmacoEconomics","id":"ITEM-1","issue":"9","issued":{"date-parts":[["2016"]]},"page":"913-923","title":"Extended Cost-Effectiveness Analysis for Health Policy Assessment: A Tutorial","type":"article-journal","volume":"34"},"uris":["http://www.mendeley.com/documents/?uuid=849005b7-bc2d-4e66-89ae-3b430f69d511"]}],"mendeley":{"formattedCitation":"(Verguet et al., 2016)","manualFormatting":"Verguet et al., 2016)","plainTextFormattedCitation":"(Verguet et al., 2016)","previouslyFormattedCitation":"(Verguet et al., 2016)"},"properties":{"noteIndex":0},"schema":"https://github.com/citation-style-language/schema/raw/master/csl-citation.json"}</w:instrText>
      </w:r>
      <w:r w:rsidR="00E0424A" w:rsidRPr="007A28AF">
        <w:rPr>
          <w:rFonts w:ascii="Times New Roman" w:hAnsi="Times New Roman" w:cs="Times New Roman"/>
          <w:sz w:val="24"/>
          <w:szCs w:val="24"/>
        </w:rPr>
        <w:fldChar w:fldCharType="separate"/>
      </w:r>
      <w:r w:rsidR="00E0424A" w:rsidRPr="007A28AF">
        <w:rPr>
          <w:rFonts w:ascii="Times New Roman" w:hAnsi="Times New Roman" w:cs="Times New Roman"/>
          <w:noProof/>
          <w:sz w:val="24"/>
          <w:szCs w:val="24"/>
        </w:rPr>
        <w:t>Verguet et al.</w:t>
      </w:r>
      <w:r w:rsidR="00E0424A">
        <w:rPr>
          <w:rFonts w:ascii="Times New Roman" w:hAnsi="Times New Roman" w:cs="Times New Roman"/>
          <w:noProof/>
          <w:sz w:val="24"/>
          <w:szCs w:val="24"/>
        </w:rPr>
        <w:t xml:space="preserve">, </w:t>
      </w:r>
      <w:r w:rsidR="00E0424A" w:rsidRPr="007A28AF">
        <w:rPr>
          <w:rFonts w:ascii="Times New Roman" w:hAnsi="Times New Roman" w:cs="Times New Roman"/>
          <w:noProof/>
          <w:sz w:val="24"/>
          <w:szCs w:val="24"/>
        </w:rPr>
        <w:t>2016)</w:t>
      </w:r>
      <w:r w:rsidR="00E0424A" w:rsidRPr="007A28AF">
        <w:rPr>
          <w:rFonts w:ascii="Times New Roman" w:hAnsi="Times New Roman" w:cs="Times New Roman"/>
          <w:sz w:val="24"/>
          <w:szCs w:val="24"/>
        </w:rPr>
        <w:fldChar w:fldCharType="end"/>
      </w:r>
      <w:r w:rsidR="00E0424A">
        <w:rPr>
          <w:rFonts w:ascii="Times New Roman" w:hAnsi="Times New Roman" w:cs="Times New Roman"/>
          <w:sz w:val="24"/>
          <w:szCs w:val="24"/>
        </w:rPr>
        <w:t>.</w:t>
      </w:r>
    </w:p>
    <w:p w14:paraId="15902AF0" w14:textId="6D4BD7DC" w:rsidR="003C451F" w:rsidRDefault="003C451F"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 xml:space="preserve">The implementation of health policy interventions leads to health </w:t>
      </w:r>
      <w:r w:rsidR="00E2308B">
        <w:rPr>
          <w:rFonts w:ascii="Times New Roman" w:hAnsi="Times New Roman" w:cs="Times New Roman"/>
          <w:sz w:val="24"/>
          <w:szCs w:val="24"/>
        </w:rPr>
        <w:t xml:space="preserve">benefit </w:t>
      </w:r>
      <w:r w:rsidRPr="007A28AF">
        <w:rPr>
          <w:rFonts w:ascii="Times New Roman" w:hAnsi="Times New Roman" w:cs="Times New Roman"/>
          <w:sz w:val="24"/>
          <w:szCs w:val="24"/>
        </w:rPr>
        <w:t xml:space="preserve">gains </w:t>
      </w:r>
      <w:r w:rsidR="00E2308B">
        <w:rPr>
          <w:rFonts w:ascii="Times New Roman" w:hAnsi="Times New Roman" w:cs="Times New Roman"/>
          <w:sz w:val="24"/>
          <w:szCs w:val="24"/>
        </w:rPr>
        <w:t xml:space="preserve">(or health outcomes) </w:t>
      </w:r>
      <w:r w:rsidRPr="007A28AF">
        <w:rPr>
          <w:rFonts w:ascii="Times New Roman" w:hAnsi="Times New Roman" w:cs="Times New Roman"/>
          <w:sz w:val="24"/>
          <w:szCs w:val="24"/>
        </w:rPr>
        <w:t xml:space="preserve">accruing to </w:t>
      </w:r>
      <w:r w:rsidR="00961744">
        <w:rPr>
          <w:rFonts w:ascii="Times New Roman" w:hAnsi="Times New Roman" w:cs="Times New Roman"/>
          <w:sz w:val="24"/>
          <w:szCs w:val="24"/>
        </w:rPr>
        <w:t xml:space="preserve">the </w:t>
      </w:r>
      <w:r w:rsidR="00E2308B">
        <w:rPr>
          <w:rFonts w:ascii="Times New Roman" w:hAnsi="Times New Roman" w:cs="Times New Roman"/>
          <w:sz w:val="24"/>
          <w:szCs w:val="24"/>
        </w:rPr>
        <w:t xml:space="preserve">target </w:t>
      </w:r>
      <w:r w:rsidRPr="007A28AF">
        <w:rPr>
          <w:rFonts w:ascii="Times New Roman" w:hAnsi="Times New Roman" w:cs="Times New Roman"/>
          <w:sz w:val="24"/>
          <w:szCs w:val="24"/>
        </w:rPr>
        <w:t>population in terms of premature deaths or Death</w:t>
      </w:r>
      <w:r w:rsidR="00E2308B">
        <w:rPr>
          <w:rFonts w:ascii="Times New Roman" w:hAnsi="Times New Roman" w:cs="Times New Roman"/>
          <w:sz w:val="24"/>
          <w:szCs w:val="24"/>
        </w:rPr>
        <w:t>-</w:t>
      </w:r>
      <w:r w:rsidRPr="007A28AF">
        <w:rPr>
          <w:rFonts w:ascii="Times New Roman" w:hAnsi="Times New Roman" w:cs="Times New Roman"/>
          <w:sz w:val="24"/>
          <w:szCs w:val="24"/>
        </w:rPr>
        <w:t>adjusted life years (DALYs) averted or Health adjusted life years (HALYs) gained. The onset of illnesses poses financial burden</w:t>
      </w:r>
      <w:r w:rsidR="00991D1F">
        <w:rPr>
          <w:rFonts w:ascii="Times New Roman" w:hAnsi="Times New Roman" w:cs="Times New Roman"/>
          <w:sz w:val="24"/>
          <w:szCs w:val="24"/>
        </w:rPr>
        <w:t>s</w:t>
      </w:r>
      <w:r w:rsidRPr="007A28AF">
        <w:rPr>
          <w:rFonts w:ascii="Times New Roman" w:hAnsi="Times New Roman" w:cs="Times New Roman"/>
          <w:sz w:val="24"/>
          <w:szCs w:val="24"/>
        </w:rPr>
        <w:t xml:space="preserve"> on patients</w:t>
      </w:r>
      <w:r w:rsidR="007C38F3">
        <w:rPr>
          <w:rFonts w:ascii="Times New Roman" w:hAnsi="Times New Roman" w:cs="Times New Roman"/>
          <w:sz w:val="24"/>
          <w:szCs w:val="24"/>
        </w:rPr>
        <w:t xml:space="preserve"> (</w:t>
      </w:r>
      <w:r w:rsidR="008E59D1">
        <w:rPr>
          <w:rFonts w:ascii="Times New Roman" w:hAnsi="Times New Roman" w:cs="Times New Roman"/>
          <w:sz w:val="24"/>
          <w:szCs w:val="24"/>
        </w:rPr>
        <w:t xml:space="preserve">i.e., </w:t>
      </w:r>
      <w:r w:rsidR="007C38F3">
        <w:rPr>
          <w:rFonts w:ascii="Times New Roman" w:hAnsi="Times New Roman" w:cs="Times New Roman"/>
          <w:sz w:val="24"/>
          <w:szCs w:val="24"/>
        </w:rPr>
        <w:t>financial consequences)</w:t>
      </w:r>
      <w:r w:rsidRPr="007A28AF">
        <w:rPr>
          <w:rFonts w:ascii="Times New Roman" w:hAnsi="Times New Roman" w:cs="Times New Roman"/>
          <w:sz w:val="24"/>
          <w:szCs w:val="24"/>
        </w:rPr>
        <w:t xml:space="preserve"> in terms of direct payment of medical care out of pocket, direct non-medical costs out of pocket and time and productivity losses, which can be translated into wages and income foregone (</w:t>
      </w:r>
      <w:r w:rsidR="007C38F3">
        <w:rPr>
          <w:rFonts w:ascii="Times New Roman" w:hAnsi="Times New Roman" w:cs="Times New Roman"/>
          <w:sz w:val="24"/>
          <w:szCs w:val="24"/>
        </w:rPr>
        <w:t>i.e.,</w:t>
      </w:r>
      <w:r w:rsidRPr="007A28AF">
        <w:rPr>
          <w:rFonts w:ascii="Times New Roman" w:hAnsi="Times New Roman" w:cs="Times New Roman"/>
          <w:sz w:val="24"/>
          <w:szCs w:val="24"/>
        </w:rPr>
        <w:t xml:space="preserve"> indirect or friction costs). The implementation of </w:t>
      </w:r>
      <w:r w:rsidR="008E24F6">
        <w:rPr>
          <w:rFonts w:ascii="Times New Roman" w:hAnsi="Times New Roman" w:cs="Times New Roman"/>
          <w:sz w:val="24"/>
          <w:szCs w:val="24"/>
        </w:rPr>
        <w:t>population health interventions</w:t>
      </w:r>
      <w:r w:rsidRPr="007A28AF">
        <w:rPr>
          <w:rFonts w:ascii="Times New Roman" w:hAnsi="Times New Roman" w:cs="Times New Roman"/>
          <w:sz w:val="24"/>
          <w:szCs w:val="24"/>
        </w:rPr>
        <w:t xml:space="preserve"> </w:t>
      </w:r>
      <w:r w:rsidR="00894B8C" w:rsidRPr="007A28AF">
        <w:rPr>
          <w:rFonts w:ascii="Times New Roman" w:hAnsi="Times New Roman" w:cs="Times New Roman"/>
          <w:sz w:val="24"/>
          <w:szCs w:val="24"/>
        </w:rPr>
        <w:t>eliminates</w:t>
      </w:r>
      <w:r w:rsidRPr="007A28AF">
        <w:rPr>
          <w:rFonts w:ascii="Times New Roman" w:hAnsi="Times New Roman" w:cs="Times New Roman"/>
          <w:sz w:val="24"/>
          <w:szCs w:val="24"/>
        </w:rPr>
        <w:t xml:space="preserve"> these financial burdens.</w:t>
      </w:r>
      <w:r w:rsidR="003032CC">
        <w:rPr>
          <w:rFonts w:ascii="Times New Roman" w:hAnsi="Times New Roman" w:cs="Times New Roman"/>
          <w:sz w:val="24"/>
          <w:szCs w:val="24"/>
        </w:rPr>
        <w:t xml:space="preserve"> </w:t>
      </w:r>
      <w:r w:rsidR="007E2E85">
        <w:rPr>
          <w:rFonts w:ascii="Times New Roman" w:hAnsi="Times New Roman" w:cs="Times New Roman"/>
          <w:sz w:val="24"/>
          <w:szCs w:val="24"/>
        </w:rPr>
        <w:t xml:space="preserve">Financial </w:t>
      </w:r>
      <w:r w:rsidR="007E2E85">
        <w:rPr>
          <w:rFonts w:ascii="Times New Roman" w:hAnsi="Times New Roman" w:cs="Times New Roman"/>
          <w:sz w:val="24"/>
          <w:szCs w:val="24"/>
        </w:rPr>
        <w:lastRenderedPageBreak/>
        <w:t>Risk Protection</w:t>
      </w:r>
      <w:r w:rsidR="007E2E85" w:rsidRPr="007A28AF">
        <w:rPr>
          <w:rFonts w:ascii="Times New Roman" w:hAnsi="Times New Roman" w:cs="Times New Roman"/>
          <w:sz w:val="24"/>
          <w:szCs w:val="24"/>
        </w:rPr>
        <w:t xml:space="preserve"> </w:t>
      </w:r>
      <w:r w:rsidRPr="007A28AF">
        <w:rPr>
          <w:rFonts w:ascii="Times New Roman" w:hAnsi="Times New Roman" w:cs="Times New Roman"/>
          <w:sz w:val="24"/>
          <w:szCs w:val="24"/>
        </w:rPr>
        <w:t>is estimated using three metrics: (1) Cases of catastrophic health costs averted (2) cases of poverty averted (3) money-metric value of insurance.</w:t>
      </w:r>
      <w:r w:rsidR="003032CC">
        <w:rPr>
          <w:rFonts w:ascii="Times New Roman" w:hAnsi="Times New Roman" w:cs="Times New Roman"/>
          <w:sz w:val="24"/>
          <w:szCs w:val="24"/>
        </w:rPr>
        <w:t xml:space="preserve"> </w:t>
      </w:r>
      <w:r w:rsidRPr="007A28AF">
        <w:rPr>
          <w:rFonts w:ascii="Times New Roman" w:hAnsi="Times New Roman" w:cs="Times New Roman"/>
          <w:sz w:val="24"/>
          <w:szCs w:val="24"/>
        </w:rPr>
        <w:t xml:space="preserve">Some people suffer medical impoverishment from </w:t>
      </w:r>
      <w:r w:rsidR="001B00AB">
        <w:rPr>
          <w:rFonts w:ascii="Times New Roman" w:hAnsi="Times New Roman" w:cs="Times New Roman"/>
          <w:sz w:val="24"/>
          <w:szCs w:val="24"/>
        </w:rPr>
        <w:t>‘</w:t>
      </w:r>
      <w:r w:rsidR="00105BF3" w:rsidRPr="007A28AF">
        <w:rPr>
          <w:rFonts w:ascii="Times New Roman" w:hAnsi="Times New Roman" w:cs="Times New Roman"/>
          <w:sz w:val="24"/>
          <w:szCs w:val="24"/>
        </w:rPr>
        <w:t>catastrophic</w:t>
      </w:r>
      <w:r w:rsidR="001B00AB">
        <w:rPr>
          <w:rFonts w:ascii="Times New Roman" w:hAnsi="Times New Roman" w:cs="Times New Roman"/>
          <w:sz w:val="24"/>
          <w:szCs w:val="24"/>
        </w:rPr>
        <w:t>’</w:t>
      </w:r>
      <w:r w:rsidR="00105BF3" w:rsidRPr="007A28AF">
        <w:rPr>
          <w:rFonts w:ascii="Times New Roman" w:hAnsi="Times New Roman" w:cs="Times New Roman"/>
          <w:sz w:val="24"/>
          <w:szCs w:val="24"/>
        </w:rPr>
        <w:t xml:space="preserve"> health expenditure</w:t>
      </w:r>
      <w:r w:rsidR="00850A6D">
        <w:rPr>
          <w:rFonts w:ascii="Times New Roman" w:hAnsi="Times New Roman" w:cs="Times New Roman"/>
          <w:sz w:val="24"/>
          <w:szCs w:val="24"/>
        </w:rPr>
        <w:t>s</w:t>
      </w:r>
      <w:r w:rsidR="003032CC">
        <w:rPr>
          <w:rStyle w:val="FootnoteReference"/>
          <w:rFonts w:ascii="Times New Roman" w:hAnsi="Times New Roman" w:cs="Times New Roman"/>
          <w:sz w:val="24"/>
          <w:szCs w:val="24"/>
        </w:rPr>
        <w:footnoteReference w:id="5"/>
      </w:r>
      <w:r w:rsidR="003032CC">
        <w:rPr>
          <w:rFonts w:ascii="Times New Roman" w:hAnsi="Times New Roman" w:cs="Times New Roman"/>
          <w:sz w:val="24"/>
          <w:szCs w:val="24"/>
        </w:rPr>
        <w:t xml:space="preserve"> and t</w:t>
      </w:r>
      <w:r w:rsidRPr="007A28AF">
        <w:rPr>
          <w:rFonts w:ascii="Times New Roman" w:hAnsi="Times New Roman" w:cs="Times New Roman"/>
          <w:sz w:val="24"/>
          <w:szCs w:val="24"/>
        </w:rPr>
        <w:t xml:space="preserve">he </w:t>
      </w:r>
      <w:r w:rsidR="007E2E85">
        <w:rPr>
          <w:rFonts w:ascii="Times New Roman" w:hAnsi="Times New Roman" w:cs="Times New Roman"/>
          <w:sz w:val="24"/>
          <w:szCs w:val="24"/>
        </w:rPr>
        <w:t>financial risk protection</w:t>
      </w:r>
      <w:r w:rsidR="007E2E85" w:rsidRPr="007A28AF">
        <w:rPr>
          <w:rFonts w:ascii="Times New Roman" w:hAnsi="Times New Roman" w:cs="Times New Roman"/>
          <w:sz w:val="24"/>
          <w:szCs w:val="24"/>
        </w:rPr>
        <w:t xml:space="preserve"> </w:t>
      </w:r>
      <w:r w:rsidRPr="007A28AF">
        <w:rPr>
          <w:rFonts w:ascii="Times New Roman" w:hAnsi="Times New Roman" w:cs="Times New Roman"/>
          <w:sz w:val="24"/>
          <w:szCs w:val="24"/>
        </w:rPr>
        <w:t xml:space="preserve">afforded by </w:t>
      </w:r>
      <w:r w:rsidR="00146524">
        <w:rPr>
          <w:rFonts w:ascii="Times New Roman" w:hAnsi="Times New Roman" w:cs="Times New Roman"/>
          <w:sz w:val="24"/>
          <w:szCs w:val="24"/>
        </w:rPr>
        <w:t xml:space="preserve">a </w:t>
      </w:r>
      <w:r w:rsidR="00DF25CD">
        <w:rPr>
          <w:rFonts w:ascii="Times New Roman" w:hAnsi="Times New Roman" w:cs="Times New Roman"/>
          <w:sz w:val="24"/>
          <w:szCs w:val="24"/>
        </w:rPr>
        <w:t>population health intervention</w:t>
      </w:r>
      <w:r w:rsidRPr="007A28AF">
        <w:rPr>
          <w:rFonts w:ascii="Times New Roman" w:hAnsi="Times New Roman" w:cs="Times New Roman"/>
          <w:sz w:val="24"/>
          <w:szCs w:val="24"/>
        </w:rPr>
        <w:t xml:space="preserve"> will be the number of</w:t>
      </w:r>
      <w:r w:rsidR="00146524">
        <w:rPr>
          <w:rFonts w:ascii="Times New Roman" w:hAnsi="Times New Roman" w:cs="Times New Roman"/>
          <w:sz w:val="24"/>
          <w:szCs w:val="24"/>
        </w:rPr>
        <w:t xml:space="preserve"> such</w:t>
      </w:r>
      <w:r w:rsidRPr="007A28AF">
        <w:rPr>
          <w:rFonts w:ascii="Times New Roman" w:hAnsi="Times New Roman" w:cs="Times New Roman"/>
          <w:sz w:val="24"/>
          <w:szCs w:val="24"/>
        </w:rPr>
        <w:t xml:space="preserve"> cases averted</w:t>
      </w:r>
      <w:r w:rsidR="00F862F1">
        <w:rPr>
          <w:rFonts w:ascii="Times New Roman" w:hAnsi="Times New Roman" w:cs="Times New Roman"/>
          <w:sz w:val="24"/>
          <w:szCs w:val="24"/>
        </w:rPr>
        <w:t xml:space="preserve"> (</w:t>
      </w:r>
      <w:r w:rsidR="00260E7D">
        <w:rPr>
          <w:rFonts w:ascii="Times New Roman" w:hAnsi="Times New Roman" w:cs="Times New Roman"/>
          <w:sz w:val="24"/>
          <w:szCs w:val="24"/>
        </w:rPr>
        <w:t xml:space="preserve">i.e., </w:t>
      </w:r>
      <w:r w:rsidR="00F862F1" w:rsidRPr="007A28AF">
        <w:rPr>
          <w:rFonts w:ascii="Times New Roman" w:hAnsi="Times New Roman" w:cs="Times New Roman"/>
          <w:sz w:val="24"/>
          <w:szCs w:val="24"/>
        </w:rPr>
        <w:t>Cases of catastrophic health costs averted</w:t>
      </w:r>
      <w:r w:rsidR="00F862F1">
        <w:rPr>
          <w:rFonts w:ascii="Times New Roman" w:hAnsi="Times New Roman" w:cs="Times New Roman"/>
          <w:sz w:val="24"/>
          <w:szCs w:val="24"/>
        </w:rPr>
        <w:t>)</w:t>
      </w:r>
      <w:r w:rsidRPr="007A28AF">
        <w:rPr>
          <w:rFonts w:ascii="Times New Roman" w:hAnsi="Times New Roman" w:cs="Times New Roman"/>
          <w:sz w:val="24"/>
          <w:szCs w:val="24"/>
        </w:rPr>
        <w:t>.</w:t>
      </w:r>
      <w:r w:rsidR="00851EF5">
        <w:rPr>
          <w:rFonts w:ascii="Times New Roman" w:hAnsi="Times New Roman" w:cs="Times New Roman"/>
          <w:sz w:val="24"/>
          <w:szCs w:val="24"/>
        </w:rPr>
        <w:t xml:space="preserve"> </w:t>
      </w:r>
      <w:r w:rsidRPr="007A28AF">
        <w:rPr>
          <w:rFonts w:ascii="Times New Roman" w:hAnsi="Times New Roman" w:cs="Times New Roman"/>
          <w:sz w:val="24"/>
          <w:szCs w:val="24"/>
        </w:rPr>
        <w:t xml:space="preserve">Medical expenditure can </w:t>
      </w:r>
      <w:r w:rsidR="00851EF5">
        <w:rPr>
          <w:rFonts w:ascii="Times New Roman" w:hAnsi="Times New Roman" w:cs="Times New Roman"/>
          <w:sz w:val="24"/>
          <w:szCs w:val="24"/>
        </w:rPr>
        <w:t xml:space="preserve">also </w:t>
      </w:r>
      <w:r w:rsidRPr="007A28AF">
        <w:rPr>
          <w:rFonts w:ascii="Times New Roman" w:hAnsi="Times New Roman" w:cs="Times New Roman"/>
          <w:sz w:val="24"/>
          <w:szCs w:val="24"/>
        </w:rPr>
        <w:t>push people below the poverty line</w:t>
      </w:r>
      <w:r w:rsidR="00851EF5">
        <w:rPr>
          <w:rFonts w:ascii="Times New Roman" w:hAnsi="Times New Roman" w:cs="Times New Roman"/>
          <w:sz w:val="24"/>
          <w:szCs w:val="24"/>
        </w:rPr>
        <w:t xml:space="preserve"> and t</w:t>
      </w:r>
      <w:r w:rsidRPr="007A28AF">
        <w:rPr>
          <w:rFonts w:ascii="Times New Roman" w:hAnsi="Times New Roman" w:cs="Times New Roman"/>
          <w:sz w:val="24"/>
          <w:szCs w:val="24"/>
        </w:rPr>
        <w:t xml:space="preserve">he </w:t>
      </w:r>
      <w:r w:rsidR="007E2E85">
        <w:rPr>
          <w:rFonts w:ascii="Times New Roman" w:hAnsi="Times New Roman" w:cs="Times New Roman"/>
          <w:sz w:val="24"/>
          <w:szCs w:val="24"/>
        </w:rPr>
        <w:t>financial risk protection</w:t>
      </w:r>
      <w:r w:rsidR="007E2E85" w:rsidRPr="007A28AF">
        <w:rPr>
          <w:rFonts w:ascii="Times New Roman" w:hAnsi="Times New Roman" w:cs="Times New Roman"/>
          <w:sz w:val="24"/>
          <w:szCs w:val="24"/>
        </w:rPr>
        <w:t xml:space="preserve"> </w:t>
      </w:r>
      <w:r w:rsidRPr="007A28AF">
        <w:rPr>
          <w:rFonts w:ascii="Times New Roman" w:hAnsi="Times New Roman" w:cs="Times New Roman"/>
          <w:sz w:val="24"/>
          <w:szCs w:val="24"/>
        </w:rPr>
        <w:t xml:space="preserve">afforded by </w:t>
      </w:r>
      <w:r w:rsidR="00851EF5">
        <w:rPr>
          <w:rFonts w:ascii="Times New Roman" w:hAnsi="Times New Roman" w:cs="Times New Roman"/>
          <w:sz w:val="24"/>
          <w:szCs w:val="24"/>
        </w:rPr>
        <w:t xml:space="preserve">a </w:t>
      </w:r>
      <w:r w:rsidR="00DF25CD">
        <w:rPr>
          <w:rFonts w:ascii="Times New Roman" w:hAnsi="Times New Roman" w:cs="Times New Roman"/>
          <w:sz w:val="24"/>
          <w:szCs w:val="24"/>
        </w:rPr>
        <w:t>population health intervention</w:t>
      </w:r>
      <w:r w:rsidR="00DF25CD" w:rsidRPr="007A28AF">
        <w:rPr>
          <w:rFonts w:ascii="Times New Roman" w:hAnsi="Times New Roman" w:cs="Times New Roman"/>
          <w:sz w:val="24"/>
          <w:szCs w:val="24"/>
        </w:rPr>
        <w:t xml:space="preserve"> </w:t>
      </w:r>
      <w:r w:rsidRPr="007A28AF">
        <w:rPr>
          <w:rFonts w:ascii="Times New Roman" w:hAnsi="Times New Roman" w:cs="Times New Roman"/>
          <w:sz w:val="24"/>
          <w:szCs w:val="24"/>
        </w:rPr>
        <w:t>will be the number of poverty cases averted</w:t>
      </w:r>
      <w:r w:rsidR="00F862F1">
        <w:rPr>
          <w:rFonts w:ascii="Times New Roman" w:hAnsi="Times New Roman" w:cs="Times New Roman"/>
          <w:sz w:val="24"/>
          <w:szCs w:val="24"/>
        </w:rPr>
        <w:t xml:space="preserve"> (</w:t>
      </w:r>
      <w:r w:rsidR="00260E7D">
        <w:rPr>
          <w:rFonts w:ascii="Times New Roman" w:hAnsi="Times New Roman" w:cs="Times New Roman"/>
          <w:sz w:val="24"/>
          <w:szCs w:val="24"/>
        </w:rPr>
        <w:t xml:space="preserve">i.e., </w:t>
      </w:r>
      <w:r w:rsidR="00F862F1" w:rsidRPr="007A28AF">
        <w:rPr>
          <w:rFonts w:ascii="Times New Roman" w:hAnsi="Times New Roman" w:cs="Times New Roman"/>
          <w:sz w:val="24"/>
          <w:szCs w:val="24"/>
        </w:rPr>
        <w:t>cases of poverty averted</w:t>
      </w:r>
      <w:r w:rsidR="00F862F1">
        <w:rPr>
          <w:rFonts w:ascii="Times New Roman" w:hAnsi="Times New Roman" w:cs="Times New Roman"/>
          <w:sz w:val="24"/>
          <w:szCs w:val="24"/>
        </w:rPr>
        <w:t>)</w:t>
      </w:r>
      <w:r w:rsidRPr="007A28AF">
        <w:rPr>
          <w:rFonts w:ascii="Times New Roman" w:hAnsi="Times New Roman" w:cs="Times New Roman"/>
          <w:sz w:val="24"/>
          <w:szCs w:val="24"/>
        </w:rPr>
        <w:t>.</w:t>
      </w:r>
      <w:r w:rsidR="00DB273A">
        <w:rPr>
          <w:rFonts w:ascii="Times New Roman" w:hAnsi="Times New Roman" w:cs="Times New Roman"/>
          <w:sz w:val="24"/>
          <w:szCs w:val="24"/>
        </w:rPr>
        <w:t xml:space="preserve"> </w:t>
      </w:r>
      <w:r w:rsidRPr="007A28AF">
        <w:rPr>
          <w:rFonts w:ascii="Times New Roman" w:hAnsi="Times New Roman" w:cs="Times New Roman"/>
          <w:sz w:val="24"/>
          <w:szCs w:val="24"/>
        </w:rPr>
        <w:t>Risk-averse individuals value protection from the risk of uncertain adverse events</w:t>
      </w:r>
      <w:r w:rsidR="00DB273A">
        <w:rPr>
          <w:rFonts w:ascii="Times New Roman" w:hAnsi="Times New Roman" w:cs="Times New Roman"/>
          <w:sz w:val="24"/>
          <w:szCs w:val="24"/>
        </w:rPr>
        <w:t xml:space="preserve"> such as the financial risk of illnesses</w:t>
      </w:r>
      <w:r w:rsidRPr="007A28AF">
        <w:rPr>
          <w:rFonts w:ascii="Times New Roman" w:hAnsi="Times New Roman" w:cs="Times New Roman"/>
          <w:sz w:val="24"/>
          <w:szCs w:val="24"/>
        </w:rPr>
        <w:t xml:space="preserve">. The </w:t>
      </w:r>
      <w:r w:rsidR="00BE21C1">
        <w:rPr>
          <w:rFonts w:ascii="Times New Roman" w:hAnsi="Times New Roman" w:cs="Times New Roman"/>
          <w:sz w:val="24"/>
          <w:szCs w:val="24"/>
        </w:rPr>
        <w:t>financial risk protection</w:t>
      </w:r>
      <w:r w:rsidR="00BE21C1" w:rsidRPr="007A28AF">
        <w:rPr>
          <w:rFonts w:ascii="Times New Roman" w:hAnsi="Times New Roman" w:cs="Times New Roman"/>
          <w:sz w:val="24"/>
          <w:szCs w:val="24"/>
        </w:rPr>
        <w:t xml:space="preserve"> </w:t>
      </w:r>
      <w:r w:rsidRPr="007A28AF">
        <w:rPr>
          <w:rFonts w:ascii="Times New Roman" w:hAnsi="Times New Roman" w:cs="Times New Roman"/>
          <w:sz w:val="24"/>
          <w:szCs w:val="24"/>
        </w:rPr>
        <w:t xml:space="preserve">afforded by </w:t>
      </w:r>
      <w:r w:rsidR="00DB273A">
        <w:rPr>
          <w:rFonts w:ascii="Times New Roman" w:hAnsi="Times New Roman" w:cs="Times New Roman"/>
          <w:sz w:val="24"/>
          <w:szCs w:val="24"/>
        </w:rPr>
        <w:t xml:space="preserve">a </w:t>
      </w:r>
      <w:r w:rsidR="00A23132">
        <w:rPr>
          <w:rFonts w:ascii="Times New Roman" w:hAnsi="Times New Roman" w:cs="Times New Roman"/>
          <w:sz w:val="24"/>
          <w:szCs w:val="24"/>
        </w:rPr>
        <w:t>population health intervention</w:t>
      </w:r>
      <w:r w:rsidR="00A23132" w:rsidRPr="007A28AF">
        <w:rPr>
          <w:rFonts w:ascii="Times New Roman" w:hAnsi="Times New Roman" w:cs="Times New Roman"/>
          <w:sz w:val="24"/>
          <w:szCs w:val="24"/>
        </w:rPr>
        <w:t xml:space="preserve"> </w:t>
      </w:r>
      <w:r w:rsidRPr="007A28AF">
        <w:rPr>
          <w:rFonts w:ascii="Times New Roman" w:hAnsi="Times New Roman" w:cs="Times New Roman"/>
          <w:sz w:val="24"/>
          <w:szCs w:val="24"/>
        </w:rPr>
        <w:t xml:space="preserve">will be the money-metric value of insurance provided to </w:t>
      </w:r>
      <w:r w:rsidR="00DB273A">
        <w:rPr>
          <w:rFonts w:ascii="Times New Roman" w:hAnsi="Times New Roman" w:cs="Times New Roman"/>
          <w:sz w:val="24"/>
          <w:szCs w:val="24"/>
        </w:rPr>
        <w:t xml:space="preserve">such </w:t>
      </w:r>
      <w:r w:rsidR="00B17B71">
        <w:rPr>
          <w:rFonts w:ascii="Times New Roman" w:hAnsi="Times New Roman" w:cs="Times New Roman"/>
          <w:sz w:val="24"/>
          <w:szCs w:val="24"/>
        </w:rPr>
        <w:t xml:space="preserve">group of </w:t>
      </w:r>
      <w:r w:rsidR="00DB273A">
        <w:rPr>
          <w:rFonts w:ascii="Times New Roman" w:hAnsi="Times New Roman" w:cs="Times New Roman"/>
          <w:sz w:val="24"/>
          <w:szCs w:val="24"/>
        </w:rPr>
        <w:t>people</w:t>
      </w:r>
      <w:r w:rsidR="00260E7D">
        <w:rPr>
          <w:rFonts w:ascii="Times New Roman" w:hAnsi="Times New Roman" w:cs="Times New Roman"/>
          <w:sz w:val="24"/>
          <w:szCs w:val="24"/>
        </w:rPr>
        <w:t xml:space="preserve"> (i.e., </w:t>
      </w:r>
      <w:r w:rsidR="00260E7D" w:rsidRPr="007A28AF">
        <w:rPr>
          <w:rFonts w:ascii="Times New Roman" w:hAnsi="Times New Roman" w:cs="Times New Roman"/>
          <w:sz w:val="24"/>
          <w:szCs w:val="24"/>
        </w:rPr>
        <w:t>money-metric value of insurance</w:t>
      </w:r>
      <w:r w:rsidR="00260E7D">
        <w:rPr>
          <w:rFonts w:ascii="Times New Roman" w:hAnsi="Times New Roman" w:cs="Times New Roman"/>
          <w:sz w:val="24"/>
          <w:szCs w:val="24"/>
        </w:rPr>
        <w:t>)</w:t>
      </w:r>
      <w:r w:rsidRPr="007A28AF">
        <w:rPr>
          <w:rFonts w:ascii="Times New Roman" w:hAnsi="Times New Roman" w:cs="Times New Roman"/>
          <w:sz w:val="24"/>
          <w:szCs w:val="24"/>
        </w:rPr>
        <w:t>.</w:t>
      </w:r>
      <w:r w:rsidR="001C0929">
        <w:rPr>
          <w:rFonts w:ascii="Times New Roman" w:hAnsi="Times New Roman" w:cs="Times New Roman"/>
          <w:sz w:val="24"/>
          <w:szCs w:val="24"/>
        </w:rPr>
        <w:t xml:space="preserve"> </w:t>
      </w:r>
      <w:r w:rsidR="001C0929" w:rsidRPr="007A28AF">
        <w:rPr>
          <w:rFonts w:ascii="Times New Roman" w:hAnsi="Times New Roman" w:cs="Times New Roman"/>
          <w:sz w:val="24"/>
          <w:szCs w:val="24"/>
        </w:rPr>
        <w:t xml:space="preserve">The implementation of health policy interventions leads to </w:t>
      </w:r>
      <w:r w:rsidR="001C0929">
        <w:rPr>
          <w:rFonts w:ascii="Times New Roman" w:hAnsi="Times New Roman" w:cs="Times New Roman"/>
          <w:sz w:val="24"/>
          <w:szCs w:val="24"/>
        </w:rPr>
        <w:t xml:space="preserve">education </w:t>
      </w:r>
      <w:r w:rsidR="001C0929" w:rsidRPr="007A28AF">
        <w:rPr>
          <w:rFonts w:ascii="Times New Roman" w:hAnsi="Times New Roman" w:cs="Times New Roman"/>
          <w:sz w:val="24"/>
          <w:szCs w:val="24"/>
        </w:rPr>
        <w:t>gains</w:t>
      </w:r>
      <w:r w:rsidR="001C0929">
        <w:rPr>
          <w:rFonts w:ascii="Times New Roman" w:hAnsi="Times New Roman" w:cs="Times New Roman"/>
          <w:sz w:val="24"/>
          <w:szCs w:val="24"/>
        </w:rPr>
        <w:t xml:space="preserve"> </w:t>
      </w:r>
      <w:r w:rsidR="001C0929" w:rsidRPr="007A28AF">
        <w:rPr>
          <w:rFonts w:ascii="Times New Roman" w:hAnsi="Times New Roman" w:cs="Times New Roman"/>
          <w:sz w:val="24"/>
          <w:szCs w:val="24"/>
        </w:rPr>
        <w:t xml:space="preserve">accruing to </w:t>
      </w:r>
      <w:r w:rsidR="00E831AF">
        <w:rPr>
          <w:rFonts w:ascii="Times New Roman" w:hAnsi="Times New Roman" w:cs="Times New Roman"/>
          <w:sz w:val="24"/>
          <w:szCs w:val="24"/>
        </w:rPr>
        <w:t xml:space="preserve">the </w:t>
      </w:r>
      <w:r w:rsidR="001C0929">
        <w:rPr>
          <w:rFonts w:ascii="Times New Roman" w:hAnsi="Times New Roman" w:cs="Times New Roman"/>
          <w:sz w:val="24"/>
          <w:szCs w:val="24"/>
        </w:rPr>
        <w:t xml:space="preserve">target </w:t>
      </w:r>
      <w:r w:rsidR="001C0929" w:rsidRPr="007A28AF">
        <w:rPr>
          <w:rFonts w:ascii="Times New Roman" w:hAnsi="Times New Roman" w:cs="Times New Roman"/>
          <w:sz w:val="24"/>
          <w:szCs w:val="24"/>
        </w:rPr>
        <w:t xml:space="preserve">population in terms of </w:t>
      </w:r>
      <w:r w:rsidR="001C0929">
        <w:rPr>
          <w:rFonts w:ascii="Times New Roman" w:hAnsi="Times New Roman" w:cs="Times New Roman"/>
          <w:sz w:val="24"/>
          <w:szCs w:val="24"/>
        </w:rPr>
        <w:t>the number of school absenteeism averted</w:t>
      </w:r>
      <w:r w:rsidR="00D260B9">
        <w:rPr>
          <w:rFonts w:ascii="Times New Roman" w:hAnsi="Times New Roman" w:cs="Times New Roman"/>
          <w:sz w:val="24"/>
          <w:szCs w:val="24"/>
        </w:rPr>
        <w:t xml:space="preserve"> (i.e., education gains)</w:t>
      </w:r>
      <w:r w:rsidR="001C0929">
        <w:rPr>
          <w:rFonts w:ascii="Times New Roman" w:hAnsi="Times New Roman" w:cs="Times New Roman"/>
          <w:sz w:val="24"/>
          <w:szCs w:val="24"/>
        </w:rPr>
        <w:t>.</w:t>
      </w:r>
    </w:p>
    <w:p w14:paraId="13FD7A93" w14:textId="0DFF48DF" w:rsidR="00215A9E" w:rsidRPr="00215A9E" w:rsidRDefault="00215A9E" w:rsidP="00215A9E">
      <w:pPr>
        <w:spacing w:line="480" w:lineRule="auto"/>
        <w:jc w:val="both"/>
        <w:rPr>
          <w:rFonts w:ascii="Times New Roman" w:hAnsi="Times New Roman" w:cs="Times New Roman"/>
          <w:sz w:val="24"/>
          <w:szCs w:val="24"/>
        </w:rPr>
      </w:pPr>
      <w:r w:rsidRPr="00215A9E">
        <w:rPr>
          <w:rFonts w:ascii="Times New Roman" w:hAnsi="Times New Roman" w:cs="Times New Roman"/>
          <w:sz w:val="24"/>
          <w:szCs w:val="24"/>
        </w:rPr>
        <w:t xml:space="preserve">In the quest of incorporating equity, health and non-health benefits into the economic evaluation of </w:t>
      </w:r>
      <w:r w:rsidR="009B6DF4">
        <w:rPr>
          <w:rFonts w:ascii="Times New Roman" w:hAnsi="Times New Roman" w:cs="Times New Roman"/>
          <w:sz w:val="24"/>
          <w:szCs w:val="24"/>
        </w:rPr>
        <w:t>PHIR</w:t>
      </w:r>
      <w:r w:rsidRPr="00215A9E">
        <w:rPr>
          <w:rFonts w:ascii="Times New Roman" w:hAnsi="Times New Roman" w:cs="Times New Roman"/>
          <w:sz w:val="24"/>
          <w:szCs w:val="24"/>
        </w:rPr>
        <w:t>, myriad studies have employed the following techniques.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94735">
        <w:rPr>
          <w:rFonts w:ascii="Times New Roman" w:hAnsi="Times New Roman" w:cs="Times New Roman"/>
          <w:sz w:val="24"/>
          <w:szCs w:val="24"/>
        </w:rPr>
        <w:instrText>ADDIN CSL_CITATION {"citationItems":[{"id":"ITEM-1","itemData":{"DOI":"10.1186/s12939-020-01328-8","ISSN":"14759276","PMID":"33407559","abstract":"Background: Increasing the coverage of community-based treatment of childhood pneumonia (CCM) is part of the strategy to improve child survival, increase life-expectancy at birth and promote equity in Ethiopia. However, full coverage of CCM has not been reached in any regions of the country. There are no sub-national cost-effectiveness analyses available to inform decision makers on the most equitable scale up strategy. Objectives: Our first objective is to estimate the sub-national cost-effectiveness and the interindividual inequality impacts of scaling up CCM coverages to 90% in each region. Our second objective is to explore the costs, health effects, and geographical inequality impacts associated with three scale-up scenarios promoting different policy-aims: maximizing health, reducing geographical inequalities, and achieving 90% universal coverage. Methods: We used Markov modelling to estimate the sub-national cost-effectiveness of CCM in each region. All data were collected through literature review and adjusted to the region-specific proportions of the rural population. Health effects were modeled as life years gained and under-five deaths averted. Interindividual and geographical inequality impacts were measured by the GINI index applied to health. In scenario analysis we explored three different scale-up strategies: 1) maximizing health by prioritizing the regions where the intervention was the most cost-effective, 2) reducing geographical inequalities by prioritizing the regions with high baseline under-five mortality rate (U5MR), and 3) universal upscaling to 90% coverage in all the regions. Results: The regional incremental-cost effectiveness ratio (ICER) of scaling up the intervention coverage varied from 26 USD per life year gained in Addis to 199 USD per life year gained in the Southern Nations, Nationalities, and Peoples’ region. Universal upscaling of CCM in all regions would cost about 1.3 billion USD and prevent about 90,000 under-five deaths. This is less than 15,000 USD per life saved and translates to an increase in life expectancy at birth of 1.6 years across Ethiopia. In scenario analysis, we found that prioritizing regions with high U5MR is effective in reducing geographical inequalities, although at the cost of fewer lives saved as compared to the health maximizing strategy. Conclusions: Our model results illustrate a trade-off between maximizing health and reducing health inequalities, two common policy-aims in low-income sett…","author":[{"dropping-particle":"","family":"Olsen","given":"Maria","non-dropping-particle":"","parse-names":false,"suffix":""},{"dropping-particle":"","family":"Norheim","given":"Ole F.","non-dropping-particle":"","parse-names":false,"suffix":""},{"dropping-particle":"","family":"Memirie","given":"Solomon Tessema","non-dropping-particle":"","parse-names":false,"suffix":""}],"container-title":"International Journal for Equity in Health","id":"ITEM-1","issue":"1","issued":{"date-parts":[["2021"]]},"page":"1-10","publisher":"International Journal for Equity in Health","title":"Reducing regional health inequality: a sub-national distributional cost-effectiveness analysis of community-based treatment of childhood pneumonia in Ethiopia","type":"article-journal","volume":"20"},"uris":["http://www.mendeley.com/documents/?uuid=fd4ccecf-27d2-4552-82e2-48e4d4f5b5e8"]}],"mendeley":{"formattedCitation":"(Olsen et al., 2021)","manualFormatting":"Olsen et al. (2021)","plainTextFormattedCitation":"(Olsen et al., 2021)","previouslyFormattedCitation":"(Olsen et al., 2021)"},"properties":{"noteIndex":0},"schema":"https://github.com/citation-style-language/schema/raw/master/csl-citation.json"}</w:instrText>
      </w:r>
      <w:r>
        <w:rPr>
          <w:rFonts w:ascii="Times New Roman" w:hAnsi="Times New Roman" w:cs="Times New Roman"/>
          <w:sz w:val="24"/>
          <w:szCs w:val="24"/>
        </w:rPr>
        <w:fldChar w:fldCharType="separate"/>
      </w:r>
      <w:r w:rsidRPr="00215A9E">
        <w:rPr>
          <w:rFonts w:ascii="Times New Roman" w:hAnsi="Times New Roman" w:cs="Times New Roman"/>
          <w:noProof/>
          <w:sz w:val="24"/>
          <w:szCs w:val="24"/>
        </w:rPr>
        <w:t xml:space="preserve">Olsen et al. </w:t>
      </w:r>
      <w:r>
        <w:rPr>
          <w:rFonts w:ascii="Times New Roman" w:hAnsi="Times New Roman" w:cs="Times New Roman"/>
          <w:noProof/>
          <w:sz w:val="24"/>
          <w:szCs w:val="24"/>
        </w:rPr>
        <w:t>(</w:t>
      </w:r>
      <w:r w:rsidRPr="00215A9E">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15A9E">
        <w:rPr>
          <w:rFonts w:ascii="Times New Roman" w:hAnsi="Times New Roman" w:cs="Times New Roman"/>
          <w:sz w:val="24"/>
          <w:szCs w:val="24"/>
        </w:rPr>
        <w:t xml:space="preserve">employed Markov modeling, the </w:t>
      </w:r>
      <w:r w:rsidR="00531F43">
        <w:rPr>
          <w:rFonts w:ascii="Times New Roman" w:hAnsi="Times New Roman" w:cs="Times New Roman"/>
          <w:sz w:val="24"/>
          <w:szCs w:val="24"/>
        </w:rPr>
        <w:t xml:space="preserve">Distributional cost-effectiveness </w:t>
      </w:r>
      <w:r w:rsidR="001520FF">
        <w:rPr>
          <w:rFonts w:ascii="Times New Roman" w:hAnsi="Times New Roman" w:cs="Times New Roman"/>
          <w:sz w:val="24"/>
          <w:szCs w:val="24"/>
        </w:rPr>
        <w:t>analysis,</w:t>
      </w:r>
      <w:r w:rsidR="00531F43">
        <w:rPr>
          <w:rFonts w:ascii="Times New Roman" w:hAnsi="Times New Roman" w:cs="Times New Roman"/>
          <w:sz w:val="24"/>
          <w:szCs w:val="24"/>
        </w:rPr>
        <w:t xml:space="preserve"> </w:t>
      </w:r>
      <w:r w:rsidRPr="00215A9E">
        <w:rPr>
          <w:rFonts w:ascii="Times New Roman" w:hAnsi="Times New Roman" w:cs="Times New Roman"/>
          <w:sz w:val="24"/>
          <w:szCs w:val="24"/>
        </w:rPr>
        <w:t xml:space="preserve">and the GINI index to measure </w:t>
      </w:r>
      <w:r w:rsidR="003501EA">
        <w:rPr>
          <w:rFonts w:ascii="Times New Roman" w:hAnsi="Times New Roman" w:cs="Times New Roman"/>
          <w:sz w:val="24"/>
          <w:szCs w:val="24"/>
        </w:rPr>
        <w:t xml:space="preserve">health impacts and </w:t>
      </w:r>
      <w:r w:rsidRPr="00215A9E">
        <w:rPr>
          <w:rFonts w:ascii="Times New Roman" w:hAnsi="Times New Roman" w:cs="Times New Roman"/>
          <w:sz w:val="24"/>
          <w:szCs w:val="24"/>
        </w:rPr>
        <w:t>inter-individual and geographical inequality impacts</w:t>
      </w:r>
      <w:r w:rsidR="003501EA">
        <w:rPr>
          <w:rFonts w:ascii="Times New Roman" w:hAnsi="Times New Roman" w:cs="Times New Roman"/>
          <w:sz w:val="24"/>
          <w:szCs w:val="24"/>
        </w:rPr>
        <w:t xml:space="preserve"> of a </w:t>
      </w:r>
      <w:r w:rsidR="003501EA" w:rsidRPr="00215A9E">
        <w:rPr>
          <w:rFonts w:ascii="Times New Roman" w:hAnsi="Times New Roman" w:cs="Times New Roman"/>
          <w:sz w:val="24"/>
          <w:szCs w:val="24"/>
        </w:rPr>
        <w:t>C</w:t>
      </w:r>
      <w:r w:rsidR="003501EA">
        <w:rPr>
          <w:rFonts w:ascii="Times New Roman" w:hAnsi="Times New Roman" w:cs="Times New Roman"/>
          <w:sz w:val="24"/>
          <w:szCs w:val="24"/>
        </w:rPr>
        <w:t xml:space="preserve">ommunity </w:t>
      </w:r>
      <w:r w:rsidR="003501EA" w:rsidRPr="00215A9E">
        <w:rPr>
          <w:rFonts w:ascii="Times New Roman" w:hAnsi="Times New Roman" w:cs="Times New Roman"/>
          <w:sz w:val="24"/>
          <w:szCs w:val="24"/>
        </w:rPr>
        <w:t>C</w:t>
      </w:r>
      <w:r w:rsidR="003501EA">
        <w:rPr>
          <w:rFonts w:ascii="Times New Roman" w:hAnsi="Times New Roman" w:cs="Times New Roman"/>
          <w:sz w:val="24"/>
          <w:szCs w:val="24"/>
        </w:rPr>
        <w:t xml:space="preserve">ase </w:t>
      </w:r>
      <w:r w:rsidR="003501EA" w:rsidRPr="00215A9E">
        <w:rPr>
          <w:rFonts w:ascii="Times New Roman" w:hAnsi="Times New Roman" w:cs="Times New Roman"/>
          <w:sz w:val="24"/>
          <w:szCs w:val="24"/>
        </w:rPr>
        <w:t>M</w:t>
      </w:r>
      <w:r w:rsidR="003501EA">
        <w:rPr>
          <w:rFonts w:ascii="Times New Roman" w:hAnsi="Times New Roman" w:cs="Times New Roman"/>
          <w:sz w:val="24"/>
          <w:szCs w:val="24"/>
        </w:rPr>
        <w:t>anagement</w:t>
      </w:r>
      <w:r w:rsidR="003501EA" w:rsidRPr="00215A9E">
        <w:rPr>
          <w:rFonts w:ascii="Times New Roman" w:hAnsi="Times New Roman" w:cs="Times New Roman"/>
          <w:sz w:val="24"/>
          <w:szCs w:val="24"/>
        </w:rPr>
        <w:t xml:space="preserve"> </w:t>
      </w:r>
      <w:r w:rsidR="003501EA">
        <w:rPr>
          <w:rFonts w:ascii="Times New Roman" w:hAnsi="Times New Roman" w:cs="Times New Roman"/>
          <w:sz w:val="24"/>
          <w:szCs w:val="24"/>
        </w:rPr>
        <w:t>or treatment of childhood pneumonia</w:t>
      </w:r>
      <w:r w:rsidR="003501EA">
        <w:rPr>
          <w:rFonts w:ascii="Times New Roman" w:hAnsi="Times New Roman" w:cs="Times New Roman"/>
          <w:sz w:val="24"/>
          <w:szCs w:val="24"/>
        </w:rPr>
        <w:t xml:space="preserve"> program (CCM)</w:t>
      </w:r>
      <w:r w:rsidRPr="00215A9E">
        <w:rPr>
          <w:rFonts w:ascii="Times New Roman" w:hAnsi="Times New Roman" w:cs="Times New Roman"/>
          <w:sz w:val="24"/>
          <w:szCs w:val="24"/>
        </w:rPr>
        <w:t xml:space="preserve">. They found that, in total, scaling up </w:t>
      </w:r>
      <w:r w:rsidR="003501EA">
        <w:rPr>
          <w:rFonts w:ascii="Times New Roman" w:hAnsi="Times New Roman" w:cs="Times New Roman"/>
          <w:sz w:val="24"/>
          <w:szCs w:val="24"/>
        </w:rPr>
        <w:t>CCM</w:t>
      </w:r>
      <w:r w:rsidR="0067710A">
        <w:rPr>
          <w:rFonts w:ascii="Times New Roman" w:hAnsi="Times New Roman" w:cs="Times New Roman"/>
          <w:sz w:val="24"/>
          <w:szCs w:val="24"/>
        </w:rPr>
        <w:t xml:space="preserve"> </w:t>
      </w:r>
      <w:r w:rsidRPr="00215A9E">
        <w:rPr>
          <w:rFonts w:ascii="Times New Roman" w:hAnsi="Times New Roman" w:cs="Times New Roman"/>
          <w:sz w:val="24"/>
          <w:szCs w:val="24"/>
        </w:rPr>
        <w:t>coverage to 90 percent in all regions would decrease the Ethiopian Under-five mortality rate (</w:t>
      </w:r>
      <w:r w:rsidR="00EE6B91">
        <w:rPr>
          <w:rFonts w:ascii="Times New Roman" w:hAnsi="Times New Roman" w:cs="Times New Roman"/>
          <w:sz w:val="24"/>
          <w:szCs w:val="24"/>
        </w:rPr>
        <w:t xml:space="preserve">i.e., </w:t>
      </w:r>
      <w:r w:rsidRPr="00215A9E">
        <w:rPr>
          <w:rFonts w:ascii="Times New Roman" w:hAnsi="Times New Roman" w:cs="Times New Roman"/>
          <w:sz w:val="24"/>
          <w:szCs w:val="24"/>
        </w:rPr>
        <w:t xml:space="preserve">health benefits) from 67 to 57 deaths per 1000 live births, translating as increased life expectancy (from 63.18 to 64.73 years, a </w:t>
      </w:r>
      <w:r w:rsidR="00531F43" w:rsidRPr="00215A9E">
        <w:rPr>
          <w:rFonts w:ascii="Times New Roman" w:hAnsi="Times New Roman" w:cs="Times New Roman"/>
          <w:sz w:val="24"/>
          <w:szCs w:val="24"/>
        </w:rPr>
        <w:t>1.55-year</w:t>
      </w:r>
      <w:r w:rsidRPr="00215A9E">
        <w:rPr>
          <w:rFonts w:ascii="Times New Roman" w:hAnsi="Times New Roman" w:cs="Times New Roman"/>
          <w:sz w:val="24"/>
          <w:szCs w:val="24"/>
        </w:rPr>
        <w:t xml:space="preserve"> gain) and decreased inter-individual inequalities in all regions. </w:t>
      </w:r>
      <w:r w:rsidR="00894735">
        <w:rPr>
          <w:rFonts w:ascii="Times New Roman" w:hAnsi="Times New Roman" w:cs="Times New Roman"/>
          <w:sz w:val="24"/>
          <w:szCs w:val="24"/>
        </w:rPr>
        <w:fldChar w:fldCharType="begin" w:fldLock="1"/>
      </w:r>
      <w:r w:rsidR="007A4BBA">
        <w:rPr>
          <w:rFonts w:ascii="Times New Roman" w:hAnsi="Times New Roman" w:cs="Times New Roman"/>
          <w:sz w:val="24"/>
          <w:szCs w:val="24"/>
        </w:rPr>
        <w:instrText>ADDIN CSL_CITATION {"citationItems":[{"id":"ITEM-1","itemData":{"DOI":"10.1186/s12936-020-3103-5","ISSN":"14752875","PMID":"31973694","abstract":"Background: Malaria is a public health burden and a major cause for morbidity and mortality in Ethiopia. Malaria also places a substantial financial burden on families and Ethiopia's national economy. Economic evaluations, with evidence on equity and financial risk protection (FRP), are therefore essential to support decision-making for policymakers to identify best buys amongst possible malaria interventions. The aim of this study is to estimate the expected health and FRP benefits of universal public financing of key malaria interventions in Ethiopia. Methods: Using extended cost-effectiveness analysis (ECEA), the potential health and FRP benefits were estimated, and their distributions across socio-economic groups, of publicly financing a 10% coverage increase in artemisinin-based combination therapy (ACT), long-lasting insecticide-treated bed nets (LLIN), indoor residual spraying (IRS), and malaria vaccine (hypothetical). Results: ACT, LLIN, IRS, and vaccine would avert 358, 188, 107 and 38 deaths, respectively, each year at a net government cost of $5.7, 16.5, 32.6, and 5.1 million, respectively. The annual cost of implementing IRS would be two times higher than that of the LLIN interventions, and would be the main driver of the total costs. The averted deaths would be mainly concentrated in the poorest two income quintiles. The four interventions would eliminate about $4,627,800 of private health expenditures, and the poorest income quintiles would see the greatest FRP benefits. ACT and LLINs would have the largest impact on malaria-related deaths averted and FRP benefits. Conclusions: ACT, LLIN, IRS, and vaccine interventions would bring large health and financial benefits to the poorest households in Ethiopia.","author":[{"dropping-particle":"","family":"Assebe","given":"Lelisa Fekadu","non-dropping-particle":"","parse-names":false,"suffix":""},{"dropping-particle":"","family":"Kwete","given":"Xiaoxiao Jiang","non-dropping-particle":"","parse-names":false,"suffix":""},{"dropping-particle":"","family":"Wang","given":"Dan","non-dropping-particle":"","parse-names":false,"suffix":""},{"dropping-particle":"","family":"Liu","given":"Lingrui","non-dropping-particle":"","parse-names":false,"suffix":""},{"dropping-particle":"","family":"Norheim","given":"Ole Frithjof","non-dropping-particle":"","parse-names":false,"suffix":""},{"dropping-particle":"","family":"Jbaily","given":"Abdulrahman","non-dropping-particle":"","parse-names":false,"suffix":""},{"dropping-particle":"","family":"Verguet","given":"Stéphane","non-dropping-particle":"","parse-names":false,"suffix":""},{"dropping-particle":"","family":"Johansson","given":"Kjell Arne","non-dropping-particle":"","parse-names":false,"suffix":""},{"dropping-particle":"","family":"Tolla","given":"Mieraf Taddesse","non-dropping-particle":"","parse-names":false,"suffix":""}],"container-title":"Malaria Journal","id":"ITEM-1","issue":"1","issued":{"date-parts":[["2020"]]},"page":"1-10","publisher":"BioMed Central","title":"Health gains and financial risk protection afforded by public financing of selected malaria interventions in Ethiopia: An extended cost-effectiveness analysis","type":"article-journal","volume":"19"},"uris":["http://www.mendeley.com/documents/?uuid=2743b14c-6286-458b-96b4-c8e8e2bb5d36"]}],"mendeley":{"formattedCitation":"(Assebe et al., 2020)","manualFormatting":"Assebe et al. (2020)","plainTextFormattedCitation":"(Assebe et al., 2020)","previouslyFormattedCitation":"(Assebe et al., 2020)"},"properties":{"noteIndex":0},"schema":"https://github.com/citation-style-language/schema/raw/master/csl-citation.json"}</w:instrText>
      </w:r>
      <w:r w:rsidR="00894735">
        <w:rPr>
          <w:rFonts w:ascii="Times New Roman" w:hAnsi="Times New Roman" w:cs="Times New Roman"/>
          <w:sz w:val="24"/>
          <w:szCs w:val="24"/>
        </w:rPr>
        <w:fldChar w:fldCharType="separate"/>
      </w:r>
      <w:r w:rsidR="00894735" w:rsidRPr="00894735">
        <w:rPr>
          <w:rFonts w:ascii="Times New Roman" w:hAnsi="Times New Roman" w:cs="Times New Roman"/>
          <w:noProof/>
          <w:sz w:val="24"/>
          <w:szCs w:val="24"/>
        </w:rPr>
        <w:t xml:space="preserve">Assebe et al. </w:t>
      </w:r>
      <w:r w:rsidR="00894735">
        <w:rPr>
          <w:rFonts w:ascii="Times New Roman" w:hAnsi="Times New Roman" w:cs="Times New Roman"/>
          <w:noProof/>
          <w:sz w:val="24"/>
          <w:szCs w:val="24"/>
        </w:rPr>
        <w:t>(</w:t>
      </w:r>
      <w:r w:rsidR="00894735" w:rsidRPr="00894735">
        <w:rPr>
          <w:rFonts w:ascii="Times New Roman" w:hAnsi="Times New Roman" w:cs="Times New Roman"/>
          <w:noProof/>
          <w:sz w:val="24"/>
          <w:szCs w:val="24"/>
        </w:rPr>
        <w:t>2020)</w:t>
      </w:r>
      <w:r w:rsidR="00894735">
        <w:rPr>
          <w:rFonts w:ascii="Times New Roman" w:hAnsi="Times New Roman" w:cs="Times New Roman"/>
          <w:sz w:val="24"/>
          <w:szCs w:val="24"/>
        </w:rPr>
        <w:fldChar w:fldCharType="end"/>
      </w:r>
      <w:r w:rsidRPr="00215A9E">
        <w:rPr>
          <w:rFonts w:ascii="Times New Roman" w:hAnsi="Times New Roman" w:cs="Times New Roman"/>
          <w:sz w:val="24"/>
          <w:szCs w:val="24"/>
        </w:rPr>
        <w:t xml:space="preserve"> employed the </w:t>
      </w:r>
      <w:r w:rsidR="00531F43">
        <w:rPr>
          <w:rFonts w:ascii="Times New Roman" w:hAnsi="Times New Roman" w:cs="Times New Roman"/>
          <w:sz w:val="24"/>
          <w:szCs w:val="24"/>
        </w:rPr>
        <w:t>Extended cost-</w:t>
      </w:r>
      <w:r w:rsidR="00531F43">
        <w:rPr>
          <w:rFonts w:ascii="Times New Roman" w:hAnsi="Times New Roman" w:cs="Times New Roman"/>
          <w:sz w:val="24"/>
          <w:szCs w:val="24"/>
        </w:rPr>
        <w:lastRenderedPageBreak/>
        <w:t>effectiveness analysis</w:t>
      </w:r>
      <w:r w:rsidR="00531F43" w:rsidRPr="00215A9E">
        <w:rPr>
          <w:rFonts w:ascii="Times New Roman" w:hAnsi="Times New Roman" w:cs="Times New Roman"/>
          <w:sz w:val="24"/>
          <w:szCs w:val="24"/>
        </w:rPr>
        <w:t xml:space="preserve"> </w:t>
      </w:r>
      <w:r w:rsidRPr="00215A9E">
        <w:rPr>
          <w:rFonts w:ascii="Times New Roman" w:hAnsi="Times New Roman" w:cs="Times New Roman"/>
          <w:sz w:val="24"/>
          <w:szCs w:val="24"/>
        </w:rPr>
        <w:t>to estimate the health gains and non-health benefits of increasing the coverage of selected malaria interventions</w:t>
      </w:r>
      <w:r w:rsidR="00AD17DB">
        <w:rPr>
          <w:rFonts w:ascii="Times New Roman" w:hAnsi="Times New Roman" w:cs="Times New Roman"/>
          <w:sz w:val="24"/>
          <w:szCs w:val="24"/>
        </w:rPr>
        <w:t xml:space="preserve"> (</w:t>
      </w:r>
      <w:r w:rsidR="00AD17DB" w:rsidRPr="00AD17DB">
        <w:rPr>
          <w:rFonts w:ascii="Times New Roman" w:hAnsi="Times New Roman" w:cs="Times New Roman"/>
          <w:sz w:val="24"/>
          <w:szCs w:val="24"/>
        </w:rPr>
        <w:t>artemisinin-based combination therapy (ACT), long-lasting insecticide-treated bed nets (LLIN), indoor residual spraying (IRS) and malaria vaccine (hypothetical)</w:t>
      </w:r>
      <w:r w:rsidRPr="00215A9E">
        <w:rPr>
          <w:rFonts w:ascii="Times New Roman" w:hAnsi="Times New Roman" w:cs="Times New Roman"/>
          <w:sz w:val="24"/>
          <w:szCs w:val="24"/>
        </w:rPr>
        <w:t xml:space="preserve"> in Ethiopia by 10 percent. It was revealed that </w:t>
      </w:r>
      <w:r w:rsidR="0018618E">
        <w:rPr>
          <w:rFonts w:ascii="Times New Roman" w:hAnsi="Times New Roman" w:cs="Times New Roman"/>
          <w:sz w:val="24"/>
          <w:szCs w:val="24"/>
        </w:rPr>
        <w:t>t</w:t>
      </w:r>
      <w:r w:rsidR="0018618E" w:rsidRPr="0018618E">
        <w:rPr>
          <w:rFonts w:ascii="Times New Roman" w:hAnsi="Times New Roman" w:cs="Times New Roman"/>
          <w:sz w:val="24"/>
          <w:szCs w:val="24"/>
        </w:rPr>
        <w:t>he ACT, LLIN, IRS and the vaccine would respectively avert 358, 188, 107 and 38 deaths each year.</w:t>
      </w:r>
      <w:r w:rsidR="00E2502C">
        <w:rPr>
          <w:rFonts w:ascii="Times New Roman" w:hAnsi="Times New Roman" w:cs="Times New Roman"/>
          <w:sz w:val="24"/>
          <w:szCs w:val="24"/>
        </w:rPr>
        <w:t xml:space="preserve"> In terms of eliminating financial burden, </w:t>
      </w:r>
      <w:r w:rsidR="00EF0F4A">
        <w:rPr>
          <w:rFonts w:ascii="Times New Roman" w:hAnsi="Times New Roman" w:cs="Times New Roman"/>
          <w:sz w:val="24"/>
          <w:szCs w:val="24"/>
        </w:rPr>
        <w:t>t</w:t>
      </w:r>
      <w:r w:rsidR="00E2502C" w:rsidRPr="00E2502C">
        <w:rPr>
          <w:rFonts w:ascii="Times New Roman" w:hAnsi="Times New Roman" w:cs="Times New Roman"/>
          <w:sz w:val="24"/>
          <w:szCs w:val="24"/>
        </w:rPr>
        <w:t>he four interventions would avert about $4,627,800 of out-of-pocket expenditures (OOP)</w:t>
      </w:r>
      <w:r w:rsidR="00B334E3">
        <w:rPr>
          <w:rFonts w:ascii="Times New Roman" w:hAnsi="Times New Roman" w:cs="Times New Roman"/>
          <w:sz w:val="24"/>
          <w:szCs w:val="24"/>
        </w:rPr>
        <w:t xml:space="preserve"> in total</w:t>
      </w:r>
      <w:r w:rsidR="00E2502C" w:rsidRPr="00E2502C">
        <w:rPr>
          <w:rFonts w:ascii="Times New Roman" w:hAnsi="Times New Roman" w:cs="Times New Roman"/>
          <w:sz w:val="24"/>
          <w:szCs w:val="24"/>
        </w:rPr>
        <w:t>.</w:t>
      </w:r>
      <w:r w:rsidR="002049AE">
        <w:rPr>
          <w:rFonts w:ascii="Times New Roman" w:hAnsi="Times New Roman" w:cs="Times New Roman"/>
          <w:sz w:val="24"/>
          <w:szCs w:val="24"/>
        </w:rPr>
        <w:t xml:space="preserve"> The </w:t>
      </w:r>
      <w:r w:rsidR="002049AE" w:rsidRPr="002049AE">
        <w:rPr>
          <w:rFonts w:ascii="Times New Roman" w:hAnsi="Times New Roman" w:cs="Times New Roman"/>
          <w:sz w:val="24"/>
          <w:szCs w:val="24"/>
        </w:rPr>
        <w:t xml:space="preserve">ACT, LLIN, IRS and the Malaria vaccine </w:t>
      </w:r>
      <w:r w:rsidR="00B334E3" w:rsidRPr="0018618E">
        <w:rPr>
          <w:rFonts w:ascii="Times New Roman" w:hAnsi="Times New Roman" w:cs="Times New Roman"/>
          <w:sz w:val="24"/>
          <w:szCs w:val="24"/>
        </w:rPr>
        <w:t>respectively</w:t>
      </w:r>
      <w:r w:rsidR="00B334E3" w:rsidRPr="002049AE">
        <w:rPr>
          <w:rFonts w:ascii="Times New Roman" w:hAnsi="Times New Roman" w:cs="Times New Roman"/>
          <w:sz w:val="24"/>
          <w:szCs w:val="24"/>
        </w:rPr>
        <w:t xml:space="preserve"> </w:t>
      </w:r>
      <w:r w:rsidR="002049AE" w:rsidRPr="002049AE">
        <w:rPr>
          <w:rFonts w:ascii="Times New Roman" w:hAnsi="Times New Roman" w:cs="Times New Roman"/>
          <w:sz w:val="24"/>
          <w:szCs w:val="24"/>
        </w:rPr>
        <w:t xml:space="preserve">averted 440, 220, 125 and 18 cases of </w:t>
      </w:r>
      <w:r w:rsidR="002049AE">
        <w:rPr>
          <w:rFonts w:ascii="Times New Roman" w:hAnsi="Times New Roman" w:cs="Times New Roman"/>
          <w:sz w:val="24"/>
          <w:szCs w:val="24"/>
        </w:rPr>
        <w:t>catastrophic health expe</w:t>
      </w:r>
      <w:r w:rsidR="002C5311">
        <w:rPr>
          <w:rFonts w:ascii="Times New Roman" w:hAnsi="Times New Roman" w:cs="Times New Roman"/>
          <w:sz w:val="24"/>
          <w:szCs w:val="24"/>
        </w:rPr>
        <w:t>n</w:t>
      </w:r>
      <w:r w:rsidR="002049AE">
        <w:rPr>
          <w:rFonts w:ascii="Times New Roman" w:hAnsi="Times New Roman" w:cs="Times New Roman"/>
          <w:sz w:val="24"/>
          <w:szCs w:val="24"/>
        </w:rPr>
        <w:t>ditures</w:t>
      </w:r>
      <w:r w:rsidR="002049AE" w:rsidRPr="002049AE">
        <w:rPr>
          <w:rFonts w:ascii="Times New Roman" w:hAnsi="Times New Roman" w:cs="Times New Roman"/>
          <w:sz w:val="24"/>
          <w:szCs w:val="24"/>
        </w:rPr>
        <w:t xml:space="preserve"> annually.</w:t>
      </w:r>
      <w:r w:rsidR="00615B92">
        <w:rPr>
          <w:rFonts w:ascii="Times New Roman" w:hAnsi="Times New Roman" w:cs="Times New Roman"/>
          <w:sz w:val="24"/>
          <w:szCs w:val="24"/>
        </w:rPr>
        <w:t xml:space="preserve"> A</w:t>
      </w:r>
      <w:r w:rsidR="006D7920">
        <w:rPr>
          <w:rFonts w:ascii="Times New Roman" w:hAnsi="Times New Roman" w:cs="Times New Roman"/>
          <w:sz w:val="24"/>
          <w:szCs w:val="24"/>
        </w:rPr>
        <w:t xml:space="preserve">bout </w:t>
      </w:r>
      <w:r w:rsidRPr="00215A9E">
        <w:rPr>
          <w:rFonts w:ascii="Times New Roman" w:hAnsi="Times New Roman" w:cs="Times New Roman"/>
          <w:sz w:val="24"/>
          <w:szCs w:val="24"/>
        </w:rPr>
        <w:t xml:space="preserve">50 percent of deaths averted by </w:t>
      </w:r>
      <w:r w:rsidR="00615B92" w:rsidRPr="002049AE">
        <w:rPr>
          <w:rFonts w:ascii="Times New Roman" w:hAnsi="Times New Roman" w:cs="Times New Roman"/>
          <w:sz w:val="24"/>
          <w:szCs w:val="24"/>
        </w:rPr>
        <w:t>ACT</w:t>
      </w:r>
      <w:r w:rsidRPr="00215A9E">
        <w:rPr>
          <w:rFonts w:ascii="Times New Roman" w:hAnsi="Times New Roman" w:cs="Times New Roman"/>
          <w:sz w:val="24"/>
          <w:szCs w:val="24"/>
        </w:rPr>
        <w:t xml:space="preserve">, </w:t>
      </w:r>
      <w:r w:rsidR="00615B92" w:rsidRPr="002049AE">
        <w:rPr>
          <w:rFonts w:ascii="Times New Roman" w:hAnsi="Times New Roman" w:cs="Times New Roman"/>
          <w:sz w:val="24"/>
          <w:szCs w:val="24"/>
        </w:rPr>
        <w:t>LLIN</w:t>
      </w:r>
      <w:r w:rsidRPr="00215A9E">
        <w:rPr>
          <w:rFonts w:ascii="Times New Roman" w:hAnsi="Times New Roman" w:cs="Times New Roman"/>
          <w:sz w:val="24"/>
          <w:szCs w:val="24"/>
        </w:rPr>
        <w:t xml:space="preserve">, and </w:t>
      </w:r>
      <w:r w:rsidR="00615B92">
        <w:rPr>
          <w:rFonts w:ascii="Times New Roman" w:hAnsi="Times New Roman" w:cs="Times New Roman"/>
          <w:sz w:val="24"/>
          <w:szCs w:val="24"/>
        </w:rPr>
        <w:t>IRS</w:t>
      </w:r>
      <w:r w:rsidRPr="00215A9E">
        <w:rPr>
          <w:rFonts w:ascii="Times New Roman" w:hAnsi="Times New Roman" w:cs="Times New Roman"/>
          <w:sz w:val="24"/>
          <w:szCs w:val="24"/>
        </w:rPr>
        <w:t xml:space="preserve"> and 52 percent by the malaria vaccine (hypothetical) accrued to the poorest and poorer quintiles.</w:t>
      </w:r>
    </w:p>
    <w:p w14:paraId="25659E59" w14:textId="375FBDEC" w:rsidR="002B34ED" w:rsidRDefault="00EE4AF5" w:rsidP="002B34ED">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93BA2">
        <w:rPr>
          <w:rFonts w:ascii="Times New Roman" w:hAnsi="Times New Roman" w:cs="Times New Roman"/>
          <w:sz w:val="24"/>
          <w:szCs w:val="24"/>
        </w:rPr>
        <w:instrText>ADDIN CSL_CITATION {"citationItems":[{"id":"ITEM-1","itemData":{"DOI":"10.1093/heapol/czz181","ISSN":"14602237","PMID":"32031615","abstract":"Treatment costs remain a barrier for having timely cataract surgery in Vietnam, particularly for females and the poor, despite significant progress in achieving universal health coverage (UHC). This study evaluated the potential impact, on health and financial protection, of eliminating medical and non-medical out-of-pocket costs associated with cataract surgery. An extended cost-effectiveness analysis (ECEA) was conducted with a societal perspective. The ECEA modelled how many more disability-adjusted life years (DALYs) and cases of catastrophic health expenditure (CHE) and medical impoverishment could be averted across income quintiles and between males and females. Two programmes were evaluated: (1) eliminating medical out-of-pocket costs for small incision cataract surgery and (2) Programme A plus a voucher programme covering non-medical out-of-pocket costs. Compared with current, the incremental cost per year of Programme A was estimated to be $833 396 and $1 641 835 for Programme B, each representing &lt;0.01% of total health care spending in 2016. Males and females in the richest income quintiles would avert more DALYs than those in the poorest quintiles. For both programmes, most cases of CHE would be averted by individuals in the poorest income quintile. Programme B would avert the most CHE cases overall and females would have a greater share of benefits. All cases of impoverishing medical expenditure would be averted by individuals in the poorest quintile (A: 115 cases and B: 493 cases) for both programmes. The cost to avert each case of CHE with Programme A ranged from $67 to $292 and $100 to $232 for Programme B. We found a pro-rich health distribution and a pro-poor CHE distribution associated with eliminating out-of-pocket costs of cataract surgery in Vietnam. A programme that addressed both medical and non-medical out-of-pocket costs could have the greatest impact on improving financial protection in this population, particularly among the poorest income quintiles and for females. This study supports the concordance between the objectives of UHC and gender equity.","author":[{"dropping-particle":"","family":"Essue","given":"Beverley M.","non-dropping-particle":"","parse-names":false,"suffix":""},{"dropping-particle":"","family":"Jan","given":"Stephen","non-dropping-particle":"","parse-names":false,"suffix":""},{"dropping-particle":"","family":"Phuc","given":"Huynh Tan","non-dropping-particle":"","parse-names":false,"suffix":""},{"dropping-particle":"","family":"Dodson","given":"Sarity","non-dropping-particle":"","parse-names":false,"suffix":""},{"dropping-particle":"","family":"Armstrong","given":"Kirsten","non-dropping-particle":"","parse-names":false,"suffix":""},{"dropping-particle":"","family":"Laba","given":"Tracey Lea","non-dropping-particle":"","parse-names":false,"suffix":""}],"container-title":"Health Policy and Planning","id":"ITEM-1","issue":"4","issued":{"date-parts":[["2020"]]},"page":"399-407","title":"Who benefits most from extending financial protection for cataract surgery in Vietnam? An extended cost-effectiveness analysis of small incision surgery","type":"article-journal","volume":"35"},"uris":["http://www.mendeley.com/documents/?uuid=60f525c3-7ceb-4a67-8c0b-85a3c7db2c8c"]}],"mendeley":{"formattedCitation":"(Essue et al., 2020)","manualFormatting":"Essue et al. (2020)","plainTextFormattedCitation":"(Essue et al., 2020)"},"properties":{"noteIndex":0},"schema":"https://github.com/citation-style-language/schema/raw/master/csl-citation.json"}</w:instrText>
      </w:r>
      <w:r>
        <w:rPr>
          <w:rFonts w:ascii="Times New Roman" w:hAnsi="Times New Roman" w:cs="Times New Roman"/>
          <w:sz w:val="24"/>
          <w:szCs w:val="24"/>
        </w:rPr>
        <w:fldChar w:fldCharType="separate"/>
      </w:r>
      <w:r w:rsidRPr="00EE4AF5">
        <w:rPr>
          <w:rFonts w:ascii="Times New Roman" w:hAnsi="Times New Roman" w:cs="Times New Roman"/>
          <w:noProof/>
          <w:sz w:val="24"/>
          <w:szCs w:val="24"/>
        </w:rPr>
        <w:t xml:space="preserve">Essue et al. </w:t>
      </w:r>
      <w:r>
        <w:rPr>
          <w:rFonts w:ascii="Times New Roman" w:hAnsi="Times New Roman" w:cs="Times New Roman"/>
          <w:noProof/>
          <w:sz w:val="24"/>
          <w:szCs w:val="24"/>
        </w:rPr>
        <w:t>(</w:t>
      </w:r>
      <w:r w:rsidRPr="00EE4AF5">
        <w:rPr>
          <w:rFonts w:ascii="Times New Roman" w:hAnsi="Times New Roman" w:cs="Times New Roman"/>
          <w:noProof/>
          <w:sz w:val="24"/>
          <w:szCs w:val="24"/>
        </w:rPr>
        <w:t>2020)</w:t>
      </w:r>
      <w:r>
        <w:rPr>
          <w:rFonts w:ascii="Times New Roman" w:hAnsi="Times New Roman" w:cs="Times New Roman"/>
          <w:sz w:val="24"/>
          <w:szCs w:val="24"/>
        </w:rPr>
        <w:fldChar w:fldCharType="end"/>
      </w:r>
      <w:r w:rsidR="00215A9E" w:rsidRPr="00215A9E">
        <w:rPr>
          <w:rFonts w:ascii="Times New Roman" w:hAnsi="Times New Roman" w:cs="Times New Roman"/>
          <w:sz w:val="24"/>
          <w:szCs w:val="24"/>
        </w:rPr>
        <w:t xml:space="preserve"> also </w:t>
      </w:r>
      <w:r w:rsidR="00D624CE">
        <w:rPr>
          <w:rFonts w:ascii="Times New Roman" w:hAnsi="Times New Roman" w:cs="Times New Roman"/>
          <w:sz w:val="24"/>
          <w:szCs w:val="24"/>
        </w:rPr>
        <w:t>employed the ECEA</w:t>
      </w:r>
      <w:r w:rsidR="00215A9E" w:rsidRPr="00215A9E">
        <w:rPr>
          <w:rFonts w:ascii="Times New Roman" w:hAnsi="Times New Roman" w:cs="Times New Roman"/>
          <w:sz w:val="24"/>
          <w:szCs w:val="24"/>
        </w:rPr>
        <w:t xml:space="preserve"> to evaluate the health and non-health impact of eliminating medical and non-medical out-of-pocket payments of cataract surgery in Vietnam, across sex and income quintiles. </w:t>
      </w:r>
      <w:r w:rsidR="00D624CE">
        <w:rPr>
          <w:rFonts w:ascii="Times New Roman" w:hAnsi="Times New Roman" w:cs="Times New Roman"/>
          <w:sz w:val="24"/>
          <w:szCs w:val="24"/>
        </w:rPr>
        <w:t xml:space="preserve">They considered </w:t>
      </w:r>
      <w:r w:rsidR="00D624CE" w:rsidRPr="00D624CE">
        <w:rPr>
          <w:rFonts w:ascii="Times New Roman" w:hAnsi="Times New Roman" w:cs="Times New Roman"/>
          <w:sz w:val="24"/>
          <w:szCs w:val="24"/>
        </w:rPr>
        <w:t>Program A</w:t>
      </w:r>
      <w:r w:rsidR="00EA1838">
        <w:rPr>
          <w:rFonts w:ascii="Times New Roman" w:hAnsi="Times New Roman" w:cs="Times New Roman"/>
          <w:sz w:val="24"/>
          <w:szCs w:val="24"/>
        </w:rPr>
        <w:t>,</w:t>
      </w:r>
      <w:r w:rsidR="00D624CE">
        <w:rPr>
          <w:rFonts w:ascii="Times New Roman" w:hAnsi="Times New Roman" w:cs="Times New Roman"/>
          <w:sz w:val="24"/>
          <w:szCs w:val="24"/>
        </w:rPr>
        <w:t xml:space="preserve"> which</w:t>
      </w:r>
      <w:r w:rsidR="00D624CE" w:rsidRPr="00D624CE">
        <w:rPr>
          <w:rFonts w:ascii="Times New Roman" w:hAnsi="Times New Roman" w:cs="Times New Roman"/>
          <w:sz w:val="24"/>
          <w:szCs w:val="24"/>
        </w:rPr>
        <w:t xml:space="preserve"> </w:t>
      </w:r>
      <w:r w:rsidR="00D624CE">
        <w:rPr>
          <w:rFonts w:ascii="Times New Roman" w:hAnsi="Times New Roman" w:cs="Times New Roman"/>
          <w:sz w:val="24"/>
          <w:szCs w:val="24"/>
        </w:rPr>
        <w:t>consisted of</w:t>
      </w:r>
      <w:r w:rsidR="00D624CE" w:rsidRPr="00D624CE">
        <w:rPr>
          <w:rFonts w:ascii="Times New Roman" w:hAnsi="Times New Roman" w:cs="Times New Roman"/>
          <w:sz w:val="24"/>
          <w:szCs w:val="24"/>
        </w:rPr>
        <w:t xml:space="preserve"> eliminating medical OOP costs for small incision cataract surgery</w:t>
      </w:r>
      <w:r w:rsidR="00D624CE">
        <w:rPr>
          <w:rFonts w:ascii="Times New Roman" w:hAnsi="Times New Roman" w:cs="Times New Roman"/>
          <w:sz w:val="24"/>
          <w:szCs w:val="24"/>
        </w:rPr>
        <w:t xml:space="preserve"> and </w:t>
      </w:r>
      <w:r w:rsidR="00D624CE" w:rsidRPr="00D624CE">
        <w:rPr>
          <w:rFonts w:ascii="Times New Roman" w:hAnsi="Times New Roman" w:cs="Times New Roman"/>
          <w:sz w:val="24"/>
          <w:szCs w:val="24"/>
        </w:rPr>
        <w:t>Program B</w:t>
      </w:r>
      <w:r w:rsidR="00EA1838">
        <w:rPr>
          <w:rFonts w:ascii="Times New Roman" w:hAnsi="Times New Roman" w:cs="Times New Roman"/>
          <w:sz w:val="24"/>
          <w:szCs w:val="24"/>
        </w:rPr>
        <w:t>,</w:t>
      </w:r>
      <w:r w:rsidR="00D624CE">
        <w:rPr>
          <w:rFonts w:ascii="Times New Roman" w:hAnsi="Times New Roman" w:cs="Times New Roman"/>
          <w:sz w:val="24"/>
          <w:szCs w:val="24"/>
        </w:rPr>
        <w:t xml:space="preserve"> which</w:t>
      </w:r>
      <w:r w:rsidR="00D624CE" w:rsidRPr="00D624CE">
        <w:rPr>
          <w:rFonts w:ascii="Times New Roman" w:hAnsi="Times New Roman" w:cs="Times New Roman"/>
          <w:sz w:val="24"/>
          <w:szCs w:val="24"/>
        </w:rPr>
        <w:t xml:space="preserve"> </w:t>
      </w:r>
      <w:r w:rsidR="00D624CE">
        <w:rPr>
          <w:rFonts w:ascii="Times New Roman" w:hAnsi="Times New Roman" w:cs="Times New Roman"/>
          <w:sz w:val="24"/>
          <w:szCs w:val="24"/>
        </w:rPr>
        <w:t>included</w:t>
      </w:r>
      <w:r w:rsidR="00D624CE" w:rsidRPr="00D624CE">
        <w:rPr>
          <w:rFonts w:ascii="Times New Roman" w:hAnsi="Times New Roman" w:cs="Times New Roman"/>
          <w:sz w:val="24"/>
          <w:szCs w:val="24"/>
        </w:rPr>
        <w:t xml:space="preserve"> program A plus a voucher covering non-medical OOP costs.</w:t>
      </w:r>
      <w:r w:rsidR="00D624CE">
        <w:rPr>
          <w:rFonts w:ascii="Times New Roman" w:hAnsi="Times New Roman" w:cs="Times New Roman"/>
          <w:sz w:val="24"/>
          <w:szCs w:val="24"/>
        </w:rPr>
        <w:t xml:space="preserve"> </w:t>
      </w:r>
      <w:r w:rsidR="00215A9E" w:rsidRPr="00215A9E">
        <w:rPr>
          <w:rFonts w:ascii="Times New Roman" w:hAnsi="Times New Roman" w:cs="Times New Roman"/>
          <w:sz w:val="24"/>
          <w:szCs w:val="24"/>
        </w:rPr>
        <w:t xml:space="preserve">They found that </w:t>
      </w:r>
      <w:r w:rsidR="00D624CE" w:rsidRPr="00D624CE">
        <w:rPr>
          <w:rFonts w:ascii="Times New Roman" w:hAnsi="Times New Roman" w:cs="Times New Roman"/>
          <w:sz w:val="24"/>
          <w:szCs w:val="24"/>
        </w:rPr>
        <w:t xml:space="preserve">45 DALYs were averted for males and 207 DALYs were averted for females for program A and </w:t>
      </w:r>
      <w:r w:rsidR="007E164F">
        <w:rPr>
          <w:rFonts w:ascii="Times New Roman" w:hAnsi="Times New Roman" w:cs="Times New Roman"/>
          <w:sz w:val="24"/>
          <w:szCs w:val="24"/>
        </w:rPr>
        <w:t xml:space="preserve">also program </w:t>
      </w:r>
      <w:r w:rsidR="00D624CE" w:rsidRPr="00D624CE">
        <w:rPr>
          <w:rFonts w:ascii="Times New Roman" w:hAnsi="Times New Roman" w:cs="Times New Roman"/>
          <w:sz w:val="24"/>
          <w:szCs w:val="24"/>
        </w:rPr>
        <w:t>B</w:t>
      </w:r>
      <w:r w:rsidR="003018AB">
        <w:rPr>
          <w:rFonts w:ascii="Times New Roman" w:hAnsi="Times New Roman" w:cs="Times New Roman"/>
          <w:sz w:val="24"/>
          <w:szCs w:val="24"/>
        </w:rPr>
        <w:t xml:space="preserve"> (i.e., same effects)</w:t>
      </w:r>
      <w:r w:rsidR="00D624CE">
        <w:rPr>
          <w:rFonts w:ascii="Times New Roman" w:hAnsi="Times New Roman" w:cs="Times New Roman"/>
          <w:sz w:val="24"/>
          <w:szCs w:val="24"/>
        </w:rPr>
        <w:t xml:space="preserve">. </w:t>
      </w:r>
      <w:r w:rsidR="00D624CE" w:rsidRPr="00D624CE">
        <w:rPr>
          <w:rFonts w:ascii="Times New Roman" w:hAnsi="Times New Roman" w:cs="Times New Roman"/>
          <w:sz w:val="24"/>
          <w:szCs w:val="24"/>
        </w:rPr>
        <w:t>The elimination of out-of-pocket costs were estimated to result in more individuals having surgery</w:t>
      </w:r>
      <w:r w:rsidR="00D624CE">
        <w:rPr>
          <w:rFonts w:ascii="Times New Roman" w:hAnsi="Times New Roman" w:cs="Times New Roman"/>
          <w:sz w:val="24"/>
          <w:szCs w:val="24"/>
        </w:rPr>
        <w:t xml:space="preserve"> (</w:t>
      </w:r>
      <w:r w:rsidR="00D624CE" w:rsidRPr="00D624CE">
        <w:rPr>
          <w:rFonts w:ascii="Times New Roman" w:hAnsi="Times New Roman" w:cs="Times New Roman"/>
          <w:sz w:val="24"/>
          <w:szCs w:val="24"/>
        </w:rPr>
        <w:t>from 1668 to 2326</w:t>
      </w:r>
      <w:r w:rsidR="00D624CE">
        <w:rPr>
          <w:rFonts w:ascii="Times New Roman" w:hAnsi="Times New Roman" w:cs="Times New Roman"/>
          <w:sz w:val="24"/>
          <w:szCs w:val="24"/>
        </w:rPr>
        <w:t xml:space="preserve"> surgeries among</w:t>
      </w:r>
      <w:r w:rsidR="00D624CE" w:rsidRPr="00D624CE">
        <w:rPr>
          <w:rFonts w:ascii="Times New Roman" w:hAnsi="Times New Roman" w:cs="Times New Roman"/>
          <w:sz w:val="24"/>
          <w:szCs w:val="24"/>
        </w:rPr>
        <w:t xml:space="preserve"> males and from 8728 to 12,185 </w:t>
      </w:r>
      <w:r w:rsidR="00D624CE">
        <w:rPr>
          <w:rFonts w:ascii="Times New Roman" w:hAnsi="Times New Roman" w:cs="Times New Roman"/>
          <w:sz w:val="24"/>
          <w:szCs w:val="24"/>
        </w:rPr>
        <w:t xml:space="preserve">among </w:t>
      </w:r>
      <w:r w:rsidR="00D624CE" w:rsidRPr="00D624CE">
        <w:rPr>
          <w:rFonts w:ascii="Times New Roman" w:hAnsi="Times New Roman" w:cs="Times New Roman"/>
          <w:sz w:val="24"/>
          <w:szCs w:val="24"/>
        </w:rPr>
        <w:t>females</w:t>
      </w:r>
      <w:r w:rsidR="00D624CE">
        <w:rPr>
          <w:rFonts w:ascii="Times New Roman" w:hAnsi="Times New Roman" w:cs="Times New Roman"/>
          <w:sz w:val="24"/>
          <w:szCs w:val="24"/>
        </w:rPr>
        <w:t>)</w:t>
      </w:r>
      <w:r w:rsidR="00D624CE" w:rsidRPr="00D624CE">
        <w:rPr>
          <w:rFonts w:ascii="Times New Roman" w:hAnsi="Times New Roman" w:cs="Times New Roman"/>
          <w:sz w:val="24"/>
          <w:szCs w:val="24"/>
        </w:rPr>
        <w:t>.</w:t>
      </w:r>
      <w:r w:rsidR="002C5311">
        <w:rPr>
          <w:rFonts w:ascii="Times New Roman" w:hAnsi="Times New Roman" w:cs="Times New Roman"/>
          <w:sz w:val="24"/>
          <w:szCs w:val="24"/>
        </w:rPr>
        <w:t xml:space="preserve"> A</w:t>
      </w:r>
      <w:r w:rsidR="002C5311" w:rsidRPr="002C5311">
        <w:rPr>
          <w:rFonts w:ascii="Times New Roman" w:hAnsi="Times New Roman" w:cs="Times New Roman"/>
          <w:sz w:val="24"/>
          <w:szCs w:val="24"/>
        </w:rPr>
        <w:t xml:space="preserve"> net of 1,732 cases of </w:t>
      </w:r>
      <w:r w:rsidR="002E28BA">
        <w:rPr>
          <w:rFonts w:ascii="Times New Roman" w:hAnsi="Times New Roman" w:cs="Times New Roman"/>
          <w:sz w:val="24"/>
          <w:szCs w:val="24"/>
        </w:rPr>
        <w:t>c</w:t>
      </w:r>
      <w:r w:rsidR="002C5311">
        <w:rPr>
          <w:rFonts w:ascii="Times New Roman" w:hAnsi="Times New Roman" w:cs="Times New Roman"/>
          <w:sz w:val="24"/>
          <w:szCs w:val="24"/>
        </w:rPr>
        <w:t>atastrophic health expenditures were</w:t>
      </w:r>
      <w:r w:rsidR="002C5311" w:rsidRPr="002C5311">
        <w:rPr>
          <w:rFonts w:ascii="Times New Roman" w:hAnsi="Times New Roman" w:cs="Times New Roman"/>
          <w:sz w:val="24"/>
          <w:szCs w:val="24"/>
        </w:rPr>
        <w:t xml:space="preserve"> averted from program A and 5,473 cases from program B. </w:t>
      </w:r>
      <w:r w:rsidR="002C5311">
        <w:rPr>
          <w:rFonts w:ascii="Times New Roman" w:hAnsi="Times New Roman" w:cs="Times New Roman"/>
          <w:sz w:val="24"/>
          <w:szCs w:val="24"/>
        </w:rPr>
        <w:t xml:space="preserve">About </w:t>
      </w:r>
      <w:r w:rsidR="002C5311" w:rsidRPr="002C5311">
        <w:rPr>
          <w:rFonts w:ascii="Times New Roman" w:hAnsi="Times New Roman" w:cs="Times New Roman"/>
          <w:sz w:val="24"/>
          <w:szCs w:val="24"/>
        </w:rPr>
        <w:t>115 poverty cases</w:t>
      </w:r>
      <w:r w:rsidR="00F75C4C">
        <w:rPr>
          <w:rFonts w:ascii="Times New Roman" w:hAnsi="Times New Roman" w:cs="Times New Roman"/>
          <w:sz w:val="24"/>
          <w:szCs w:val="24"/>
        </w:rPr>
        <w:t xml:space="preserve"> were</w:t>
      </w:r>
      <w:r w:rsidR="002C5311" w:rsidRPr="002C5311">
        <w:rPr>
          <w:rFonts w:ascii="Times New Roman" w:hAnsi="Times New Roman" w:cs="Times New Roman"/>
          <w:sz w:val="24"/>
          <w:szCs w:val="24"/>
        </w:rPr>
        <w:t xml:space="preserve"> averted from program A and 493 poverty cases </w:t>
      </w:r>
      <w:r w:rsidR="00F75C4C">
        <w:rPr>
          <w:rFonts w:ascii="Times New Roman" w:hAnsi="Times New Roman" w:cs="Times New Roman"/>
          <w:sz w:val="24"/>
          <w:szCs w:val="24"/>
        </w:rPr>
        <w:t>were</w:t>
      </w:r>
      <w:r w:rsidR="00F75C4C" w:rsidRPr="002C5311">
        <w:rPr>
          <w:rFonts w:ascii="Times New Roman" w:hAnsi="Times New Roman" w:cs="Times New Roman"/>
          <w:sz w:val="24"/>
          <w:szCs w:val="24"/>
        </w:rPr>
        <w:t xml:space="preserve"> averted </w:t>
      </w:r>
      <w:r w:rsidR="002C5311" w:rsidRPr="002C5311">
        <w:rPr>
          <w:rFonts w:ascii="Times New Roman" w:hAnsi="Times New Roman" w:cs="Times New Roman"/>
          <w:sz w:val="24"/>
          <w:szCs w:val="24"/>
        </w:rPr>
        <w:t xml:space="preserve">from program B. </w:t>
      </w:r>
      <w:r w:rsidR="007E289B" w:rsidRPr="007E289B">
        <w:rPr>
          <w:rFonts w:ascii="Times New Roman" w:hAnsi="Times New Roman" w:cs="Times New Roman"/>
          <w:sz w:val="24"/>
          <w:szCs w:val="24"/>
        </w:rPr>
        <w:fldChar w:fldCharType="begin" w:fldLock="1"/>
      </w:r>
      <w:r w:rsidR="007E289B" w:rsidRPr="007E289B">
        <w:rPr>
          <w:rFonts w:ascii="Times New Roman" w:hAnsi="Times New Roman" w:cs="Times New Roman"/>
          <w:sz w:val="24"/>
          <w:szCs w:val="24"/>
        </w:rPr>
        <w:instrText>ADDIN CSL_CITATION {"citationItems":[{"id":"ITEM-1","itemData":{"DOI":"10.1080/23288604.2017.1413494","author":[{"dropping-particle":"","family":"Postolovska","given":"Iryna","non-dropping-particle":"","parse-names":false,"suffix":""},{"dropping-particle":"","family":"Lavado","given":"Rouselle","non-dropping-particle":"","parse-names":false,"suffix":""},{"dropping-particle":"","family":"Tarr","given":"Gillian","non-dropping-particle":"","parse-names":false,"suffix":""},{"dropping-particle":"","family":"Verguet","given":"Stéphane","non-dropping-particle":"","parse-names":false,"suffix":""},{"dropping-particle":"","family":"Iryna","given":"Francis","non-dropping-particle":"","parse-names":false,"suffix":""},{"dropping-particle":"","family":"Postolovska","given":"Iryna","non-dropping-particle":"","parse-names":false,"suffix":""},{"dropping-particle":"","family":"Lavado","given":"Rouselle","non-dropping-particle":"","parse-names":false,"suffix":""},{"dropping-particle":"","family":"Tarr","given":"Gillian","non-dropping-particle":"","parse-names":false,"suffix":""}],"id":"ITEM-1","issued":{"date-parts":[["2018"]]},"title":"The Health Gains , Financial Risk Protection Benefits , and Distributional Impact of Increased Tobacco Taxes in Armenia The Health Gains , Financial Risk Protection Benefits , and Distributional Impact of Increased Tobacco Taxes in Armenia","type":"article-journal","volume":"8604"},"uris":["http://www.mendeley.com/documents/?uuid=e49b6d89-8a31-4674-9477-d2323605a0de"]}],"mendeley":{"formattedCitation":"(Postolovska et al., 2018)","manualFormatting":"Postolovska et al. (2018)","plainTextFormattedCitation":"(Postolovska et al., 2018)","previouslyFormattedCitation":"(Postolovska et al., 2018)"},"properties":{"noteIndex":0},"schema":"https://github.com/citation-style-language/schema/raw/master/csl-citation.json"}</w:instrText>
      </w:r>
      <w:r w:rsidR="007E289B" w:rsidRPr="007E289B">
        <w:rPr>
          <w:rFonts w:ascii="Times New Roman" w:hAnsi="Times New Roman" w:cs="Times New Roman"/>
          <w:sz w:val="24"/>
          <w:szCs w:val="24"/>
        </w:rPr>
        <w:fldChar w:fldCharType="separate"/>
      </w:r>
      <w:r w:rsidR="007E289B" w:rsidRPr="007E289B">
        <w:rPr>
          <w:rFonts w:ascii="Times New Roman" w:hAnsi="Times New Roman" w:cs="Times New Roman"/>
          <w:noProof/>
          <w:sz w:val="24"/>
          <w:szCs w:val="24"/>
        </w:rPr>
        <w:t>Postolovska et al. (2018)</w:t>
      </w:r>
      <w:r w:rsidR="007E289B" w:rsidRPr="007E289B">
        <w:rPr>
          <w:rFonts w:ascii="Times New Roman" w:hAnsi="Times New Roman" w:cs="Times New Roman"/>
          <w:sz w:val="24"/>
          <w:szCs w:val="24"/>
        </w:rPr>
        <w:fldChar w:fldCharType="end"/>
      </w:r>
      <w:r w:rsidR="007E289B">
        <w:rPr>
          <w:rFonts w:ascii="Times New Roman" w:hAnsi="Times New Roman" w:cs="Times New Roman"/>
          <w:sz w:val="24"/>
          <w:szCs w:val="24"/>
        </w:rPr>
        <w:t xml:space="preserve"> </w:t>
      </w:r>
      <w:r w:rsidR="00F02442">
        <w:rPr>
          <w:rFonts w:ascii="Times New Roman" w:hAnsi="Times New Roman" w:cs="Times New Roman"/>
          <w:sz w:val="24"/>
          <w:szCs w:val="24"/>
        </w:rPr>
        <w:t>used the ECEA to e</w:t>
      </w:r>
      <w:r w:rsidR="00F02442" w:rsidRPr="00F02442">
        <w:rPr>
          <w:rFonts w:ascii="Times New Roman" w:hAnsi="Times New Roman" w:cs="Times New Roman"/>
          <w:sz w:val="24"/>
          <w:szCs w:val="24"/>
        </w:rPr>
        <w:t>xamine the health and non-health impacts of increasing excise tax on tobacco in Armenia.</w:t>
      </w:r>
      <w:r w:rsidR="00B54F9A">
        <w:rPr>
          <w:rFonts w:ascii="Times New Roman" w:hAnsi="Times New Roman" w:cs="Times New Roman"/>
          <w:sz w:val="24"/>
          <w:szCs w:val="24"/>
        </w:rPr>
        <w:t xml:space="preserve"> They found that </w:t>
      </w:r>
      <w:r w:rsidR="00375477">
        <w:rPr>
          <w:rFonts w:ascii="Times New Roman" w:hAnsi="Times New Roman" w:cs="Times New Roman"/>
          <w:sz w:val="24"/>
          <w:szCs w:val="24"/>
        </w:rPr>
        <w:t>a</w:t>
      </w:r>
      <w:r w:rsidR="00375477" w:rsidRPr="00375477">
        <w:rPr>
          <w:rFonts w:ascii="Times New Roman" w:hAnsi="Times New Roman" w:cs="Times New Roman"/>
          <w:sz w:val="24"/>
          <w:szCs w:val="24"/>
        </w:rPr>
        <w:t xml:space="preserve">bout 88,000 premature deaths </w:t>
      </w:r>
      <w:r w:rsidR="00375477">
        <w:rPr>
          <w:rFonts w:ascii="Times New Roman" w:hAnsi="Times New Roman" w:cs="Times New Roman"/>
          <w:sz w:val="24"/>
          <w:szCs w:val="24"/>
        </w:rPr>
        <w:t>were</w:t>
      </w:r>
      <w:r w:rsidR="00375477" w:rsidRPr="00375477">
        <w:rPr>
          <w:rFonts w:ascii="Times New Roman" w:hAnsi="Times New Roman" w:cs="Times New Roman"/>
          <w:sz w:val="24"/>
          <w:szCs w:val="24"/>
        </w:rPr>
        <w:t xml:space="preserve"> averted</w:t>
      </w:r>
      <w:r w:rsidR="00375477">
        <w:rPr>
          <w:rFonts w:ascii="Times New Roman" w:hAnsi="Times New Roman" w:cs="Times New Roman"/>
          <w:sz w:val="24"/>
          <w:szCs w:val="24"/>
        </w:rPr>
        <w:t xml:space="preserve">, </w:t>
      </w:r>
      <w:r w:rsidR="00375477" w:rsidRPr="00375477">
        <w:rPr>
          <w:rFonts w:ascii="Times New Roman" w:hAnsi="Times New Roman" w:cs="Times New Roman"/>
          <w:sz w:val="24"/>
          <w:szCs w:val="24"/>
        </w:rPr>
        <w:t xml:space="preserve">OOP expenditures </w:t>
      </w:r>
      <w:r w:rsidR="00375477">
        <w:rPr>
          <w:rFonts w:ascii="Times New Roman" w:hAnsi="Times New Roman" w:cs="Times New Roman"/>
          <w:sz w:val="24"/>
          <w:szCs w:val="24"/>
        </w:rPr>
        <w:t>from</w:t>
      </w:r>
      <w:r w:rsidR="00375477" w:rsidRPr="00375477">
        <w:rPr>
          <w:rFonts w:ascii="Times New Roman" w:hAnsi="Times New Roman" w:cs="Times New Roman"/>
          <w:sz w:val="24"/>
          <w:szCs w:val="24"/>
        </w:rPr>
        <w:t xml:space="preserve"> tobacco-related disease treatment </w:t>
      </w:r>
      <w:r w:rsidR="00375477" w:rsidRPr="00375477">
        <w:rPr>
          <w:rFonts w:ascii="Times New Roman" w:hAnsi="Times New Roman" w:cs="Times New Roman"/>
          <w:sz w:val="24"/>
          <w:szCs w:val="24"/>
        </w:rPr>
        <w:lastRenderedPageBreak/>
        <w:t>averted was US$ 63 million</w:t>
      </w:r>
      <w:r w:rsidR="002E28BA">
        <w:rPr>
          <w:rFonts w:ascii="Times New Roman" w:hAnsi="Times New Roman" w:cs="Times New Roman"/>
          <w:sz w:val="24"/>
          <w:szCs w:val="24"/>
        </w:rPr>
        <w:t>, p</w:t>
      </w:r>
      <w:r w:rsidR="00375477" w:rsidRPr="00375477">
        <w:rPr>
          <w:rFonts w:ascii="Times New Roman" w:hAnsi="Times New Roman" w:cs="Times New Roman"/>
          <w:sz w:val="24"/>
          <w:szCs w:val="24"/>
        </w:rPr>
        <w:t xml:space="preserve">overty cases averted </w:t>
      </w:r>
      <w:r w:rsidR="002E28BA">
        <w:rPr>
          <w:rFonts w:ascii="Times New Roman" w:hAnsi="Times New Roman" w:cs="Times New Roman"/>
          <w:sz w:val="24"/>
          <w:szCs w:val="24"/>
        </w:rPr>
        <w:t>were</w:t>
      </w:r>
      <w:r w:rsidR="00375477" w:rsidRPr="00375477">
        <w:rPr>
          <w:rFonts w:ascii="Times New Roman" w:hAnsi="Times New Roman" w:cs="Times New Roman"/>
          <w:sz w:val="24"/>
          <w:szCs w:val="24"/>
        </w:rPr>
        <w:t xml:space="preserve"> 22000</w:t>
      </w:r>
      <w:r w:rsidR="002E28BA">
        <w:rPr>
          <w:rFonts w:ascii="Times New Roman" w:hAnsi="Times New Roman" w:cs="Times New Roman"/>
          <w:sz w:val="24"/>
          <w:szCs w:val="24"/>
        </w:rPr>
        <w:t>,</w:t>
      </w:r>
      <w:r w:rsidR="00375477" w:rsidRPr="00375477">
        <w:rPr>
          <w:rFonts w:ascii="Times New Roman" w:hAnsi="Times New Roman" w:cs="Times New Roman"/>
          <w:sz w:val="24"/>
          <w:szCs w:val="24"/>
        </w:rPr>
        <w:t xml:space="preserve"> </w:t>
      </w:r>
      <w:r w:rsidR="002E28BA">
        <w:rPr>
          <w:rFonts w:ascii="Times New Roman" w:hAnsi="Times New Roman" w:cs="Times New Roman"/>
          <w:sz w:val="24"/>
          <w:szCs w:val="24"/>
        </w:rPr>
        <w:t>c</w:t>
      </w:r>
      <w:r w:rsidR="00375477" w:rsidRPr="00375477">
        <w:rPr>
          <w:rFonts w:ascii="Times New Roman" w:hAnsi="Times New Roman" w:cs="Times New Roman"/>
          <w:sz w:val="24"/>
          <w:szCs w:val="24"/>
        </w:rPr>
        <w:t xml:space="preserve">ases of </w:t>
      </w:r>
      <w:r w:rsidR="002E28BA">
        <w:rPr>
          <w:rFonts w:ascii="Times New Roman" w:hAnsi="Times New Roman" w:cs="Times New Roman"/>
          <w:sz w:val="24"/>
          <w:szCs w:val="24"/>
        </w:rPr>
        <w:t xml:space="preserve">catastrophic health expenditures </w:t>
      </w:r>
      <w:r w:rsidR="00375477" w:rsidRPr="00375477">
        <w:rPr>
          <w:rFonts w:ascii="Times New Roman" w:hAnsi="Times New Roman" w:cs="Times New Roman"/>
          <w:sz w:val="24"/>
          <w:szCs w:val="24"/>
        </w:rPr>
        <w:t>averted w</w:t>
      </w:r>
      <w:r w:rsidR="00152AFA">
        <w:rPr>
          <w:rFonts w:ascii="Times New Roman" w:hAnsi="Times New Roman" w:cs="Times New Roman"/>
          <w:sz w:val="24"/>
          <w:szCs w:val="24"/>
        </w:rPr>
        <w:t>ere</w:t>
      </w:r>
      <w:r w:rsidR="00375477" w:rsidRPr="00375477">
        <w:rPr>
          <w:rFonts w:ascii="Times New Roman" w:hAnsi="Times New Roman" w:cs="Times New Roman"/>
          <w:sz w:val="24"/>
          <w:szCs w:val="24"/>
        </w:rPr>
        <w:t xml:space="preserve"> 33,000</w:t>
      </w:r>
      <w:r w:rsidR="002E28BA">
        <w:rPr>
          <w:rFonts w:ascii="Times New Roman" w:hAnsi="Times New Roman" w:cs="Times New Roman"/>
          <w:sz w:val="24"/>
          <w:szCs w:val="24"/>
        </w:rPr>
        <w:t xml:space="preserve"> and h</w:t>
      </w:r>
      <w:r w:rsidR="00375477" w:rsidRPr="00375477">
        <w:rPr>
          <w:rFonts w:ascii="Times New Roman" w:hAnsi="Times New Roman" w:cs="Times New Roman"/>
          <w:sz w:val="24"/>
          <w:szCs w:val="24"/>
        </w:rPr>
        <w:t xml:space="preserve">alf of tobacco-related premature deaths and 27% of associated poverty cases averted </w:t>
      </w:r>
      <w:r w:rsidR="00A74FFF">
        <w:rPr>
          <w:rFonts w:ascii="Times New Roman" w:hAnsi="Times New Roman" w:cs="Times New Roman"/>
          <w:sz w:val="24"/>
          <w:szCs w:val="24"/>
        </w:rPr>
        <w:t>were</w:t>
      </w:r>
      <w:r w:rsidR="0051162F">
        <w:rPr>
          <w:rFonts w:ascii="Times New Roman" w:hAnsi="Times New Roman" w:cs="Times New Roman"/>
          <w:sz w:val="24"/>
          <w:szCs w:val="24"/>
        </w:rPr>
        <w:t xml:space="preserve"> </w:t>
      </w:r>
      <w:r w:rsidR="00375477" w:rsidRPr="00375477">
        <w:rPr>
          <w:rFonts w:ascii="Times New Roman" w:hAnsi="Times New Roman" w:cs="Times New Roman"/>
          <w:sz w:val="24"/>
          <w:szCs w:val="24"/>
        </w:rPr>
        <w:t>concentrated among the bottom 40% of the income distribution population</w:t>
      </w:r>
      <w:r w:rsidR="00FF6B79">
        <w:rPr>
          <w:rFonts w:ascii="Times New Roman" w:hAnsi="Times New Roman" w:cs="Times New Roman"/>
          <w:sz w:val="24"/>
          <w:szCs w:val="24"/>
        </w:rPr>
        <w:t>.</w:t>
      </w:r>
      <w:r w:rsidR="00F2354B">
        <w:rPr>
          <w:rFonts w:ascii="Times New Roman" w:hAnsi="Times New Roman" w:cs="Times New Roman"/>
          <w:sz w:val="24"/>
          <w:szCs w:val="24"/>
        </w:rPr>
        <w:t xml:space="preserve"> </w:t>
      </w:r>
      <w:r w:rsidR="00F2354B" w:rsidRPr="00F2354B">
        <w:rPr>
          <w:rFonts w:ascii="Times New Roman" w:hAnsi="Times New Roman" w:cs="Times New Roman"/>
          <w:sz w:val="24"/>
          <w:szCs w:val="24"/>
        </w:rPr>
        <w:fldChar w:fldCharType="begin" w:fldLock="1"/>
      </w:r>
      <w:r w:rsidR="00F2354B" w:rsidRPr="00F2354B">
        <w:rPr>
          <w:rFonts w:ascii="Times New Roman" w:hAnsi="Times New Roman" w:cs="Times New Roman"/>
          <w:sz w:val="24"/>
          <w:szCs w:val="24"/>
        </w:rPr>
        <w:instrText>ADDIN CSL_CITATION {"citationItems":[{"id":"ITEM-1","itemData":{"DOI":"10.1093/heapol/czv023","ISSN":"14602237","PMID":"25841771","abstract":"The South African Government recently set targets to reduce cardiovascular disease (CVD) by lowering salt consumption. We conducted an extended cost-effectiveness analysis (ECEA) to model the potential health and economic impacts of this salt policy. We used surveys and epidemiologic studies to estimate reductions in CVD resulting from lower salt intake. We calculated the average out-of-pocket (OOP) cost of CVD care, using facility fee schedules and drug prices. We estimated the reduction in OOP expenditures and government subsidies due to the policy. We estimated public and private sector costs of policy implementation. We estimated financial risk protection (FRP) from the policy as (1) cases of catastrophic health expenditure (CHE) averted or (2) cases of poverty averted. We also performed a sensitivity analysis. We found that the salt policy could reduce CVD deaths by 11%, with similar health gains across income quintiles. The policy could save households US$ 4.06 million (2012) in OOP expenditures (US$ 0.29 per capita) and save the government US$ 51.25 million in healthcare subsidies (US$ 2.52 per capita) each year. The cost to the government would be only US$ 0.01 per capita; hence, the policy would be cost saving. If the private sector food reformulation costs were passed on to consumers, food expenditures would increase by &lt;0.2% across all income quintiles. Preventing CVD could avert 2400 cases of CHE or 2000 cases of poverty yearly. Our results were sensitive to baseline CVD mortality rates and the cost of treatment. We conclude that, in addition to health gains, population salt reduction can have positive economic impacts - substantially reducing OOP expenditures and providing FRP, particularly for the middle class. The policy could also provide large government savings on health care.","author":[{"dropping-particle":"","family":"Watkins","given":"David A.","non-dropping-particle":"","parse-names":false,"suffix":""},{"dropping-particle":"","family":"Olson","given":"Zachary D.","non-dropping-particle":"","parse-names":false,"suffix":""},{"dropping-particle":"","family":"Verguet","given":"Stéphane","non-dropping-particle":"","parse-names":false,"suffix":""},{"dropping-particle":"","family":"Nugent","given":"Rachel A.","non-dropping-particle":"","parse-names":false,"suffix":""},{"dropping-particle":"","family":"Jamison","given":"Dean T.","non-dropping-particle":"","parse-names":false,"suffix":""}],"container-title":"Health Policy and Planning","id":"ITEM-1","issue":"1","issued":{"date-parts":[["2016"]]},"page":"75-82","title":"Cardiovascular disease and impoverishment averted due to a salt reduction policy in South Africa: An extended cost-effectiveness analysis","type":"article-journal","volume":"31"},"uris":["http://www.mendeley.com/documents/?uuid=d679fbf4-82d3-45e6-be72-67eba9fe64ae"]}],"mendeley":{"formattedCitation":"(Watkins et al., 2016)","manualFormatting":"Watkins et al. (2016)","plainTextFormattedCitation":"(Watkins et al., 2016)","previouslyFormattedCitation":"(Watkins et al., 2016)"},"properties":{"noteIndex":0},"schema":"https://github.com/citation-style-language/schema/raw/master/csl-citation.json"}</w:instrText>
      </w:r>
      <w:r w:rsidR="00F2354B" w:rsidRPr="00F2354B">
        <w:rPr>
          <w:rFonts w:ascii="Times New Roman" w:hAnsi="Times New Roman" w:cs="Times New Roman"/>
          <w:sz w:val="24"/>
          <w:szCs w:val="24"/>
        </w:rPr>
        <w:fldChar w:fldCharType="separate"/>
      </w:r>
      <w:r w:rsidR="00F2354B" w:rsidRPr="00F2354B">
        <w:rPr>
          <w:rFonts w:ascii="Times New Roman" w:hAnsi="Times New Roman" w:cs="Times New Roman"/>
          <w:noProof/>
          <w:sz w:val="24"/>
          <w:szCs w:val="24"/>
        </w:rPr>
        <w:t>Watkins et al. (2016)</w:t>
      </w:r>
      <w:r w:rsidR="00F2354B" w:rsidRPr="00F2354B">
        <w:rPr>
          <w:rFonts w:ascii="Times New Roman" w:hAnsi="Times New Roman" w:cs="Times New Roman"/>
          <w:sz w:val="24"/>
          <w:szCs w:val="24"/>
        </w:rPr>
        <w:fldChar w:fldCharType="end"/>
      </w:r>
      <w:r w:rsidR="004D7A47">
        <w:rPr>
          <w:rFonts w:ascii="Times New Roman" w:hAnsi="Times New Roman" w:cs="Times New Roman"/>
          <w:sz w:val="24"/>
          <w:szCs w:val="24"/>
        </w:rPr>
        <w:t xml:space="preserve"> employed the ECEA to e</w:t>
      </w:r>
      <w:r w:rsidR="004D7A47" w:rsidRPr="004D7A47">
        <w:rPr>
          <w:rFonts w:ascii="Times New Roman" w:hAnsi="Times New Roman" w:cs="Times New Roman"/>
          <w:sz w:val="24"/>
          <w:szCs w:val="24"/>
        </w:rPr>
        <w:t>stimate the health and non-health impacts of a salt reduction policy on cardiovascular diseases (stroke, ischemic heart disease (IHD), hypertensive heart failure (HHF) and end-stage renal disease due to hypertension (ESRD)) in South Africa, across income quintiles.</w:t>
      </w:r>
      <w:r w:rsidR="003B3347">
        <w:rPr>
          <w:rFonts w:ascii="Times New Roman" w:hAnsi="Times New Roman" w:cs="Times New Roman"/>
          <w:sz w:val="24"/>
          <w:szCs w:val="24"/>
        </w:rPr>
        <w:t xml:space="preserve"> The intervention </w:t>
      </w:r>
      <w:r w:rsidR="00C50269">
        <w:rPr>
          <w:rFonts w:ascii="Times New Roman" w:hAnsi="Times New Roman" w:cs="Times New Roman"/>
          <w:sz w:val="24"/>
          <w:szCs w:val="24"/>
        </w:rPr>
        <w:t>considered</w:t>
      </w:r>
      <w:r w:rsidR="003B3347">
        <w:rPr>
          <w:rFonts w:ascii="Times New Roman" w:hAnsi="Times New Roman" w:cs="Times New Roman"/>
          <w:sz w:val="24"/>
          <w:szCs w:val="24"/>
        </w:rPr>
        <w:t xml:space="preserve"> the g</w:t>
      </w:r>
      <w:r w:rsidR="003B3347" w:rsidRPr="003B3347">
        <w:rPr>
          <w:rFonts w:ascii="Times New Roman" w:hAnsi="Times New Roman" w:cs="Times New Roman"/>
          <w:sz w:val="24"/>
          <w:szCs w:val="24"/>
        </w:rPr>
        <w:t xml:space="preserve">overnment’s target in salt consumption reduction </w:t>
      </w:r>
      <w:r w:rsidR="003B3347">
        <w:rPr>
          <w:rFonts w:ascii="Times New Roman" w:hAnsi="Times New Roman" w:cs="Times New Roman"/>
          <w:sz w:val="24"/>
          <w:szCs w:val="24"/>
        </w:rPr>
        <w:t xml:space="preserve">by </w:t>
      </w:r>
      <w:r w:rsidR="003B3347" w:rsidRPr="003B3347">
        <w:rPr>
          <w:rFonts w:ascii="Times New Roman" w:hAnsi="Times New Roman" w:cs="Times New Roman"/>
          <w:sz w:val="24"/>
          <w:szCs w:val="24"/>
        </w:rPr>
        <w:t xml:space="preserve">38% </w:t>
      </w:r>
      <w:r w:rsidR="00FA0B85">
        <w:rPr>
          <w:rFonts w:ascii="Times New Roman" w:hAnsi="Times New Roman" w:cs="Times New Roman"/>
          <w:sz w:val="24"/>
          <w:szCs w:val="24"/>
        </w:rPr>
        <w:t>(</w:t>
      </w:r>
      <w:r w:rsidR="003B3347">
        <w:rPr>
          <w:rFonts w:ascii="Times New Roman" w:hAnsi="Times New Roman" w:cs="Times New Roman"/>
          <w:sz w:val="24"/>
          <w:szCs w:val="24"/>
        </w:rPr>
        <w:t xml:space="preserve">from </w:t>
      </w:r>
      <w:r w:rsidR="003B3347" w:rsidRPr="003B3347">
        <w:rPr>
          <w:rFonts w:ascii="Times New Roman" w:hAnsi="Times New Roman" w:cs="Times New Roman"/>
          <w:sz w:val="24"/>
          <w:szCs w:val="24"/>
        </w:rPr>
        <w:t>8 g per person daily to 5 g per day</w:t>
      </w:r>
      <w:r w:rsidR="00FA0B85">
        <w:rPr>
          <w:rFonts w:ascii="Times New Roman" w:hAnsi="Times New Roman" w:cs="Times New Roman"/>
          <w:sz w:val="24"/>
          <w:szCs w:val="24"/>
        </w:rPr>
        <w:t>)</w:t>
      </w:r>
      <w:r w:rsidR="003B3347" w:rsidRPr="003B3347">
        <w:rPr>
          <w:rFonts w:ascii="Times New Roman" w:hAnsi="Times New Roman" w:cs="Times New Roman"/>
          <w:sz w:val="24"/>
          <w:szCs w:val="24"/>
        </w:rPr>
        <w:t>.</w:t>
      </w:r>
      <w:r w:rsidR="00660294">
        <w:rPr>
          <w:rFonts w:ascii="Times New Roman" w:hAnsi="Times New Roman" w:cs="Times New Roman"/>
          <w:sz w:val="24"/>
          <w:szCs w:val="24"/>
        </w:rPr>
        <w:t xml:space="preserve"> About</w:t>
      </w:r>
      <w:r w:rsidR="00660294" w:rsidRPr="00660294">
        <w:rPr>
          <w:rFonts w:ascii="Times New Roman" w:hAnsi="Times New Roman" w:cs="Times New Roman"/>
          <w:sz w:val="24"/>
          <w:szCs w:val="24"/>
        </w:rPr>
        <w:t xml:space="preserve"> 403 </w:t>
      </w:r>
      <w:r w:rsidR="00660294" w:rsidRPr="004D7A47">
        <w:rPr>
          <w:rFonts w:ascii="Times New Roman" w:hAnsi="Times New Roman" w:cs="Times New Roman"/>
          <w:sz w:val="24"/>
          <w:szCs w:val="24"/>
        </w:rPr>
        <w:t xml:space="preserve">cardiovascular diseases </w:t>
      </w:r>
      <w:r w:rsidR="00660294" w:rsidRPr="00660294">
        <w:rPr>
          <w:rFonts w:ascii="Times New Roman" w:hAnsi="Times New Roman" w:cs="Times New Roman"/>
          <w:sz w:val="24"/>
          <w:szCs w:val="24"/>
        </w:rPr>
        <w:t>deaths</w:t>
      </w:r>
      <w:r w:rsidR="00660294">
        <w:rPr>
          <w:rFonts w:ascii="Times New Roman" w:hAnsi="Times New Roman" w:cs="Times New Roman"/>
          <w:sz w:val="24"/>
          <w:szCs w:val="24"/>
        </w:rPr>
        <w:t xml:space="preserve"> were</w:t>
      </w:r>
      <w:r w:rsidR="00660294" w:rsidRPr="00660294">
        <w:rPr>
          <w:rFonts w:ascii="Times New Roman" w:hAnsi="Times New Roman" w:cs="Times New Roman"/>
          <w:sz w:val="24"/>
          <w:szCs w:val="24"/>
        </w:rPr>
        <w:t xml:space="preserve"> averted</w:t>
      </w:r>
      <w:r w:rsidR="00660294">
        <w:rPr>
          <w:rFonts w:ascii="Times New Roman" w:hAnsi="Times New Roman" w:cs="Times New Roman"/>
          <w:sz w:val="24"/>
          <w:szCs w:val="24"/>
        </w:rPr>
        <w:t>, a t</w:t>
      </w:r>
      <w:r w:rsidR="00660294" w:rsidRPr="00660294">
        <w:rPr>
          <w:rFonts w:ascii="Times New Roman" w:hAnsi="Times New Roman" w:cs="Times New Roman"/>
          <w:sz w:val="24"/>
          <w:szCs w:val="24"/>
        </w:rPr>
        <w:t xml:space="preserve">otal OOP savings </w:t>
      </w:r>
      <w:r w:rsidR="00660294">
        <w:rPr>
          <w:rFonts w:ascii="Times New Roman" w:hAnsi="Times New Roman" w:cs="Times New Roman"/>
          <w:sz w:val="24"/>
          <w:szCs w:val="24"/>
        </w:rPr>
        <w:t>of</w:t>
      </w:r>
      <w:r w:rsidR="00660294" w:rsidRPr="00660294">
        <w:rPr>
          <w:rFonts w:ascii="Times New Roman" w:hAnsi="Times New Roman" w:cs="Times New Roman"/>
          <w:sz w:val="24"/>
          <w:szCs w:val="24"/>
        </w:rPr>
        <w:t xml:space="preserve"> $294,860 </w:t>
      </w:r>
      <w:r w:rsidR="00660294">
        <w:rPr>
          <w:rFonts w:ascii="Times New Roman" w:hAnsi="Times New Roman" w:cs="Times New Roman"/>
          <w:sz w:val="24"/>
          <w:szCs w:val="24"/>
        </w:rPr>
        <w:t>were generated</w:t>
      </w:r>
      <w:r w:rsidR="00404699">
        <w:rPr>
          <w:rFonts w:ascii="Times New Roman" w:hAnsi="Times New Roman" w:cs="Times New Roman"/>
          <w:sz w:val="24"/>
          <w:szCs w:val="24"/>
        </w:rPr>
        <w:t>, catastrophic health expenditures</w:t>
      </w:r>
      <w:r w:rsidR="00404699" w:rsidRPr="00660294">
        <w:rPr>
          <w:rFonts w:ascii="Times New Roman" w:hAnsi="Times New Roman" w:cs="Times New Roman"/>
          <w:sz w:val="24"/>
          <w:szCs w:val="24"/>
        </w:rPr>
        <w:t xml:space="preserve"> </w:t>
      </w:r>
      <w:r w:rsidR="00660294" w:rsidRPr="00660294">
        <w:rPr>
          <w:rFonts w:ascii="Times New Roman" w:hAnsi="Times New Roman" w:cs="Times New Roman"/>
          <w:sz w:val="24"/>
          <w:szCs w:val="24"/>
        </w:rPr>
        <w:t xml:space="preserve">cases averted </w:t>
      </w:r>
      <w:r w:rsidR="00AA31E0">
        <w:rPr>
          <w:rFonts w:ascii="Times New Roman" w:hAnsi="Times New Roman" w:cs="Times New Roman"/>
          <w:sz w:val="24"/>
          <w:szCs w:val="24"/>
        </w:rPr>
        <w:t>were</w:t>
      </w:r>
      <w:r w:rsidR="00660294" w:rsidRPr="00660294">
        <w:rPr>
          <w:rFonts w:ascii="Times New Roman" w:hAnsi="Times New Roman" w:cs="Times New Roman"/>
          <w:sz w:val="24"/>
          <w:szCs w:val="24"/>
        </w:rPr>
        <w:t xml:space="preserve"> 175</w:t>
      </w:r>
      <w:r w:rsidR="00404699">
        <w:rPr>
          <w:rFonts w:ascii="Times New Roman" w:hAnsi="Times New Roman" w:cs="Times New Roman"/>
          <w:sz w:val="24"/>
          <w:szCs w:val="24"/>
        </w:rPr>
        <w:t>, p</w:t>
      </w:r>
      <w:r w:rsidR="00660294" w:rsidRPr="00660294">
        <w:rPr>
          <w:rFonts w:ascii="Times New Roman" w:hAnsi="Times New Roman" w:cs="Times New Roman"/>
          <w:sz w:val="24"/>
          <w:szCs w:val="24"/>
        </w:rPr>
        <w:t>overty cases averted w</w:t>
      </w:r>
      <w:r w:rsidR="00F37248">
        <w:rPr>
          <w:rFonts w:ascii="Times New Roman" w:hAnsi="Times New Roman" w:cs="Times New Roman"/>
          <w:sz w:val="24"/>
          <w:szCs w:val="24"/>
        </w:rPr>
        <w:t>ere</w:t>
      </w:r>
      <w:r w:rsidR="00660294" w:rsidRPr="00660294">
        <w:rPr>
          <w:rFonts w:ascii="Times New Roman" w:hAnsi="Times New Roman" w:cs="Times New Roman"/>
          <w:sz w:val="24"/>
          <w:szCs w:val="24"/>
        </w:rPr>
        <w:t xml:space="preserve"> 145</w:t>
      </w:r>
      <w:r w:rsidR="00404699">
        <w:rPr>
          <w:rFonts w:ascii="Times New Roman" w:hAnsi="Times New Roman" w:cs="Times New Roman"/>
          <w:sz w:val="24"/>
          <w:szCs w:val="24"/>
        </w:rPr>
        <w:t xml:space="preserve"> and m</w:t>
      </w:r>
      <w:r w:rsidR="00660294" w:rsidRPr="00660294">
        <w:rPr>
          <w:rFonts w:ascii="Times New Roman" w:hAnsi="Times New Roman" w:cs="Times New Roman"/>
          <w:sz w:val="24"/>
          <w:szCs w:val="24"/>
        </w:rPr>
        <w:t xml:space="preserve">ore </w:t>
      </w:r>
      <w:r w:rsidR="00404699">
        <w:rPr>
          <w:rFonts w:ascii="Times New Roman" w:hAnsi="Times New Roman" w:cs="Times New Roman"/>
          <w:sz w:val="24"/>
          <w:szCs w:val="24"/>
        </w:rPr>
        <w:t>catastrophic health expenditures</w:t>
      </w:r>
      <w:r w:rsidR="00404699" w:rsidRPr="00660294">
        <w:rPr>
          <w:rFonts w:ascii="Times New Roman" w:hAnsi="Times New Roman" w:cs="Times New Roman"/>
          <w:sz w:val="24"/>
          <w:szCs w:val="24"/>
        </w:rPr>
        <w:t xml:space="preserve"> </w:t>
      </w:r>
      <w:r w:rsidR="00660294" w:rsidRPr="00660294">
        <w:rPr>
          <w:rFonts w:ascii="Times New Roman" w:hAnsi="Times New Roman" w:cs="Times New Roman"/>
          <w:sz w:val="24"/>
          <w:szCs w:val="24"/>
        </w:rPr>
        <w:t>cases were averted in the upper income quintiles driven by more expensive care accesses by the wealthy</w:t>
      </w:r>
      <w:r w:rsidR="007A4BBA">
        <w:rPr>
          <w:rFonts w:ascii="Times New Roman" w:hAnsi="Times New Roman" w:cs="Times New Roman"/>
          <w:sz w:val="24"/>
          <w:szCs w:val="24"/>
        </w:rPr>
        <w:t>.</w:t>
      </w:r>
    </w:p>
    <w:p w14:paraId="69F513E6" w14:textId="424B464F" w:rsidR="003C451F" w:rsidRDefault="007A4BBA" w:rsidP="00150AC0">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1160E">
        <w:rPr>
          <w:rFonts w:ascii="Times New Roman" w:hAnsi="Times New Roman" w:cs="Times New Roman"/>
          <w:sz w:val="24"/>
          <w:szCs w:val="24"/>
        </w:rPr>
        <w:instrText>ADDIN CSL_CITATION {"citationItems":[{"id":"ITEM-1","itemData":{"ISBN":"1111111111","author":[{"dropping-particle":"","family":"Neve Jan-Walter, Rija L. Andriantavison, Kevin Croke","given":"Johannes Krisam","non-dropping-particle":"De","parse-names":false,"suffix":""},{"dropping-particle":"","family":"Voahirana H. Rajoela, Rary A. Rakotoarivony, Vale´ rie Rambeloson","given":"Linda Schultz","non-dropping-particle":"","parse-names":false,"suffix":""},{"dropping-particle":"","family":"Jumana Qamruddin","given":"Ste´phane Verguet","non-dropping-particle":"","parse-names":false,"suffix":""}],"id":"ITEM-1","issued":{"date-parts":[["2018"]]},"page":"1-17","title":"Health , financial , and education gains of investing in preventive chemotherapy for helminthiases , and lymphatic filariasis in Madagascar : A modeling study","type":"article-journal"},"uris":["http://www.mendeley.com/documents/?uuid=2fcf584d-08c6-4eee-a94a-5fab1a270eb9"]}],"mendeley":{"formattedCitation":"(De Neve Jan-Walter, Rija L. Andriantavison, Kevin Croke et al., 2018)","manualFormatting":"De Neve et al. (2018)","plainTextFormattedCitation":"(De Neve Jan-Walter, Rija L. Andriantavison, Kevin Croke et al., 2018)","previouslyFormattedCitation":"(De Neve Jan-Walter, Rija L. Andriantavison, Kevin Croke et al., 2018)"},"properties":{"noteIndex":0},"schema":"https://github.com/citation-style-language/schema/raw/master/csl-citation.json"}</w:instrText>
      </w:r>
      <w:r>
        <w:rPr>
          <w:rFonts w:ascii="Times New Roman" w:hAnsi="Times New Roman" w:cs="Times New Roman"/>
          <w:sz w:val="24"/>
          <w:szCs w:val="24"/>
        </w:rPr>
        <w:fldChar w:fldCharType="separate"/>
      </w:r>
      <w:r w:rsidRPr="007A4BBA">
        <w:rPr>
          <w:rFonts w:ascii="Times New Roman" w:hAnsi="Times New Roman" w:cs="Times New Roman"/>
          <w:noProof/>
          <w:sz w:val="24"/>
          <w:szCs w:val="24"/>
        </w:rPr>
        <w:t xml:space="preserve">De Neve et al. </w:t>
      </w:r>
      <w:r w:rsidR="005F3D8A">
        <w:rPr>
          <w:rFonts w:ascii="Times New Roman" w:hAnsi="Times New Roman" w:cs="Times New Roman"/>
          <w:noProof/>
          <w:sz w:val="24"/>
          <w:szCs w:val="24"/>
        </w:rPr>
        <w:t>(</w:t>
      </w:r>
      <w:r w:rsidRPr="007A4BBA">
        <w:rPr>
          <w:rFonts w:ascii="Times New Roman" w:hAnsi="Times New Roman" w:cs="Times New Roman"/>
          <w:noProof/>
          <w:sz w:val="24"/>
          <w:szCs w:val="24"/>
        </w:rPr>
        <w:t>2018)</w:t>
      </w:r>
      <w:r>
        <w:rPr>
          <w:rFonts w:ascii="Times New Roman" w:hAnsi="Times New Roman" w:cs="Times New Roman"/>
          <w:sz w:val="24"/>
          <w:szCs w:val="24"/>
        </w:rPr>
        <w:fldChar w:fldCharType="end"/>
      </w:r>
      <w:r w:rsidR="005F3D8A">
        <w:rPr>
          <w:rFonts w:ascii="Times New Roman" w:hAnsi="Times New Roman" w:cs="Times New Roman"/>
          <w:sz w:val="24"/>
          <w:szCs w:val="24"/>
        </w:rPr>
        <w:t xml:space="preserve"> </w:t>
      </w:r>
      <w:r w:rsidR="002B34ED">
        <w:rPr>
          <w:rFonts w:ascii="Times New Roman" w:hAnsi="Times New Roman" w:cs="Times New Roman"/>
          <w:sz w:val="24"/>
          <w:szCs w:val="24"/>
        </w:rPr>
        <w:t xml:space="preserve">employed the </w:t>
      </w:r>
      <w:r w:rsidR="002B34ED" w:rsidRPr="002B34ED">
        <w:rPr>
          <w:rFonts w:ascii="Times New Roman" w:hAnsi="Times New Roman" w:cs="Times New Roman"/>
          <w:sz w:val="24"/>
          <w:szCs w:val="24"/>
        </w:rPr>
        <w:t>extended cost-effectiveness analysis to assess the health</w:t>
      </w:r>
      <w:r w:rsidR="002B34ED">
        <w:rPr>
          <w:rFonts w:ascii="Times New Roman" w:hAnsi="Times New Roman" w:cs="Times New Roman"/>
          <w:sz w:val="24"/>
          <w:szCs w:val="24"/>
        </w:rPr>
        <w:t xml:space="preserve"> </w:t>
      </w:r>
      <w:r w:rsidR="002B34ED" w:rsidRPr="002B34ED">
        <w:rPr>
          <w:rFonts w:ascii="Times New Roman" w:hAnsi="Times New Roman" w:cs="Times New Roman"/>
          <w:sz w:val="24"/>
          <w:szCs w:val="24"/>
        </w:rPr>
        <w:t>gains (e.g.</w:t>
      </w:r>
      <w:r w:rsidR="00A217EC">
        <w:rPr>
          <w:rFonts w:ascii="Times New Roman" w:hAnsi="Times New Roman" w:cs="Times New Roman"/>
          <w:sz w:val="24"/>
          <w:szCs w:val="24"/>
        </w:rPr>
        <w:t>,</w:t>
      </w:r>
      <w:r w:rsidR="002B34ED" w:rsidRPr="002B34ED">
        <w:rPr>
          <w:rFonts w:ascii="Times New Roman" w:hAnsi="Times New Roman" w:cs="Times New Roman"/>
          <w:sz w:val="24"/>
          <w:szCs w:val="24"/>
        </w:rPr>
        <w:t xml:space="preserve"> infections, disability-adjusted life years or DALYs averted), household financial</w:t>
      </w:r>
      <w:r w:rsidR="002B34ED">
        <w:rPr>
          <w:rFonts w:ascii="Times New Roman" w:hAnsi="Times New Roman" w:cs="Times New Roman"/>
          <w:sz w:val="24"/>
          <w:szCs w:val="24"/>
        </w:rPr>
        <w:t xml:space="preserve"> </w:t>
      </w:r>
      <w:r w:rsidR="002B34ED" w:rsidRPr="002B34ED">
        <w:rPr>
          <w:rFonts w:ascii="Times New Roman" w:hAnsi="Times New Roman" w:cs="Times New Roman"/>
          <w:sz w:val="24"/>
          <w:szCs w:val="24"/>
        </w:rPr>
        <w:t>gains (</w:t>
      </w:r>
      <w:r w:rsidR="00A81701">
        <w:rPr>
          <w:rFonts w:ascii="Times New Roman" w:hAnsi="Times New Roman" w:cs="Times New Roman"/>
          <w:sz w:val="24"/>
          <w:szCs w:val="24"/>
        </w:rPr>
        <w:t xml:space="preserve">i.e., </w:t>
      </w:r>
      <w:r w:rsidR="002B34ED" w:rsidRPr="002B34ED">
        <w:rPr>
          <w:rFonts w:ascii="Times New Roman" w:hAnsi="Times New Roman" w:cs="Times New Roman"/>
          <w:sz w:val="24"/>
          <w:szCs w:val="24"/>
        </w:rPr>
        <w:t>out-of-pocket expenditures averted), and education gains (</w:t>
      </w:r>
      <w:r w:rsidR="00A81701">
        <w:rPr>
          <w:rFonts w:ascii="Times New Roman" w:hAnsi="Times New Roman" w:cs="Times New Roman"/>
          <w:sz w:val="24"/>
          <w:szCs w:val="24"/>
        </w:rPr>
        <w:t xml:space="preserve">i.e., </w:t>
      </w:r>
      <w:r w:rsidR="002B34ED" w:rsidRPr="002B34ED">
        <w:rPr>
          <w:rFonts w:ascii="Times New Roman" w:hAnsi="Times New Roman" w:cs="Times New Roman"/>
          <w:sz w:val="24"/>
          <w:szCs w:val="24"/>
        </w:rPr>
        <w:t>cases of school absenteeism</w:t>
      </w:r>
      <w:r w:rsidR="002B34ED">
        <w:rPr>
          <w:rFonts w:ascii="Times New Roman" w:hAnsi="Times New Roman" w:cs="Times New Roman"/>
          <w:sz w:val="24"/>
          <w:szCs w:val="24"/>
        </w:rPr>
        <w:t xml:space="preserve"> </w:t>
      </w:r>
      <w:r w:rsidR="002B34ED" w:rsidRPr="002B34ED">
        <w:rPr>
          <w:rFonts w:ascii="Times New Roman" w:hAnsi="Times New Roman" w:cs="Times New Roman"/>
          <w:sz w:val="24"/>
          <w:szCs w:val="24"/>
        </w:rPr>
        <w:t xml:space="preserve">averted) for five </w:t>
      </w:r>
      <w:r w:rsidR="00317111">
        <w:rPr>
          <w:rFonts w:ascii="Times New Roman" w:hAnsi="Times New Roman" w:cs="Times New Roman"/>
          <w:sz w:val="24"/>
          <w:szCs w:val="24"/>
        </w:rPr>
        <w:t>Neglected tropical diseases (</w:t>
      </w:r>
      <w:r w:rsidR="002B34ED" w:rsidRPr="002B34ED">
        <w:rPr>
          <w:rFonts w:ascii="Times New Roman" w:hAnsi="Times New Roman" w:cs="Times New Roman"/>
          <w:sz w:val="24"/>
          <w:szCs w:val="24"/>
        </w:rPr>
        <w:t>NTD</w:t>
      </w:r>
      <w:r w:rsidR="00317111">
        <w:rPr>
          <w:rFonts w:ascii="Times New Roman" w:hAnsi="Times New Roman" w:cs="Times New Roman"/>
          <w:sz w:val="24"/>
          <w:szCs w:val="24"/>
        </w:rPr>
        <w:t>)</w:t>
      </w:r>
      <w:r w:rsidR="002B34ED" w:rsidRPr="002B34ED">
        <w:rPr>
          <w:rFonts w:ascii="Times New Roman" w:hAnsi="Times New Roman" w:cs="Times New Roman"/>
          <w:sz w:val="24"/>
          <w:szCs w:val="24"/>
        </w:rPr>
        <w:t xml:space="preserve"> interventions that the government of Madagascar aim</w:t>
      </w:r>
      <w:r w:rsidR="00FC165E">
        <w:rPr>
          <w:rFonts w:ascii="Times New Roman" w:hAnsi="Times New Roman" w:cs="Times New Roman"/>
          <w:sz w:val="24"/>
          <w:szCs w:val="24"/>
        </w:rPr>
        <w:t>ed</w:t>
      </w:r>
      <w:r w:rsidR="002B34ED" w:rsidRPr="002B34ED">
        <w:rPr>
          <w:rFonts w:ascii="Times New Roman" w:hAnsi="Times New Roman" w:cs="Times New Roman"/>
          <w:sz w:val="24"/>
          <w:szCs w:val="24"/>
        </w:rPr>
        <w:t xml:space="preserve"> to roll out</w:t>
      </w:r>
      <w:r w:rsidR="002B34ED">
        <w:rPr>
          <w:rFonts w:ascii="Times New Roman" w:hAnsi="Times New Roman" w:cs="Times New Roman"/>
          <w:sz w:val="24"/>
          <w:szCs w:val="24"/>
        </w:rPr>
        <w:t xml:space="preserve"> </w:t>
      </w:r>
      <w:r w:rsidR="002B34ED" w:rsidRPr="002B34ED">
        <w:rPr>
          <w:rFonts w:ascii="Times New Roman" w:hAnsi="Times New Roman" w:cs="Times New Roman"/>
          <w:sz w:val="24"/>
          <w:szCs w:val="24"/>
        </w:rPr>
        <w:t>nationally.</w:t>
      </w:r>
      <w:r w:rsidR="00150AC0">
        <w:rPr>
          <w:rFonts w:ascii="Times New Roman" w:hAnsi="Times New Roman" w:cs="Times New Roman"/>
          <w:sz w:val="24"/>
          <w:szCs w:val="24"/>
        </w:rPr>
        <w:t xml:space="preserve"> </w:t>
      </w:r>
      <w:r w:rsidR="00150AC0" w:rsidRPr="00150AC0">
        <w:rPr>
          <w:rFonts w:ascii="Times New Roman" w:hAnsi="Times New Roman" w:cs="Times New Roman"/>
          <w:sz w:val="24"/>
          <w:szCs w:val="24"/>
        </w:rPr>
        <w:t>The five</w:t>
      </w:r>
      <w:r w:rsidR="00150AC0">
        <w:rPr>
          <w:rFonts w:ascii="Times New Roman" w:hAnsi="Times New Roman" w:cs="Times New Roman"/>
          <w:sz w:val="24"/>
          <w:szCs w:val="24"/>
        </w:rPr>
        <w:t xml:space="preserve"> </w:t>
      </w:r>
      <w:r w:rsidR="00150AC0" w:rsidRPr="00150AC0">
        <w:rPr>
          <w:rFonts w:ascii="Times New Roman" w:hAnsi="Times New Roman" w:cs="Times New Roman"/>
          <w:sz w:val="24"/>
          <w:szCs w:val="24"/>
        </w:rPr>
        <w:t>NTDs considered were schistosomiasis, lymphatic filariasis, and three</w:t>
      </w:r>
      <w:r w:rsidR="00150AC0">
        <w:rPr>
          <w:rFonts w:ascii="Times New Roman" w:hAnsi="Times New Roman" w:cs="Times New Roman"/>
          <w:sz w:val="24"/>
          <w:szCs w:val="24"/>
        </w:rPr>
        <w:t xml:space="preserve"> </w:t>
      </w:r>
      <w:r w:rsidR="00150AC0" w:rsidRPr="00150AC0">
        <w:rPr>
          <w:rFonts w:ascii="Times New Roman" w:hAnsi="Times New Roman" w:cs="Times New Roman"/>
          <w:sz w:val="24"/>
          <w:szCs w:val="24"/>
        </w:rPr>
        <w:t>soil-transmitted</w:t>
      </w:r>
      <w:r w:rsidR="00B124A1">
        <w:rPr>
          <w:rFonts w:ascii="Times New Roman" w:hAnsi="Times New Roman" w:cs="Times New Roman"/>
          <w:sz w:val="24"/>
          <w:szCs w:val="24"/>
        </w:rPr>
        <w:t xml:space="preserve"> </w:t>
      </w:r>
      <w:r w:rsidR="003260CA" w:rsidRPr="00150AC0">
        <w:rPr>
          <w:rFonts w:ascii="Times New Roman" w:hAnsi="Times New Roman" w:cs="Times New Roman"/>
          <w:sz w:val="24"/>
          <w:szCs w:val="24"/>
        </w:rPr>
        <w:t>helminthias</w:t>
      </w:r>
      <w:r w:rsidR="005228D6">
        <w:rPr>
          <w:rFonts w:ascii="Times New Roman" w:hAnsi="Times New Roman" w:cs="Times New Roman"/>
          <w:sz w:val="24"/>
          <w:szCs w:val="24"/>
        </w:rPr>
        <w:t>e</w:t>
      </w:r>
      <w:r w:rsidR="003260CA" w:rsidRPr="00150AC0">
        <w:rPr>
          <w:rFonts w:ascii="Times New Roman" w:hAnsi="Times New Roman" w:cs="Times New Roman"/>
          <w:sz w:val="24"/>
          <w:szCs w:val="24"/>
        </w:rPr>
        <w:t>s</w:t>
      </w:r>
      <w:r w:rsidR="00150AC0" w:rsidRPr="00150AC0">
        <w:rPr>
          <w:rFonts w:ascii="Times New Roman" w:hAnsi="Times New Roman" w:cs="Times New Roman"/>
          <w:sz w:val="24"/>
          <w:szCs w:val="24"/>
        </w:rPr>
        <w:t xml:space="preserve"> (</w:t>
      </w:r>
      <w:r w:rsidR="00150AC0" w:rsidRPr="00150AC0">
        <w:rPr>
          <w:rFonts w:ascii="Times New Roman" w:hAnsi="Times New Roman" w:cs="Times New Roman"/>
          <w:i/>
          <w:iCs/>
          <w:sz w:val="24"/>
          <w:szCs w:val="24"/>
        </w:rPr>
        <w:t>Ascaris lumbricoides</w:t>
      </w:r>
      <w:r w:rsidR="00150AC0" w:rsidRPr="00150AC0">
        <w:rPr>
          <w:rFonts w:ascii="Times New Roman" w:hAnsi="Times New Roman" w:cs="Times New Roman"/>
          <w:sz w:val="24"/>
          <w:szCs w:val="24"/>
        </w:rPr>
        <w:t xml:space="preserve">, </w:t>
      </w:r>
      <w:r w:rsidR="00150AC0" w:rsidRPr="00150AC0">
        <w:rPr>
          <w:rFonts w:ascii="Times New Roman" w:hAnsi="Times New Roman" w:cs="Times New Roman"/>
          <w:i/>
          <w:iCs/>
          <w:sz w:val="24"/>
          <w:szCs w:val="24"/>
        </w:rPr>
        <w:t xml:space="preserve">Trichuris </w:t>
      </w:r>
      <w:proofErr w:type="spellStart"/>
      <w:r w:rsidR="00150AC0" w:rsidRPr="00150AC0">
        <w:rPr>
          <w:rFonts w:ascii="Times New Roman" w:hAnsi="Times New Roman" w:cs="Times New Roman"/>
          <w:i/>
          <w:iCs/>
          <w:sz w:val="24"/>
          <w:szCs w:val="24"/>
        </w:rPr>
        <w:t>trichiura</w:t>
      </w:r>
      <w:proofErr w:type="spellEnd"/>
      <w:r w:rsidR="00150AC0" w:rsidRPr="00150AC0">
        <w:rPr>
          <w:rFonts w:ascii="Times New Roman" w:hAnsi="Times New Roman" w:cs="Times New Roman"/>
          <w:sz w:val="24"/>
          <w:szCs w:val="24"/>
        </w:rPr>
        <w:t>, and hookworm</w:t>
      </w:r>
      <w:r w:rsidR="00150AC0">
        <w:rPr>
          <w:rFonts w:ascii="Times New Roman" w:hAnsi="Times New Roman" w:cs="Times New Roman"/>
          <w:sz w:val="24"/>
          <w:szCs w:val="24"/>
        </w:rPr>
        <w:t xml:space="preserve"> </w:t>
      </w:r>
      <w:r w:rsidR="00150AC0" w:rsidRPr="00150AC0">
        <w:rPr>
          <w:rFonts w:ascii="Times New Roman" w:hAnsi="Times New Roman" w:cs="Times New Roman"/>
          <w:sz w:val="24"/>
          <w:szCs w:val="24"/>
        </w:rPr>
        <w:t>infections).</w:t>
      </w:r>
      <w:r w:rsidR="00866788">
        <w:rPr>
          <w:rFonts w:ascii="Times New Roman" w:hAnsi="Times New Roman" w:cs="Times New Roman"/>
          <w:sz w:val="24"/>
          <w:szCs w:val="24"/>
        </w:rPr>
        <w:t xml:space="preserve"> The results from the five </w:t>
      </w:r>
      <w:r w:rsidR="00866788" w:rsidRPr="002B34ED">
        <w:rPr>
          <w:rFonts w:ascii="Times New Roman" w:hAnsi="Times New Roman" w:cs="Times New Roman"/>
          <w:sz w:val="24"/>
          <w:szCs w:val="24"/>
        </w:rPr>
        <w:t>NTD interventions</w:t>
      </w:r>
      <w:r w:rsidR="00866788">
        <w:rPr>
          <w:rFonts w:ascii="Times New Roman" w:hAnsi="Times New Roman" w:cs="Times New Roman"/>
          <w:sz w:val="24"/>
          <w:szCs w:val="24"/>
        </w:rPr>
        <w:t xml:space="preserve"> are as follows. About 1,362,000 total infections were averted, 9,900 DALYs were averted, 113,000 household expenditures were </w:t>
      </w:r>
      <w:r w:rsidR="00CC06AB">
        <w:rPr>
          <w:rFonts w:ascii="Times New Roman" w:hAnsi="Times New Roman" w:cs="Times New Roman"/>
          <w:sz w:val="24"/>
          <w:szCs w:val="24"/>
        </w:rPr>
        <w:t>averted,</w:t>
      </w:r>
      <w:r w:rsidR="00866788">
        <w:rPr>
          <w:rFonts w:ascii="Times New Roman" w:hAnsi="Times New Roman" w:cs="Times New Roman"/>
          <w:sz w:val="24"/>
          <w:szCs w:val="24"/>
        </w:rPr>
        <w:t xml:space="preserve"> and 204,000 cases of school absenteeism were averted.</w:t>
      </w:r>
      <w:r w:rsidR="00150AC0">
        <w:rPr>
          <w:rFonts w:ascii="Times New Roman" w:hAnsi="Times New Roman" w:cs="Times New Roman"/>
          <w:sz w:val="24"/>
          <w:szCs w:val="24"/>
        </w:rPr>
        <w:t xml:space="preserve"> </w:t>
      </w:r>
    </w:p>
    <w:p w14:paraId="5CD51DCA" w14:textId="76E4A718" w:rsidR="00B84911" w:rsidRDefault="00B84911" w:rsidP="00150AC0">
      <w:pPr>
        <w:spacing w:line="480" w:lineRule="auto"/>
        <w:jc w:val="both"/>
        <w:rPr>
          <w:rFonts w:ascii="Times New Roman" w:hAnsi="Times New Roman" w:cs="Times New Roman"/>
          <w:sz w:val="24"/>
          <w:szCs w:val="24"/>
        </w:rPr>
      </w:pPr>
    </w:p>
    <w:p w14:paraId="3CEB4652" w14:textId="77777777" w:rsidR="00B84911" w:rsidRPr="007A28AF" w:rsidRDefault="00B84911" w:rsidP="00150AC0">
      <w:pPr>
        <w:spacing w:line="480" w:lineRule="auto"/>
        <w:jc w:val="both"/>
        <w:rPr>
          <w:rFonts w:ascii="Times New Roman" w:hAnsi="Times New Roman" w:cs="Times New Roman"/>
          <w:sz w:val="24"/>
          <w:szCs w:val="24"/>
        </w:rPr>
      </w:pPr>
    </w:p>
    <w:p w14:paraId="22AFF913" w14:textId="15CA6A2B" w:rsidR="00BB16C1" w:rsidRPr="00F870A1" w:rsidRDefault="00BB16C1" w:rsidP="00BB16C1">
      <w:pPr>
        <w:spacing w:line="480" w:lineRule="auto"/>
        <w:jc w:val="both"/>
        <w:rPr>
          <w:rFonts w:ascii="Times New Roman" w:hAnsi="Times New Roman" w:cs="Times New Roman"/>
          <w:i/>
          <w:iCs/>
          <w:sz w:val="24"/>
          <w:szCs w:val="24"/>
        </w:rPr>
      </w:pPr>
      <w:r w:rsidRPr="00FD2CE7">
        <w:rPr>
          <w:rFonts w:ascii="Times New Roman" w:hAnsi="Times New Roman" w:cs="Times New Roman"/>
          <w:i/>
          <w:iCs/>
          <w:sz w:val="24"/>
          <w:szCs w:val="24"/>
        </w:rPr>
        <w:lastRenderedPageBreak/>
        <w:t>Equity consideration (</w:t>
      </w:r>
      <w:r w:rsidR="00473555">
        <w:rPr>
          <w:rFonts w:ascii="Times New Roman" w:hAnsi="Times New Roman" w:cs="Times New Roman"/>
          <w:i/>
          <w:iCs/>
          <w:sz w:val="24"/>
          <w:szCs w:val="24"/>
        </w:rPr>
        <w:t xml:space="preserve">The </w:t>
      </w:r>
      <w:r w:rsidRPr="00FD2CE7">
        <w:rPr>
          <w:rFonts w:ascii="Times New Roman" w:hAnsi="Times New Roman" w:cs="Times New Roman"/>
          <w:i/>
          <w:iCs/>
          <w:sz w:val="24"/>
          <w:szCs w:val="24"/>
        </w:rPr>
        <w:t>PROGRESS framework</w:t>
      </w:r>
      <w:r>
        <w:rPr>
          <w:rFonts w:ascii="Times New Roman" w:hAnsi="Times New Roman" w:cs="Times New Roman"/>
          <w:i/>
          <w:iCs/>
          <w:sz w:val="24"/>
          <w:szCs w:val="24"/>
        </w:rPr>
        <w:t>)</w:t>
      </w:r>
    </w:p>
    <w:p w14:paraId="44BCBB98" w14:textId="28F58258" w:rsidR="00B43FA9" w:rsidRDefault="00D4003B"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The World Health Organization has defined health inequalities as the “differences in health status or in the distribution of health determinants between different population groups” (</w:t>
      </w:r>
      <w:r w:rsidRPr="007A28AF">
        <w:rPr>
          <w:rFonts w:ascii="Times New Roman" w:hAnsi="Times New Roman" w:cs="Times New Roman"/>
          <w:sz w:val="24"/>
          <w:szCs w:val="24"/>
        </w:rPr>
        <w:fldChar w:fldCharType="begin" w:fldLock="1"/>
      </w:r>
      <w:r w:rsidRPr="007A28AF">
        <w:rPr>
          <w:rFonts w:ascii="Times New Roman" w:hAnsi="Times New Roman" w:cs="Times New Roman"/>
          <w:sz w:val="24"/>
          <w:szCs w:val="24"/>
        </w:rPr>
        <w:instrText>ADDIN CSL_CITATION {"citationItems":[{"id":"ITEM-1","itemData":{"DOI":"10.1016/j.jclinepi.2013.08.005","ISSN":"08954356","abstract":"Objectives To assess the utility of an acronym, place of residence, race/ethnicity/culture/language, occupation, gender/sex, religion, education, socioeconomic status, and social capital (\"PROGRESS\"), in identifying factors that stratify health opportunities and outcomes. We explored the value of PROGRESS as an equity lens to assess effects of interventions on health equity. Study Design and Setting We assessed the utility of PROGRESS by using it in 11 systematic reviews and methodological studies published between 2008 and 2013. To develop the justification for each of the PROGRESS elements, we consulted experts to identify examples of unfair differences in disease burden and an intervention that can effectively address these health inequities. Results Each PROGRESS factor can be justified on the basis of unfair differences in disease burden and the potential for interventions to reduce these differential effects. We have not provided a rationale for why the difference exists but have attempted to explain why these differences may contribute to disadvantage and argue for their consideration in new evaluations, systematic reviews, and intervention implementation. Conclusion The acronym PROGRESS is a framework and aide-memoire that is useful in ensuring that an equity lens is applied in the conduct, reporting, and use of research. © 2014 Elsevier Inc. All rights reserved.","author":[{"dropping-particle":"","family":"O'Neill","given":"Jennifer","non-dropping-particle":"","parse-names":false,"suffix":""},{"dropping-particle":"","family":"Tabish","given":"Hilary","non-dropping-particle":"","parse-names":false,"suffix":""},{"dropping-particle":"","family":"Welch","given":"Vivian","non-dropping-particle":"","parse-names":false,"suffix":""},{"dropping-particle":"","family":"Petticrew","given":"Mark","non-dropping-particle":"","parse-names":false,"suffix":""},{"dropping-particle":"","family":"Pottie","given":"Kevin","non-dropping-particle":"","parse-names":false,"suffix":""},{"dropping-particle":"","family":"Clarke","given":"Mike","non-dropping-particle":"","parse-names":false,"suffix":""},{"dropping-particle":"","family":"Evans","given":"Tim","non-dropping-particle":"","parse-names":false,"suffix":""},{"dropping-particle":"","family":"Pardo Pardo","given":"Jordi","non-dropping-particle":"","parse-names":false,"suffix":""},{"dropping-particle":"","family":"Waters","given":"Elizabeth","non-dropping-particle":"","parse-names":false,"suffix":""},{"dropping-particle":"","family":"White","given":"Howard","non-dropping-particle":"","parse-names":false,"suffix":""},{"dropping-particle":"","family":"Tugwell","given":"Peter","non-dropping-particle":"","parse-names":false,"suffix":""}],"container-title":"Journal of Clinical Epidemiology","id":"ITEM-1","issue":"1","issued":{"date-parts":[["2014"]]},"page":"56-64","publisher":"Elsevier Inc","title":"Applying an equity lens to interventions: Using PROGRESS ensures consideration of socially stratifying factors to illuminate inequities in health","type":"article-journal","volume":"67"},"uris":["http://www.mendeley.com/documents/?uuid=98608ffb-ff9a-490f-a80a-15acd12d6600"]}],"mendeley":{"formattedCitation":"(O’Neill et al., 2014)","manualFormatting":"O’Neill et al., 2014)","plainTextFormattedCitation":"(O’Neill et al., 2014)","previouslyFormattedCitation":"(O’Neill et al., 2014)"},"properties":{"noteIndex":0},"schema":"https://github.com/citation-style-language/schema/raw/master/csl-citation.json"}</w:instrText>
      </w:r>
      <w:r w:rsidRPr="007A28AF">
        <w:rPr>
          <w:rFonts w:ascii="Times New Roman" w:hAnsi="Times New Roman" w:cs="Times New Roman"/>
          <w:sz w:val="24"/>
          <w:szCs w:val="24"/>
        </w:rPr>
        <w:fldChar w:fldCharType="separate"/>
      </w:r>
      <w:r w:rsidRPr="007A28AF">
        <w:rPr>
          <w:rFonts w:ascii="Times New Roman" w:hAnsi="Times New Roman" w:cs="Times New Roman"/>
          <w:noProof/>
          <w:sz w:val="24"/>
          <w:szCs w:val="24"/>
        </w:rPr>
        <w:t>O’Neill et al., 2014)</w:t>
      </w:r>
      <w:r w:rsidRPr="007A28AF">
        <w:rPr>
          <w:rFonts w:ascii="Times New Roman" w:hAnsi="Times New Roman" w:cs="Times New Roman"/>
          <w:sz w:val="24"/>
          <w:szCs w:val="24"/>
        </w:rPr>
        <w:fldChar w:fldCharType="end"/>
      </w:r>
      <w:r w:rsidRPr="007A28AF">
        <w:rPr>
          <w:rFonts w:ascii="Times New Roman" w:hAnsi="Times New Roman" w:cs="Times New Roman"/>
          <w:sz w:val="24"/>
          <w:szCs w:val="24"/>
        </w:rPr>
        <w:t>.</w:t>
      </w:r>
      <w:r>
        <w:rPr>
          <w:rFonts w:ascii="Times New Roman" w:hAnsi="Times New Roman" w:cs="Times New Roman"/>
          <w:sz w:val="24"/>
          <w:szCs w:val="24"/>
        </w:rPr>
        <w:t xml:space="preserve"> </w:t>
      </w:r>
      <w:r w:rsidR="00BB16C1" w:rsidRPr="007A28AF">
        <w:rPr>
          <w:rFonts w:ascii="Times New Roman" w:hAnsi="Times New Roman" w:cs="Times New Roman"/>
          <w:sz w:val="24"/>
          <w:szCs w:val="24"/>
        </w:rPr>
        <w:t xml:space="preserve">The health and non-health impacts of health interventions are stratified by equity-relevant variables </w:t>
      </w:r>
      <w:r w:rsidR="00BB16C1" w:rsidRPr="007A28AF">
        <w:rPr>
          <w:rFonts w:ascii="Times New Roman" w:hAnsi="Times New Roman" w:cs="Times New Roman"/>
          <w:sz w:val="24"/>
          <w:szCs w:val="24"/>
        </w:rPr>
        <w:fldChar w:fldCharType="begin" w:fldLock="1"/>
      </w:r>
      <w:r w:rsidR="00BB16C1" w:rsidRPr="007A28AF">
        <w:rPr>
          <w:rFonts w:ascii="Times New Roman" w:hAnsi="Times New Roman" w:cs="Times New Roman"/>
          <w:sz w:val="24"/>
          <w:szCs w:val="24"/>
        </w:rPr>
        <w:instrText>ADDIN CSL_CITATION {"citationItems":[{"id":"ITEM-1","itemData":{"DOI":"10.1007/s40273-016-0414-z","ISSN":"11792027","PMID":"27374172","abstract":"Health policy instruments such as the public financing of health technologies (e.g., new drugs, vaccines) entail consequences in multiple domains. Fundamentally, public health policies aim at increasing the uptake of effective and efficient interventions and at subsequently leading to better health benefits (e.g., premature mortality and morbidity averted). In addition, public health policies can provide non-health benefits in addition to the sole well-being of populations and beyond the health sector. For instance, public policies such as social and health insurance programs can prevent illness-related impoverishment and procure financial risk protection. Furthermore, public policies can improve the distribution of health in the population and promote the equalization of health among individuals. Extended cost-effectiveness analysis was developed to address health policy assessment, specifically to evaluate the health and financial consequences of public policies in four domains: (1) the health gains; (2) the financial risk protection benefits; (3) the total costs to the policy makers; and (4) the distributional benefits. Here, we present a tutorial that describes both the intent of extended cost-effectiveness analysis and its keys to allow easy implementation for health policy assessment.","author":[{"dropping-particle":"","family":"Verguet","given":"Stéphane","non-dropping-particle":"","parse-names":false,"suffix":""},{"dropping-particle":"","family":"Kim","given":"Jane J.","non-dropping-particle":"","parse-names":false,"suffix":""},{"dropping-particle":"","family":"Jamison","given":"Dean T.","non-dropping-particle":"","parse-names":false,"suffix":""}],"container-title":"PharmacoEconomics","id":"ITEM-1","issue":"9","issued":{"date-parts":[["2016"]]},"page":"913-923","title":"Extended Cost-Effectiveness Analysis for Health Policy Assessment: A Tutorial","type":"article-journal","volume":"34"},"uris":["http://www.mendeley.com/documents/?uuid=849005b7-bc2d-4e66-89ae-3b430f69d511"]}],"mendeley":{"formattedCitation":"(Verguet et al., 2016)","plainTextFormattedCitation":"(Verguet et al., 2016)","previouslyFormattedCitation":"(Verguet et al., 2016)"},"properties":{"noteIndex":0},"schema":"https://github.com/citation-style-language/schema/raw/master/csl-citation.json"}</w:instrText>
      </w:r>
      <w:r w:rsidR="00BB16C1" w:rsidRPr="007A28AF">
        <w:rPr>
          <w:rFonts w:ascii="Times New Roman" w:hAnsi="Times New Roman" w:cs="Times New Roman"/>
          <w:sz w:val="24"/>
          <w:szCs w:val="24"/>
        </w:rPr>
        <w:fldChar w:fldCharType="separate"/>
      </w:r>
      <w:r w:rsidR="00BB16C1" w:rsidRPr="007A28AF">
        <w:rPr>
          <w:rFonts w:ascii="Times New Roman" w:hAnsi="Times New Roman" w:cs="Times New Roman"/>
          <w:noProof/>
          <w:sz w:val="24"/>
          <w:szCs w:val="24"/>
        </w:rPr>
        <w:t>(Verguet et al., 2016)</w:t>
      </w:r>
      <w:r w:rsidR="00BB16C1" w:rsidRPr="007A28AF">
        <w:rPr>
          <w:rFonts w:ascii="Times New Roman" w:hAnsi="Times New Roman" w:cs="Times New Roman"/>
          <w:sz w:val="24"/>
          <w:szCs w:val="24"/>
        </w:rPr>
        <w:fldChar w:fldCharType="end"/>
      </w:r>
      <w:r w:rsidR="008D1165">
        <w:rPr>
          <w:rFonts w:ascii="Times New Roman" w:hAnsi="Times New Roman" w:cs="Times New Roman"/>
          <w:sz w:val="24"/>
          <w:szCs w:val="24"/>
        </w:rPr>
        <w:t xml:space="preserve"> denoted by the </w:t>
      </w:r>
      <w:r w:rsidR="008D1165" w:rsidRPr="007A28AF">
        <w:rPr>
          <w:rFonts w:ascii="Times New Roman" w:hAnsi="Times New Roman" w:cs="Times New Roman"/>
          <w:sz w:val="24"/>
          <w:szCs w:val="24"/>
        </w:rPr>
        <w:t>‘PROGRESS’</w:t>
      </w:r>
      <w:r w:rsidR="008D1165">
        <w:rPr>
          <w:rFonts w:ascii="Times New Roman" w:hAnsi="Times New Roman" w:cs="Times New Roman"/>
          <w:sz w:val="24"/>
          <w:szCs w:val="24"/>
        </w:rPr>
        <w:t xml:space="preserve"> acronym</w:t>
      </w:r>
      <w:r w:rsidR="00BB16C1" w:rsidRPr="007A28AF">
        <w:rPr>
          <w:rFonts w:ascii="Times New Roman" w:hAnsi="Times New Roman" w:cs="Times New Roman"/>
          <w:sz w:val="24"/>
          <w:szCs w:val="24"/>
        </w:rPr>
        <w:t xml:space="preserve">. </w:t>
      </w:r>
      <w:r w:rsidR="00BB16C1" w:rsidRPr="007A28AF">
        <w:rPr>
          <w:rFonts w:ascii="Times New Roman" w:hAnsi="Times New Roman" w:cs="Times New Roman"/>
          <w:sz w:val="24"/>
          <w:szCs w:val="24"/>
        </w:rPr>
        <w:fldChar w:fldCharType="begin" w:fldLock="1"/>
      </w:r>
      <w:r w:rsidR="00BB16C1" w:rsidRPr="007A28AF">
        <w:rPr>
          <w:rFonts w:ascii="Times New Roman" w:hAnsi="Times New Roman" w:cs="Times New Roman"/>
          <w:sz w:val="24"/>
          <w:szCs w:val="24"/>
        </w:rPr>
        <w:instrText>ADDIN CSL_CITATION {"citationItems":[{"id":"ITEM-1","itemData":{"DOI":"10.1016/j.jclinepi.2013.08.005","ISSN":"08954356","abstract":"Objectives To assess the utility of an acronym, place of residence, race/ethnicity/culture/language, occupation, gender/sex, religion, education, socioeconomic status, and social capital (\"PROGRESS\"), in identifying factors that stratify health opportunities and outcomes. We explored the value of PROGRESS as an equity lens to assess effects of interventions on health equity. Study Design and Setting We assessed the utility of PROGRESS by using it in 11 systematic reviews and methodological studies published between 2008 and 2013. To develop the justification for each of the PROGRESS elements, we consulted experts to identify examples of unfair differences in disease burden and an intervention that can effectively address these health inequities. Results Each PROGRESS factor can be justified on the basis of unfair differences in disease burden and the potential for interventions to reduce these differential effects. We have not provided a rationale for why the difference exists but have attempted to explain why these differences may contribute to disadvantage and argue for their consideration in new evaluations, systematic reviews, and intervention implementation. Conclusion The acronym PROGRESS is a framework and aide-memoire that is useful in ensuring that an equity lens is applied in the conduct, reporting, and use of research. © 2014 Elsevier Inc. All rights reserved.","author":[{"dropping-particle":"","family":"O'Neill","given":"Jennifer","non-dropping-particle":"","parse-names":false,"suffix":""},{"dropping-particle":"","family":"Tabish","given":"Hilary","non-dropping-particle":"","parse-names":false,"suffix":""},{"dropping-particle":"","family":"Welch","given":"Vivian","non-dropping-particle":"","parse-names":false,"suffix":""},{"dropping-particle":"","family":"Petticrew","given":"Mark","non-dropping-particle":"","parse-names":false,"suffix":""},{"dropping-particle":"","family":"Pottie","given":"Kevin","non-dropping-particle":"","parse-names":false,"suffix":""},{"dropping-particle":"","family":"Clarke","given":"Mike","non-dropping-particle":"","parse-names":false,"suffix":""},{"dropping-particle":"","family":"Evans","given":"Tim","non-dropping-particle":"","parse-names":false,"suffix":""},{"dropping-particle":"","family":"Pardo Pardo","given":"Jordi","non-dropping-particle":"","parse-names":false,"suffix":""},{"dropping-particle":"","family":"Waters","given":"Elizabeth","non-dropping-particle":"","parse-names":false,"suffix":""},{"dropping-particle":"","family":"White","given":"Howard","non-dropping-particle":"","parse-names":false,"suffix":""},{"dropping-particle":"","family":"Tugwell","given":"Peter","non-dropping-particle":"","parse-names":false,"suffix":""}],"container-title":"Journal of Clinical Epidemiology","id":"ITEM-1","issue":"1","issued":{"date-parts":[["2014"]]},"page":"56-64","publisher":"Elsevier Inc","title":"Applying an equity lens to interventions: Using PROGRESS ensures consideration of socially stratifying factors to illuminate inequities in health","type":"article-journal","volume":"67"},"uris":["http://www.mendeley.com/documents/?uuid=98608ffb-ff9a-490f-a80a-15acd12d6600"]}],"mendeley":{"formattedCitation":"(O’Neill et al., 2014)","manualFormatting":"O’Neill et al. (2014)","plainTextFormattedCitation":"(O’Neill et al., 2014)","previouslyFormattedCitation":"(O’Neill et al., 2014)"},"properties":{"noteIndex":0},"schema":"https://github.com/citation-style-language/schema/raw/master/csl-citation.json"}</w:instrText>
      </w:r>
      <w:r w:rsidR="00BB16C1" w:rsidRPr="007A28AF">
        <w:rPr>
          <w:rFonts w:ascii="Times New Roman" w:hAnsi="Times New Roman" w:cs="Times New Roman"/>
          <w:sz w:val="24"/>
          <w:szCs w:val="24"/>
        </w:rPr>
        <w:fldChar w:fldCharType="separate"/>
      </w:r>
      <w:r w:rsidR="00BB16C1" w:rsidRPr="007A28AF">
        <w:rPr>
          <w:rFonts w:ascii="Times New Roman" w:hAnsi="Times New Roman" w:cs="Times New Roman"/>
          <w:noProof/>
          <w:sz w:val="24"/>
          <w:szCs w:val="24"/>
        </w:rPr>
        <w:t>O’Neill et al. (2014)</w:t>
      </w:r>
      <w:r w:rsidR="00BB16C1" w:rsidRPr="007A28AF">
        <w:rPr>
          <w:rFonts w:ascii="Times New Roman" w:hAnsi="Times New Roman" w:cs="Times New Roman"/>
          <w:sz w:val="24"/>
          <w:szCs w:val="24"/>
        </w:rPr>
        <w:fldChar w:fldCharType="end"/>
      </w:r>
      <w:r w:rsidR="00BB16C1" w:rsidRPr="007A28AF">
        <w:rPr>
          <w:rFonts w:ascii="Times New Roman" w:hAnsi="Times New Roman" w:cs="Times New Roman"/>
          <w:sz w:val="24"/>
          <w:szCs w:val="24"/>
        </w:rPr>
        <w:t xml:space="preserve"> identifie</w:t>
      </w:r>
      <w:r w:rsidR="00A1291F">
        <w:rPr>
          <w:rFonts w:ascii="Times New Roman" w:hAnsi="Times New Roman" w:cs="Times New Roman"/>
          <w:sz w:val="24"/>
          <w:szCs w:val="24"/>
        </w:rPr>
        <w:t>d</w:t>
      </w:r>
      <w:r w:rsidR="00BB16C1" w:rsidRPr="007A28AF">
        <w:rPr>
          <w:rFonts w:ascii="Times New Roman" w:hAnsi="Times New Roman" w:cs="Times New Roman"/>
          <w:sz w:val="24"/>
          <w:szCs w:val="24"/>
        </w:rPr>
        <w:t xml:space="preserve"> an acronym ‘PROGRESS’ </w:t>
      </w:r>
      <w:r w:rsidR="004B51D6">
        <w:rPr>
          <w:rFonts w:ascii="Times New Roman" w:hAnsi="Times New Roman" w:cs="Times New Roman"/>
          <w:sz w:val="24"/>
          <w:szCs w:val="24"/>
        </w:rPr>
        <w:t>(See Table 3 in Appendix)</w:t>
      </w:r>
      <w:r w:rsidR="004B51D6" w:rsidRPr="007A28AF">
        <w:rPr>
          <w:rFonts w:ascii="Times New Roman" w:hAnsi="Times New Roman" w:cs="Times New Roman"/>
          <w:sz w:val="24"/>
          <w:szCs w:val="24"/>
        </w:rPr>
        <w:t xml:space="preserve"> </w:t>
      </w:r>
      <w:r w:rsidR="00BB16C1" w:rsidRPr="007A28AF">
        <w:rPr>
          <w:rFonts w:ascii="Times New Roman" w:hAnsi="Times New Roman" w:cs="Times New Roman"/>
          <w:sz w:val="24"/>
          <w:szCs w:val="24"/>
        </w:rPr>
        <w:t xml:space="preserve">which stands for Place of residence, Race/ethnicity/culture/language, Occupation, Gender/sex, Religion, </w:t>
      </w:r>
      <w:r w:rsidR="0047423B">
        <w:rPr>
          <w:rFonts w:ascii="Times New Roman" w:hAnsi="Times New Roman" w:cs="Times New Roman"/>
          <w:sz w:val="24"/>
          <w:szCs w:val="24"/>
        </w:rPr>
        <w:t>E</w:t>
      </w:r>
      <w:r w:rsidR="00BB16C1" w:rsidRPr="007A28AF">
        <w:rPr>
          <w:rFonts w:ascii="Times New Roman" w:hAnsi="Times New Roman" w:cs="Times New Roman"/>
          <w:sz w:val="24"/>
          <w:szCs w:val="24"/>
        </w:rPr>
        <w:t xml:space="preserve">ducation, </w:t>
      </w:r>
      <w:r w:rsidR="0047423B">
        <w:rPr>
          <w:rFonts w:ascii="Times New Roman" w:hAnsi="Times New Roman" w:cs="Times New Roman"/>
          <w:sz w:val="24"/>
          <w:szCs w:val="24"/>
        </w:rPr>
        <w:t>S</w:t>
      </w:r>
      <w:r w:rsidR="00BB16C1" w:rsidRPr="007A28AF">
        <w:rPr>
          <w:rFonts w:ascii="Times New Roman" w:hAnsi="Times New Roman" w:cs="Times New Roman"/>
          <w:sz w:val="24"/>
          <w:szCs w:val="24"/>
        </w:rPr>
        <w:t xml:space="preserve">ocioeconomic status, and </w:t>
      </w:r>
      <w:r w:rsidR="0047423B">
        <w:rPr>
          <w:rFonts w:ascii="Times New Roman" w:hAnsi="Times New Roman" w:cs="Times New Roman"/>
          <w:sz w:val="24"/>
          <w:szCs w:val="24"/>
        </w:rPr>
        <w:t>S</w:t>
      </w:r>
      <w:r w:rsidR="00BB16C1" w:rsidRPr="007A28AF">
        <w:rPr>
          <w:rFonts w:ascii="Times New Roman" w:hAnsi="Times New Roman" w:cs="Times New Roman"/>
          <w:sz w:val="24"/>
          <w:szCs w:val="24"/>
        </w:rPr>
        <w:t xml:space="preserve">ocial capital </w:t>
      </w:r>
      <w:r w:rsidR="00BB16C1" w:rsidRPr="007A28AF">
        <w:rPr>
          <w:rFonts w:ascii="Times New Roman" w:hAnsi="Times New Roman" w:cs="Times New Roman"/>
          <w:sz w:val="24"/>
          <w:szCs w:val="24"/>
        </w:rPr>
        <w:fldChar w:fldCharType="begin" w:fldLock="1"/>
      </w:r>
      <w:r w:rsidR="008E40D9">
        <w:rPr>
          <w:rFonts w:ascii="Times New Roman" w:hAnsi="Times New Roman" w:cs="Times New Roman"/>
          <w:sz w:val="24"/>
          <w:szCs w:val="24"/>
        </w:rPr>
        <w:instrText>ADDIN CSL_CITATION {"citationItems":[{"id":"ITEM-1","itemData":{"DOI":"10.1076/icsp.10.1.11.14117","ISSN":"15660974","PMID":"12772480","author":[{"dropping-particle":"","family":"Evans","given":"Tim","non-dropping-particle":"","parse-names":false,"suffix":""},{"dropping-particle":"","family":"Brown","given":"Hilary","non-dropping-particle":"","parse-names":false,"suffix":""}],"container-title":"Injury control and safety promotion","id":"ITEM-1","issue":"1-2","issued":{"date-parts":[["2003"]]},"page":"11-12","title":"Road traffic crashes: operationalizing equity in the context of health sector reform.","type":"article-journal","volume":"10"},"uris":["http://www.mendeley.com/documents/?uuid=b22a29e6-d7a5-45b8-b9e5-edd7a531e313"]}],"mendeley":{"formattedCitation":"(Evans &amp; Brown, 2003)","manualFormatting":"(Evans and Brown, 2003)","plainTextFormattedCitation":"(Evans &amp; Brown, 2003)","previouslyFormattedCitation":"(Evans &amp; Brown, 2003)"},"properties":{"noteIndex":0},"schema":"https://github.com/citation-style-language/schema/raw/master/csl-citation.json"}</w:instrText>
      </w:r>
      <w:r w:rsidR="00BB16C1" w:rsidRPr="007A28AF">
        <w:rPr>
          <w:rFonts w:ascii="Times New Roman" w:hAnsi="Times New Roman" w:cs="Times New Roman"/>
          <w:sz w:val="24"/>
          <w:szCs w:val="24"/>
        </w:rPr>
        <w:fldChar w:fldCharType="separate"/>
      </w:r>
      <w:r w:rsidR="00BB16C1" w:rsidRPr="007A28AF">
        <w:rPr>
          <w:rFonts w:ascii="Times New Roman" w:hAnsi="Times New Roman" w:cs="Times New Roman"/>
          <w:noProof/>
          <w:sz w:val="24"/>
          <w:szCs w:val="24"/>
        </w:rPr>
        <w:t xml:space="preserve">(Evans </w:t>
      </w:r>
      <w:r w:rsidR="00A33AFC">
        <w:rPr>
          <w:rFonts w:ascii="Times New Roman" w:hAnsi="Times New Roman" w:cs="Times New Roman"/>
          <w:noProof/>
          <w:sz w:val="24"/>
          <w:szCs w:val="24"/>
        </w:rPr>
        <w:t>and</w:t>
      </w:r>
      <w:r w:rsidR="00BB16C1" w:rsidRPr="007A28AF">
        <w:rPr>
          <w:rFonts w:ascii="Times New Roman" w:hAnsi="Times New Roman" w:cs="Times New Roman"/>
          <w:noProof/>
          <w:sz w:val="24"/>
          <w:szCs w:val="24"/>
        </w:rPr>
        <w:t xml:space="preserve"> Brown, 2003)</w:t>
      </w:r>
      <w:r w:rsidR="00BB16C1" w:rsidRPr="007A28AF">
        <w:rPr>
          <w:rFonts w:ascii="Times New Roman" w:hAnsi="Times New Roman" w:cs="Times New Roman"/>
          <w:sz w:val="24"/>
          <w:szCs w:val="24"/>
        </w:rPr>
        <w:fldChar w:fldCharType="end"/>
      </w:r>
      <w:r w:rsidR="00BB16C1" w:rsidRPr="007A28AF">
        <w:rPr>
          <w:rFonts w:ascii="Times New Roman" w:hAnsi="Times New Roman" w:cs="Times New Roman"/>
          <w:sz w:val="24"/>
          <w:szCs w:val="24"/>
        </w:rPr>
        <w:t xml:space="preserve">, as a measure of equity in </w:t>
      </w:r>
      <w:r w:rsidR="004B51D6">
        <w:rPr>
          <w:rFonts w:ascii="Times New Roman" w:hAnsi="Times New Roman" w:cs="Times New Roman"/>
          <w:sz w:val="24"/>
          <w:szCs w:val="24"/>
        </w:rPr>
        <w:t xml:space="preserve">the implementation of </w:t>
      </w:r>
      <w:r w:rsidR="00BB16C1" w:rsidRPr="007A28AF">
        <w:rPr>
          <w:rFonts w:ascii="Times New Roman" w:hAnsi="Times New Roman" w:cs="Times New Roman"/>
          <w:sz w:val="24"/>
          <w:szCs w:val="24"/>
        </w:rPr>
        <w:t xml:space="preserve">health intervention. The </w:t>
      </w:r>
      <w:r w:rsidR="00542816" w:rsidRPr="007A28AF">
        <w:rPr>
          <w:rFonts w:ascii="Times New Roman" w:hAnsi="Times New Roman" w:cs="Times New Roman"/>
          <w:sz w:val="24"/>
          <w:szCs w:val="24"/>
        </w:rPr>
        <w:t xml:space="preserve">‘PROGRESS’ </w:t>
      </w:r>
      <w:r w:rsidR="00542816">
        <w:rPr>
          <w:rFonts w:ascii="Times New Roman" w:hAnsi="Times New Roman" w:cs="Times New Roman"/>
          <w:sz w:val="24"/>
          <w:szCs w:val="24"/>
        </w:rPr>
        <w:t>acronym is applied to the Equi-PHIR framework as it</w:t>
      </w:r>
      <w:r w:rsidR="0028617F">
        <w:rPr>
          <w:rFonts w:ascii="Times New Roman" w:hAnsi="Times New Roman" w:cs="Times New Roman"/>
          <w:sz w:val="24"/>
          <w:szCs w:val="24"/>
        </w:rPr>
        <w:t xml:space="preserve"> </w:t>
      </w:r>
      <w:r w:rsidR="00BB16C1" w:rsidRPr="007A28AF">
        <w:rPr>
          <w:rFonts w:ascii="Times New Roman" w:hAnsi="Times New Roman" w:cs="Times New Roman"/>
          <w:sz w:val="24"/>
          <w:szCs w:val="24"/>
        </w:rPr>
        <w:t xml:space="preserve">provides a standardized approach for identifying and analyzing equity-relevant information within PHIR and any other studies. </w:t>
      </w:r>
      <w:r w:rsidR="00542816">
        <w:rPr>
          <w:rFonts w:ascii="Times New Roman" w:hAnsi="Times New Roman" w:cs="Times New Roman"/>
          <w:sz w:val="24"/>
          <w:szCs w:val="24"/>
        </w:rPr>
        <w:t>It</w:t>
      </w:r>
      <w:r w:rsidR="00BB16C1" w:rsidRPr="007A28AF">
        <w:rPr>
          <w:rFonts w:ascii="Times New Roman" w:hAnsi="Times New Roman" w:cs="Times New Roman"/>
          <w:sz w:val="24"/>
          <w:szCs w:val="24"/>
        </w:rPr>
        <w:t xml:space="preserve"> helps to answer not only the question of effectiveness (does it work?), but also how, why and for whom was the </w:t>
      </w:r>
      <w:r w:rsidR="00542816">
        <w:rPr>
          <w:rFonts w:ascii="Times New Roman" w:hAnsi="Times New Roman" w:cs="Times New Roman"/>
          <w:sz w:val="24"/>
          <w:szCs w:val="24"/>
        </w:rPr>
        <w:t xml:space="preserve">population health </w:t>
      </w:r>
      <w:r w:rsidR="00BB16C1" w:rsidRPr="007A28AF">
        <w:rPr>
          <w:rFonts w:ascii="Times New Roman" w:hAnsi="Times New Roman" w:cs="Times New Roman"/>
          <w:sz w:val="24"/>
          <w:szCs w:val="24"/>
        </w:rPr>
        <w:t xml:space="preserve">intervention </w:t>
      </w:r>
      <w:r w:rsidR="00316087" w:rsidRPr="007A28AF">
        <w:rPr>
          <w:rFonts w:ascii="Times New Roman" w:hAnsi="Times New Roman" w:cs="Times New Roman"/>
          <w:sz w:val="24"/>
          <w:szCs w:val="24"/>
        </w:rPr>
        <w:t>effective</w:t>
      </w:r>
      <w:r w:rsidR="00316087">
        <w:rPr>
          <w:rFonts w:ascii="Times New Roman" w:hAnsi="Times New Roman" w:cs="Times New Roman"/>
          <w:sz w:val="24"/>
          <w:szCs w:val="24"/>
        </w:rPr>
        <w:t>?</w:t>
      </w:r>
      <w:r w:rsidR="00692C38">
        <w:rPr>
          <w:rFonts w:ascii="Times New Roman" w:hAnsi="Times New Roman" w:cs="Times New Roman"/>
          <w:sz w:val="24"/>
          <w:szCs w:val="24"/>
        </w:rPr>
        <w:t xml:space="preserve"> </w:t>
      </w:r>
    </w:p>
    <w:p w14:paraId="6D96398A" w14:textId="372A5F97" w:rsidR="00B84911" w:rsidRDefault="00B84911" w:rsidP="00F632B7">
      <w:pPr>
        <w:spacing w:line="480" w:lineRule="auto"/>
        <w:jc w:val="both"/>
        <w:rPr>
          <w:rFonts w:ascii="Times New Roman" w:hAnsi="Times New Roman" w:cs="Times New Roman"/>
          <w:sz w:val="24"/>
          <w:szCs w:val="24"/>
        </w:rPr>
      </w:pPr>
    </w:p>
    <w:p w14:paraId="6FA1F274" w14:textId="32DF3ABC" w:rsidR="00B84911" w:rsidRDefault="00B84911" w:rsidP="00F632B7">
      <w:pPr>
        <w:spacing w:line="480" w:lineRule="auto"/>
        <w:jc w:val="both"/>
        <w:rPr>
          <w:rFonts w:ascii="Times New Roman" w:hAnsi="Times New Roman" w:cs="Times New Roman"/>
          <w:sz w:val="24"/>
          <w:szCs w:val="24"/>
        </w:rPr>
      </w:pPr>
    </w:p>
    <w:p w14:paraId="38DD1C08" w14:textId="158941AA" w:rsidR="00B84911" w:rsidRDefault="00B84911" w:rsidP="00F632B7">
      <w:pPr>
        <w:spacing w:line="480" w:lineRule="auto"/>
        <w:jc w:val="both"/>
        <w:rPr>
          <w:rFonts w:ascii="Times New Roman" w:hAnsi="Times New Roman" w:cs="Times New Roman"/>
          <w:sz w:val="24"/>
          <w:szCs w:val="24"/>
        </w:rPr>
      </w:pPr>
    </w:p>
    <w:p w14:paraId="4DA8D9AB" w14:textId="61B356D3" w:rsidR="00B84911" w:rsidRDefault="00B84911" w:rsidP="00F632B7">
      <w:pPr>
        <w:spacing w:line="480" w:lineRule="auto"/>
        <w:jc w:val="both"/>
        <w:rPr>
          <w:rFonts w:ascii="Times New Roman" w:hAnsi="Times New Roman" w:cs="Times New Roman"/>
          <w:sz w:val="24"/>
          <w:szCs w:val="24"/>
        </w:rPr>
      </w:pPr>
    </w:p>
    <w:p w14:paraId="3816D776" w14:textId="5F54988A" w:rsidR="00B84911" w:rsidRDefault="00B84911" w:rsidP="00F632B7">
      <w:pPr>
        <w:spacing w:line="480" w:lineRule="auto"/>
        <w:jc w:val="both"/>
        <w:rPr>
          <w:rFonts w:ascii="Times New Roman" w:hAnsi="Times New Roman" w:cs="Times New Roman"/>
          <w:sz w:val="24"/>
          <w:szCs w:val="24"/>
        </w:rPr>
      </w:pPr>
    </w:p>
    <w:p w14:paraId="4B6CDBB2" w14:textId="2A351548" w:rsidR="00B84911" w:rsidRDefault="00B84911" w:rsidP="00F632B7">
      <w:pPr>
        <w:spacing w:line="480" w:lineRule="auto"/>
        <w:jc w:val="both"/>
        <w:rPr>
          <w:rFonts w:ascii="Times New Roman" w:hAnsi="Times New Roman" w:cs="Times New Roman"/>
          <w:sz w:val="24"/>
          <w:szCs w:val="24"/>
        </w:rPr>
      </w:pPr>
    </w:p>
    <w:p w14:paraId="517E27EC" w14:textId="6FCE6E7C" w:rsidR="00B84911" w:rsidRDefault="00B84911" w:rsidP="00F632B7">
      <w:pPr>
        <w:spacing w:line="480" w:lineRule="auto"/>
        <w:jc w:val="both"/>
        <w:rPr>
          <w:rFonts w:ascii="Times New Roman" w:hAnsi="Times New Roman" w:cs="Times New Roman"/>
          <w:sz w:val="24"/>
          <w:szCs w:val="24"/>
        </w:rPr>
      </w:pPr>
    </w:p>
    <w:p w14:paraId="5D717E83" w14:textId="77777777" w:rsidR="00B84911" w:rsidRPr="007A28AF" w:rsidRDefault="00B84911" w:rsidP="00F632B7">
      <w:pPr>
        <w:spacing w:line="480" w:lineRule="auto"/>
        <w:jc w:val="both"/>
        <w:rPr>
          <w:rFonts w:ascii="Times New Roman" w:hAnsi="Times New Roman" w:cs="Times New Roman"/>
          <w:sz w:val="24"/>
          <w:szCs w:val="24"/>
        </w:rPr>
      </w:pPr>
    </w:p>
    <w:p w14:paraId="14336027" w14:textId="047C03DE" w:rsidR="00D727A7" w:rsidRPr="000C5382" w:rsidRDefault="00650350" w:rsidP="00F632B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DISCUSSION AND </w:t>
      </w:r>
      <w:r w:rsidR="00D727A7" w:rsidRPr="000C5382">
        <w:rPr>
          <w:rFonts w:ascii="Times New Roman" w:hAnsi="Times New Roman" w:cs="Times New Roman"/>
          <w:b/>
          <w:bCs/>
          <w:sz w:val="24"/>
          <w:szCs w:val="24"/>
        </w:rPr>
        <w:t>POLICY RECOMMENDATIONS</w:t>
      </w:r>
    </w:p>
    <w:p w14:paraId="4D2005EA" w14:textId="3B11CCA3" w:rsidR="00591B2F" w:rsidRDefault="00591B2F" w:rsidP="00F632B7">
      <w:pPr>
        <w:spacing w:line="480" w:lineRule="auto"/>
        <w:jc w:val="both"/>
        <w:rPr>
          <w:rFonts w:ascii="Times New Roman" w:hAnsi="Times New Roman" w:cs="Times New Roman"/>
          <w:sz w:val="24"/>
          <w:szCs w:val="24"/>
        </w:rPr>
      </w:pPr>
      <w:r w:rsidRPr="00591B2F">
        <w:rPr>
          <w:rFonts w:ascii="Times New Roman" w:hAnsi="Times New Roman" w:cs="Times New Roman"/>
          <w:sz w:val="24"/>
          <w:szCs w:val="24"/>
        </w:rPr>
        <w:t xml:space="preserve">A conceptual framework (i.e., Equi-PHIR) was developed. It encompasses elements of equity-focused PHIR and the mechanism of population health intervention implementation. Thus, the impact of </w:t>
      </w:r>
      <w:r w:rsidR="0068735E">
        <w:rPr>
          <w:rFonts w:ascii="Times New Roman" w:hAnsi="Times New Roman" w:cs="Times New Roman"/>
          <w:sz w:val="24"/>
          <w:szCs w:val="24"/>
        </w:rPr>
        <w:t xml:space="preserve">a </w:t>
      </w:r>
      <w:r w:rsidRPr="00591B2F">
        <w:rPr>
          <w:rFonts w:ascii="Times New Roman" w:hAnsi="Times New Roman" w:cs="Times New Roman"/>
          <w:sz w:val="24"/>
          <w:szCs w:val="24"/>
        </w:rPr>
        <w:t>population health intervention on Universal Health Coverage (UHC), determinants of health and the social distribution of health and non-health outcomes. A tool for assessing the inclusion of contextual factors (i.e., ERIC-A) in intervention formulation and implementation was developed and proposed by the study.</w:t>
      </w:r>
    </w:p>
    <w:p w14:paraId="74113062" w14:textId="2EE62899" w:rsidR="00502AA2" w:rsidRDefault="000E283E" w:rsidP="00F632B7">
      <w:pPr>
        <w:spacing w:line="480" w:lineRule="auto"/>
        <w:jc w:val="both"/>
        <w:rPr>
          <w:rFonts w:ascii="Times New Roman" w:hAnsi="Times New Roman" w:cs="Times New Roman"/>
          <w:sz w:val="24"/>
          <w:szCs w:val="24"/>
        </w:rPr>
      </w:pPr>
      <w:bookmarkStart w:id="1" w:name="_Hlk90636377"/>
      <w:r w:rsidRPr="000E283E">
        <w:rPr>
          <w:rFonts w:ascii="Times New Roman" w:hAnsi="Times New Roman" w:cs="Times New Roman"/>
          <w:sz w:val="24"/>
          <w:szCs w:val="24"/>
        </w:rPr>
        <w:t>Equi-PHIR is a comprehensive conceptual framework proposed for use by policy-makers and researchers during the formulation, implementation and analysis of health interventions, policies, programs, and strategies. Decision-makers and researchers should take contextual factors, equity consideration, determinants of health and the action domains of UHC into account during the formulation and implementation of population health interventions and PHIR, respectively.</w:t>
      </w:r>
    </w:p>
    <w:p w14:paraId="0795313A" w14:textId="33CDB9DE" w:rsidR="00192524" w:rsidRDefault="00042BA5" w:rsidP="00F632B7">
      <w:pPr>
        <w:spacing w:line="480" w:lineRule="auto"/>
        <w:jc w:val="both"/>
        <w:rPr>
          <w:rFonts w:ascii="Times New Roman" w:hAnsi="Times New Roman" w:cs="Times New Roman"/>
          <w:sz w:val="24"/>
          <w:szCs w:val="24"/>
        </w:rPr>
        <w:sectPr w:rsidR="00192524" w:rsidSect="001A09B6">
          <w:pgSz w:w="12240" w:h="15840"/>
          <w:pgMar w:top="1440" w:right="1440" w:bottom="1440" w:left="1440" w:header="720" w:footer="720" w:gutter="0"/>
          <w:pgNumType w:start="1"/>
          <w:cols w:space="720"/>
          <w:docGrid w:linePitch="360"/>
        </w:sectPr>
      </w:pPr>
      <w:r>
        <w:rPr>
          <w:rFonts w:ascii="Times New Roman" w:hAnsi="Times New Roman" w:cs="Times New Roman"/>
          <w:sz w:val="24"/>
          <w:szCs w:val="24"/>
        </w:rPr>
        <w:t>The study is novel and would guide decision-makers and researchers in evaluation population health research and interventions. However, one major limitation of the study is that stakeholder</w:t>
      </w:r>
      <w:r w:rsidR="00214DF6">
        <w:rPr>
          <w:rFonts w:ascii="Times New Roman" w:hAnsi="Times New Roman" w:cs="Times New Roman"/>
          <w:sz w:val="24"/>
          <w:szCs w:val="24"/>
        </w:rPr>
        <w:t>s’</w:t>
      </w:r>
      <w:r>
        <w:rPr>
          <w:rFonts w:ascii="Times New Roman" w:hAnsi="Times New Roman" w:cs="Times New Roman"/>
          <w:sz w:val="24"/>
          <w:szCs w:val="24"/>
        </w:rPr>
        <w:t xml:space="preserve"> analysis was not undertaken and hence, the quality and applicability of the framework could be further improved.</w:t>
      </w:r>
    </w:p>
    <w:p w14:paraId="56D38502" w14:textId="527A1264" w:rsidR="00D80855" w:rsidRPr="007A28AF" w:rsidRDefault="00D80855"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lastRenderedPageBreak/>
        <w:t>REFERENCES</w:t>
      </w:r>
    </w:p>
    <w:p w14:paraId="4DE2CC08" w14:textId="04BB010E" w:rsidR="00EE4AF5" w:rsidRPr="00EE4AF5" w:rsidRDefault="002B485F"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7A28AF">
        <w:rPr>
          <w:rFonts w:ascii="Times New Roman" w:hAnsi="Times New Roman" w:cs="Times New Roman"/>
          <w:sz w:val="24"/>
          <w:szCs w:val="24"/>
        </w:rPr>
        <w:fldChar w:fldCharType="begin" w:fldLock="1"/>
      </w:r>
      <w:r w:rsidRPr="007A28AF">
        <w:rPr>
          <w:rFonts w:ascii="Times New Roman" w:hAnsi="Times New Roman" w:cs="Times New Roman"/>
          <w:sz w:val="24"/>
          <w:szCs w:val="24"/>
        </w:rPr>
        <w:instrText xml:space="preserve">ADDIN Mendeley Bibliography CSL_BIBLIOGRAPHY </w:instrText>
      </w:r>
      <w:r w:rsidRPr="007A28AF">
        <w:rPr>
          <w:rFonts w:ascii="Times New Roman" w:hAnsi="Times New Roman" w:cs="Times New Roman"/>
          <w:sz w:val="24"/>
          <w:szCs w:val="24"/>
        </w:rPr>
        <w:fldChar w:fldCharType="separate"/>
      </w:r>
      <w:r w:rsidR="00EE4AF5" w:rsidRPr="00EE4AF5">
        <w:rPr>
          <w:rFonts w:ascii="Times New Roman" w:hAnsi="Times New Roman" w:cs="Times New Roman"/>
          <w:noProof/>
          <w:sz w:val="24"/>
          <w:szCs w:val="24"/>
        </w:rPr>
        <w:t xml:space="preserve">Asaria, M., Griffin, S., </w:t>
      </w:r>
      <w:r w:rsidR="007C5DE6">
        <w:rPr>
          <w:rFonts w:ascii="Times New Roman" w:hAnsi="Times New Roman" w:cs="Times New Roman"/>
          <w:noProof/>
          <w:sz w:val="24"/>
          <w:szCs w:val="24"/>
        </w:rPr>
        <w:t>and</w:t>
      </w:r>
      <w:r w:rsidR="00EE4AF5" w:rsidRPr="00EE4AF5">
        <w:rPr>
          <w:rFonts w:ascii="Times New Roman" w:hAnsi="Times New Roman" w:cs="Times New Roman"/>
          <w:noProof/>
          <w:sz w:val="24"/>
          <w:szCs w:val="24"/>
        </w:rPr>
        <w:t xml:space="preserve"> Cookson, R. (2016). Distributional cost-effectiveness analysis: A tutorial. </w:t>
      </w:r>
      <w:r w:rsidR="00EE4AF5" w:rsidRPr="00EE4AF5">
        <w:rPr>
          <w:rFonts w:ascii="Times New Roman" w:hAnsi="Times New Roman" w:cs="Times New Roman"/>
          <w:i/>
          <w:iCs/>
          <w:noProof/>
          <w:sz w:val="24"/>
          <w:szCs w:val="24"/>
        </w:rPr>
        <w:t>Medical Decision Making</w:t>
      </w:r>
      <w:r w:rsidR="00EE4AF5" w:rsidRPr="00EE4AF5">
        <w:rPr>
          <w:rFonts w:ascii="Times New Roman" w:hAnsi="Times New Roman" w:cs="Times New Roman"/>
          <w:noProof/>
          <w:sz w:val="24"/>
          <w:szCs w:val="24"/>
        </w:rPr>
        <w:t xml:space="preserve">, </w:t>
      </w:r>
      <w:r w:rsidR="00EE4AF5" w:rsidRPr="00EE4AF5">
        <w:rPr>
          <w:rFonts w:ascii="Times New Roman" w:hAnsi="Times New Roman" w:cs="Times New Roman"/>
          <w:i/>
          <w:iCs/>
          <w:noProof/>
          <w:sz w:val="24"/>
          <w:szCs w:val="24"/>
        </w:rPr>
        <w:t>36</w:t>
      </w:r>
      <w:r w:rsidR="00EE4AF5" w:rsidRPr="00EE4AF5">
        <w:rPr>
          <w:rFonts w:ascii="Times New Roman" w:hAnsi="Times New Roman" w:cs="Times New Roman"/>
          <w:noProof/>
          <w:sz w:val="24"/>
          <w:szCs w:val="24"/>
        </w:rPr>
        <w:t xml:space="preserve">(1), 8–19. </w:t>
      </w:r>
    </w:p>
    <w:p w14:paraId="10BA1E69" w14:textId="15242E5C"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Assebe, L. F., Kwete, X. J., Wang, D., Liu, L., Norheim, O. F., Jbaily, A., Verguet, S., Johansson, K. A.,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Tolla, M. T. (2020). Health gains and financial risk protection afforded by public financing of selected malaria interventions in Ethiopia: An extended cost-effectiveness analysis. </w:t>
      </w:r>
      <w:r w:rsidRPr="00EE4AF5">
        <w:rPr>
          <w:rFonts w:ascii="Times New Roman" w:hAnsi="Times New Roman" w:cs="Times New Roman"/>
          <w:i/>
          <w:iCs/>
          <w:noProof/>
          <w:sz w:val="24"/>
          <w:szCs w:val="24"/>
        </w:rPr>
        <w:t>Malaria Journal</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19</w:t>
      </w:r>
      <w:r w:rsidRPr="00EE4AF5">
        <w:rPr>
          <w:rFonts w:ascii="Times New Roman" w:hAnsi="Times New Roman" w:cs="Times New Roman"/>
          <w:noProof/>
          <w:sz w:val="24"/>
          <w:szCs w:val="24"/>
        </w:rPr>
        <w:t xml:space="preserve">(1), 1–10. </w:t>
      </w:r>
    </w:p>
    <w:p w14:paraId="4F2D4AE8" w14:textId="281342B6"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Bergström, A., Skeen, S., Duc, D. M., Blandon, E. Z., Estabrooks, C., Gustavsson, P., Hoa, D. T. P., Källestål, C., Målqvist, M., Nga, N. T., Persson, L. Å., Pervin, J., Peterson, S., Rahman, A., Selling, K., Squires, J. E., Tomlinson, M., Waiswa, P.,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Wallin, L. (2015). Health system context and implementation of evidence-based practices-development and validation of the Context Assessment for Community Health (COACH) tool for low- and middle-income settings. </w:t>
      </w:r>
      <w:r w:rsidRPr="00EE4AF5">
        <w:rPr>
          <w:rFonts w:ascii="Times New Roman" w:hAnsi="Times New Roman" w:cs="Times New Roman"/>
          <w:i/>
          <w:iCs/>
          <w:noProof/>
          <w:sz w:val="24"/>
          <w:szCs w:val="24"/>
        </w:rPr>
        <w:t>Implementation Science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10</w:t>
      </w:r>
      <w:r w:rsidRPr="00EE4AF5">
        <w:rPr>
          <w:rFonts w:ascii="Times New Roman" w:hAnsi="Times New Roman" w:cs="Times New Roman"/>
          <w:noProof/>
          <w:sz w:val="24"/>
          <w:szCs w:val="24"/>
        </w:rPr>
        <w:t xml:space="preserve">(1). </w:t>
      </w:r>
    </w:p>
    <w:p w14:paraId="179F78EE" w14:textId="335D5997"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Cane, J., O’Connor, D.,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Michie, S. (2012). Validation of the theoretical framework. </w:t>
      </w:r>
      <w:r w:rsidRPr="00EE4AF5">
        <w:rPr>
          <w:rFonts w:ascii="Times New Roman" w:hAnsi="Times New Roman" w:cs="Times New Roman"/>
          <w:i/>
          <w:iCs/>
          <w:noProof/>
          <w:sz w:val="24"/>
          <w:szCs w:val="24"/>
        </w:rPr>
        <w:t>Implementation Science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7</w:t>
      </w:r>
      <w:r w:rsidRPr="00EE4AF5">
        <w:rPr>
          <w:rFonts w:ascii="Times New Roman" w:hAnsi="Times New Roman" w:cs="Times New Roman"/>
          <w:noProof/>
          <w:sz w:val="24"/>
          <w:szCs w:val="24"/>
        </w:rPr>
        <w:t>, 37.</w:t>
      </w:r>
    </w:p>
    <w:p w14:paraId="5BEF0359" w14:textId="05F2F7F1"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Cooper, R. B.,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Zmud, R. W. (1990). Information Technology Implementation Research: A Technological Diffusion Approach. </w:t>
      </w:r>
      <w:r w:rsidRPr="00EE4AF5">
        <w:rPr>
          <w:rFonts w:ascii="Times New Roman" w:hAnsi="Times New Roman" w:cs="Times New Roman"/>
          <w:i/>
          <w:iCs/>
          <w:noProof/>
          <w:sz w:val="24"/>
          <w:szCs w:val="24"/>
        </w:rPr>
        <w:t>Management Science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36</w:t>
      </w:r>
      <w:r w:rsidRPr="00EE4AF5">
        <w:rPr>
          <w:rFonts w:ascii="Times New Roman" w:hAnsi="Times New Roman" w:cs="Times New Roman"/>
          <w:noProof/>
          <w:sz w:val="24"/>
          <w:szCs w:val="24"/>
        </w:rPr>
        <w:t xml:space="preserve">(2), 123–139. </w:t>
      </w:r>
    </w:p>
    <w:p w14:paraId="7B6052B5" w14:textId="551E9864"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Craig, P., Ruggiero, E. Di, Frohlich, K. L., Mykhalovskiy, E., White, M., Campbell, R., Cummins, S., Edwards, N., Hunt, K., Kee, F., Loppie, C., Moore, L., Ogilvie, D., Petticrew, M., Poland, B., Ridde, V., Shoveller, J., Viehbeck, S.,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Wight, D. (2018). </w:t>
      </w:r>
      <w:r w:rsidRPr="00EE4AF5">
        <w:rPr>
          <w:rFonts w:ascii="Times New Roman" w:hAnsi="Times New Roman" w:cs="Times New Roman"/>
          <w:i/>
          <w:iCs/>
          <w:noProof/>
          <w:sz w:val="24"/>
          <w:szCs w:val="24"/>
        </w:rPr>
        <w:t>Taking account of context in population health intervention research: guidance for producers, users and funders of research</w:t>
      </w:r>
      <w:r w:rsidRPr="00EE4AF5">
        <w:rPr>
          <w:rFonts w:ascii="Times New Roman" w:hAnsi="Times New Roman" w:cs="Times New Roman"/>
          <w:noProof/>
          <w:sz w:val="24"/>
          <w:szCs w:val="24"/>
        </w:rPr>
        <w:t xml:space="preserve">. </w:t>
      </w:r>
    </w:p>
    <w:p w14:paraId="3951E0BE" w14:textId="11C904E1"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lastRenderedPageBreak/>
        <w:t xml:space="preserve">Damschroder, L. J., Aron, D. C., Keith, R. E., Kirsh, S. R., Alexander, J. A.,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Lowery, J. C. (2009). Fostering implementation of health services research findings into practice: A consolidated framework for advancing implementation science. </w:t>
      </w:r>
      <w:r w:rsidRPr="00EE4AF5">
        <w:rPr>
          <w:rFonts w:ascii="Times New Roman" w:hAnsi="Times New Roman" w:cs="Times New Roman"/>
          <w:i/>
          <w:iCs/>
          <w:noProof/>
          <w:sz w:val="24"/>
          <w:szCs w:val="24"/>
        </w:rPr>
        <w:t>Implementation Science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4</w:t>
      </w:r>
      <w:r w:rsidRPr="00EE4AF5">
        <w:rPr>
          <w:rFonts w:ascii="Times New Roman" w:hAnsi="Times New Roman" w:cs="Times New Roman"/>
          <w:noProof/>
          <w:sz w:val="24"/>
          <w:szCs w:val="24"/>
        </w:rPr>
        <w:t xml:space="preserve">(1), 1–15. </w:t>
      </w:r>
    </w:p>
    <w:p w14:paraId="15279D96" w14:textId="56416F54"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De Neve Jan-Walter, Rija L. Andriantavison, Kevin Croke, J. K., Voahirana H. Rajoela, Rary A. Rakotoarivony, Vale´ rie Rambeloson, L. S.,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Jumana Qamruddin, S. V. (2018). </w:t>
      </w:r>
      <w:r w:rsidRPr="00EE4AF5">
        <w:rPr>
          <w:rFonts w:ascii="Times New Roman" w:hAnsi="Times New Roman" w:cs="Times New Roman"/>
          <w:i/>
          <w:iCs/>
          <w:noProof/>
          <w:sz w:val="24"/>
          <w:szCs w:val="24"/>
        </w:rPr>
        <w:t>Health , financial , and education gains of investing in preventive chemotherapy for helminthiases , and lymphatic filariasis in Madagascar : A modeling study</w:t>
      </w:r>
      <w:r w:rsidRPr="00EE4AF5">
        <w:rPr>
          <w:rFonts w:ascii="Times New Roman" w:hAnsi="Times New Roman" w:cs="Times New Roman"/>
          <w:noProof/>
          <w:sz w:val="24"/>
          <w:szCs w:val="24"/>
        </w:rPr>
        <w:t>. 1–17.</w:t>
      </w:r>
    </w:p>
    <w:p w14:paraId="2BD53EB0" w14:textId="1E0D2508"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Eslava-Schmalbach, J., Garzón-Orjuela, N., Elias, V., Reveiz, L., Tran, N.,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Langlois, E. V. (2019). Conceptual framework of equity-focused implementation research for health programs (EquIR). </w:t>
      </w:r>
      <w:r w:rsidRPr="00EE4AF5">
        <w:rPr>
          <w:rFonts w:ascii="Times New Roman" w:hAnsi="Times New Roman" w:cs="Times New Roman"/>
          <w:i/>
          <w:iCs/>
          <w:noProof/>
          <w:sz w:val="24"/>
          <w:szCs w:val="24"/>
        </w:rPr>
        <w:t>International Journal for Equity in Health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18</w:t>
      </w:r>
      <w:r w:rsidRPr="00EE4AF5">
        <w:rPr>
          <w:rFonts w:ascii="Times New Roman" w:hAnsi="Times New Roman" w:cs="Times New Roman"/>
          <w:noProof/>
          <w:sz w:val="24"/>
          <w:szCs w:val="24"/>
        </w:rPr>
        <w:t xml:space="preserve">(1), 1–11. </w:t>
      </w:r>
    </w:p>
    <w:p w14:paraId="2ED2AC72" w14:textId="6B8F66FD"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Essue, B. M., Jan, S., Phuc, H. T., Dodson, S., Armstrong, K.,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Laba, T. L. (2020). Who benefits most from extending financial protection for cataract surgery in Vietnam? An extended cost-effectiveness analysis of small incision surgery. </w:t>
      </w:r>
      <w:r w:rsidRPr="00EE4AF5">
        <w:rPr>
          <w:rFonts w:ascii="Times New Roman" w:hAnsi="Times New Roman" w:cs="Times New Roman"/>
          <w:i/>
          <w:iCs/>
          <w:noProof/>
          <w:sz w:val="24"/>
          <w:szCs w:val="24"/>
        </w:rPr>
        <w:t>Health Policy and Planning</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35</w:t>
      </w:r>
      <w:r w:rsidRPr="00EE4AF5">
        <w:rPr>
          <w:rFonts w:ascii="Times New Roman" w:hAnsi="Times New Roman" w:cs="Times New Roman"/>
          <w:noProof/>
          <w:sz w:val="24"/>
          <w:szCs w:val="24"/>
        </w:rPr>
        <w:t xml:space="preserve">(4), 399–407. </w:t>
      </w:r>
    </w:p>
    <w:p w14:paraId="632E6854" w14:textId="776EEDEB"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Estabrooks, C. A., Squires, J. E., Cummings, G. G., Birdsell, J. M.,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Norton, P. G. (2009). Development and assessment of the Alberta Context Tool. </w:t>
      </w:r>
      <w:r w:rsidRPr="00EE4AF5">
        <w:rPr>
          <w:rFonts w:ascii="Times New Roman" w:hAnsi="Times New Roman" w:cs="Times New Roman"/>
          <w:i/>
          <w:iCs/>
          <w:noProof/>
          <w:sz w:val="24"/>
          <w:szCs w:val="24"/>
        </w:rPr>
        <w:t>BMC Health Services Research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9</w:t>
      </w:r>
      <w:r w:rsidRPr="00EE4AF5">
        <w:rPr>
          <w:rFonts w:ascii="Times New Roman" w:hAnsi="Times New Roman" w:cs="Times New Roman"/>
          <w:noProof/>
          <w:sz w:val="24"/>
          <w:szCs w:val="24"/>
        </w:rPr>
        <w:t xml:space="preserve">, 1–12. </w:t>
      </w:r>
    </w:p>
    <w:p w14:paraId="06655355" w14:textId="75AA53DE"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Evans, T.,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Brown, H. (2003). Road traffic crashes: operationalizing equity in the context of health sector reform. </w:t>
      </w:r>
      <w:r w:rsidRPr="00EE4AF5">
        <w:rPr>
          <w:rFonts w:ascii="Times New Roman" w:hAnsi="Times New Roman" w:cs="Times New Roman"/>
          <w:i/>
          <w:iCs/>
          <w:noProof/>
          <w:sz w:val="24"/>
          <w:szCs w:val="24"/>
        </w:rPr>
        <w:t>Injury Control and Safety Promotion</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10</w:t>
      </w:r>
      <w:r w:rsidRPr="00EE4AF5">
        <w:rPr>
          <w:rFonts w:ascii="Times New Roman" w:hAnsi="Times New Roman" w:cs="Times New Roman"/>
          <w:noProof/>
          <w:sz w:val="24"/>
          <w:szCs w:val="24"/>
        </w:rPr>
        <w:t xml:space="preserve">(1–2), 11–12. </w:t>
      </w:r>
    </w:p>
    <w:p w14:paraId="783A9E2C" w14:textId="22606376"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Glover, R. E., van Schalkwyk, M. C. I., Akl, E. A., Kristjannson, E., Lotfi, T., Petkovic, J., Petticrew, M. P., Pottie, K., Tugwell, P.,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Welch, V. (2020). A framework for </w:t>
      </w:r>
      <w:r w:rsidRPr="00EE4AF5">
        <w:rPr>
          <w:rFonts w:ascii="Times New Roman" w:hAnsi="Times New Roman" w:cs="Times New Roman"/>
          <w:noProof/>
          <w:sz w:val="24"/>
          <w:szCs w:val="24"/>
        </w:rPr>
        <w:lastRenderedPageBreak/>
        <w:t xml:space="preserve">identifying and mitigating the equity harms of COVID-19 policy interventions. </w:t>
      </w:r>
      <w:r w:rsidRPr="00EE4AF5">
        <w:rPr>
          <w:rFonts w:ascii="Times New Roman" w:hAnsi="Times New Roman" w:cs="Times New Roman"/>
          <w:i/>
          <w:iCs/>
          <w:noProof/>
          <w:sz w:val="24"/>
          <w:szCs w:val="24"/>
        </w:rPr>
        <w:t>Journal of Clinical Epidemiology</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128</w:t>
      </w:r>
      <w:r w:rsidRPr="00EE4AF5">
        <w:rPr>
          <w:rFonts w:ascii="Times New Roman" w:hAnsi="Times New Roman" w:cs="Times New Roman"/>
          <w:noProof/>
          <w:sz w:val="24"/>
          <w:szCs w:val="24"/>
        </w:rPr>
        <w:t xml:space="preserve">, 35–48. </w:t>
      </w:r>
    </w:p>
    <w:p w14:paraId="7BD2E3F5" w14:textId="66D46A6D"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Hawe, P.,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Potvin, L. (2009). What is population health intervention research? </w:t>
      </w:r>
      <w:r w:rsidRPr="00EE4AF5">
        <w:rPr>
          <w:rFonts w:ascii="Times New Roman" w:hAnsi="Times New Roman" w:cs="Times New Roman"/>
          <w:i/>
          <w:iCs/>
          <w:noProof/>
          <w:sz w:val="24"/>
          <w:szCs w:val="24"/>
        </w:rPr>
        <w:t>Canadian Journal of Public Health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100</w:t>
      </w:r>
      <w:r w:rsidRPr="00EE4AF5">
        <w:rPr>
          <w:rFonts w:ascii="Times New Roman" w:hAnsi="Times New Roman" w:cs="Times New Roman"/>
          <w:noProof/>
          <w:sz w:val="24"/>
          <w:szCs w:val="24"/>
        </w:rPr>
        <w:t xml:space="preserve">(1). </w:t>
      </w:r>
    </w:p>
    <w:p w14:paraId="64803672" w14:textId="53866B58"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Jha, P., Wu, D. C., Sheel, V., Gupta, P., Essue, B. M.,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Luong, L. (2020). Impact of cigarette tax increase on health and financing outcomes in four Indian states. </w:t>
      </w:r>
      <w:r w:rsidRPr="00EE4AF5">
        <w:rPr>
          <w:rFonts w:ascii="Times New Roman" w:hAnsi="Times New Roman" w:cs="Times New Roman"/>
          <w:i/>
          <w:iCs/>
          <w:noProof/>
          <w:sz w:val="24"/>
          <w:szCs w:val="24"/>
        </w:rPr>
        <w:t>Gates Open Research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4</w:t>
      </w:r>
      <w:r w:rsidRPr="00EE4AF5">
        <w:rPr>
          <w:rFonts w:ascii="Times New Roman" w:hAnsi="Times New Roman" w:cs="Times New Roman"/>
          <w:noProof/>
          <w:sz w:val="24"/>
          <w:szCs w:val="24"/>
        </w:rPr>
        <w:t>, 1–18. https://doi.org/10.12688/gatesopenres.13127.1</w:t>
      </w:r>
    </w:p>
    <w:p w14:paraId="25B5AAC7" w14:textId="7E03B927"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Johansson, K. A., Memirie, S. T., Pecenka, C., Jamison, D. T.,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Verguet, S. (2015). Health Gains and Financial Protection from Pneumococcal Vaccination and Pneumonia Treatment in Ethiopia: Results from an Extended Cost-Effectiveness Analysis. </w:t>
      </w:r>
      <w:r w:rsidRPr="00EE4AF5">
        <w:rPr>
          <w:rFonts w:ascii="Times New Roman" w:hAnsi="Times New Roman" w:cs="Times New Roman"/>
          <w:i/>
          <w:iCs/>
          <w:noProof/>
          <w:sz w:val="24"/>
          <w:szCs w:val="24"/>
        </w:rPr>
        <w:t>PLoS ONE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10</w:t>
      </w:r>
      <w:r w:rsidRPr="00EE4AF5">
        <w:rPr>
          <w:rFonts w:ascii="Times New Roman" w:hAnsi="Times New Roman" w:cs="Times New Roman"/>
          <w:noProof/>
          <w:sz w:val="24"/>
          <w:szCs w:val="24"/>
        </w:rPr>
        <w:t xml:space="preserve">(12), 1–16. </w:t>
      </w:r>
    </w:p>
    <w:p w14:paraId="45655555" w14:textId="2FE5E038"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Kavanagh, J., Oliver, S.,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Lorenc, T. (2008). </w:t>
      </w:r>
      <w:r w:rsidRPr="00EE4AF5">
        <w:rPr>
          <w:rFonts w:ascii="Times New Roman" w:hAnsi="Times New Roman" w:cs="Times New Roman"/>
          <w:i/>
          <w:iCs/>
          <w:noProof/>
          <w:sz w:val="24"/>
          <w:szCs w:val="24"/>
        </w:rPr>
        <w:t>Reflections on developing and using PROGRESS-Plus</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2</w:t>
      </w:r>
      <w:r w:rsidRPr="00EE4AF5">
        <w:rPr>
          <w:rFonts w:ascii="Times New Roman" w:hAnsi="Times New Roman" w:cs="Times New Roman"/>
          <w:noProof/>
          <w:sz w:val="24"/>
          <w:szCs w:val="24"/>
        </w:rPr>
        <w:t>(1), 1–6.</w:t>
      </w:r>
    </w:p>
    <w:p w14:paraId="5B876AD4" w14:textId="6FE2FA09"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Levin, C. E., Sharma, M., Olson, Z., Verguet, S., Shi, J. F., Wang, S. M., Qiao, Y. L., Jamison, D. T.,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Kim, J. J. (2015). An extended cost-effectiveness analysis of publicly financed HPV vaccination to prevent cervical cancer in China. </w:t>
      </w:r>
      <w:r w:rsidRPr="00EE4AF5">
        <w:rPr>
          <w:rFonts w:ascii="Times New Roman" w:hAnsi="Times New Roman" w:cs="Times New Roman"/>
          <w:i/>
          <w:iCs/>
          <w:noProof/>
          <w:sz w:val="24"/>
          <w:szCs w:val="24"/>
        </w:rPr>
        <w:t>Vaccine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33</w:t>
      </w:r>
      <w:r w:rsidRPr="00EE4AF5">
        <w:rPr>
          <w:rFonts w:ascii="Times New Roman" w:hAnsi="Times New Roman" w:cs="Times New Roman"/>
          <w:noProof/>
          <w:sz w:val="24"/>
          <w:szCs w:val="24"/>
        </w:rPr>
        <w:t xml:space="preserve">(24), 2830–2841. </w:t>
      </w:r>
    </w:p>
    <w:p w14:paraId="751A35C2" w14:textId="719F289F"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Lu, J. B., Danko, K. J., Elfassy, M. D., Welch, V., Grimshaw, J. M.,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Ivers, N. M. (2018). Do quality improvement initiatives for diabetes care address social inequities? Secondary analysis of a systematic review. </w:t>
      </w:r>
      <w:r w:rsidRPr="00EE4AF5">
        <w:rPr>
          <w:rFonts w:ascii="Times New Roman" w:hAnsi="Times New Roman" w:cs="Times New Roman"/>
          <w:i/>
          <w:iCs/>
          <w:noProof/>
          <w:sz w:val="24"/>
          <w:szCs w:val="24"/>
        </w:rPr>
        <w:t>BMJ Open</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8</w:t>
      </w:r>
      <w:r w:rsidRPr="00EE4AF5">
        <w:rPr>
          <w:rFonts w:ascii="Times New Roman" w:hAnsi="Times New Roman" w:cs="Times New Roman"/>
          <w:noProof/>
          <w:sz w:val="24"/>
          <w:szCs w:val="24"/>
        </w:rPr>
        <w:t xml:space="preserve">(2), 1–7. </w:t>
      </w:r>
    </w:p>
    <w:p w14:paraId="098D3F27" w14:textId="01E6579F"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MacDonald, S. E., Newburn-Cook, C. V., Allen, M.,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Reutter, L. (2013). Embracing the population health framework in nursing research. </w:t>
      </w:r>
      <w:r w:rsidRPr="00EE4AF5">
        <w:rPr>
          <w:rFonts w:ascii="Times New Roman" w:hAnsi="Times New Roman" w:cs="Times New Roman"/>
          <w:i/>
          <w:iCs/>
          <w:noProof/>
          <w:sz w:val="24"/>
          <w:szCs w:val="24"/>
        </w:rPr>
        <w:t>Nursing Inquiry</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20</w:t>
      </w:r>
      <w:r w:rsidRPr="00EE4AF5">
        <w:rPr>
          <w:rFonts w:ascii="Times New Roman" w:hAnsi="Times New Roman" w:cs="Times New Roman"/>
          <w:noProof/>
          <w:sz w:val="24"/>
          <w:szCs w:val="24"/>
        </w:rPr>
        <w:t xml:space="preserve">(1), 30–41. </w:t>
      </w:r>
    </w:p>
    <w:p w14:paraId="0ABC6F66" w14:textId="7CBC2BFA"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lastRenderedPageBreak/>
        <w:t xml:space="preserve">O’Neill, J., Tabish, H., Welch, V., Petticrew, M., Pottie, K., Clarke, M., Evans, T., Pardo Pardo, J., Waters, E., White, H.,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Tugwell, P. (2014). Applying an equity lens to interventions: Using PROGRESS ensures consideration of socially stratifying factors to illuminate inequities in health. </w:t>
      </w:r>
      <w:r w:rsidRPr="00EE4AF5">
        <w:rPr>
          <w:rFonts w:ascii="Times New Roman" w:hAnsi="Times New Roman" w:cs="Times New Roman"/>
          <w:i/>
          <w:iCs/>
          <w:noProof/>
          <w:sz w:val="24"/>
          <w:szCs w:val="24"/>
        </w:rPr>
        <w:t>Journal of Clinical Epidemiology</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67</w:t>
      </w:r>
      <w:r w:rsidRPr="00EE4AF5">
        <w:rPr>
          <w:rFonts w:ascii="Times New Roman" w:hAnsi="Times New Roman" w:cs="Times New Roman"/>
          <w:noProof/>
          <w:sz w:val="24"/>
          <w:szCs w:val="24"/>
        </w:rPr>
        <w:t xml:space="preserve">(1), 56–64. </w:t>
      </w:r>
    </w:p>
    <w:p w14:paraId="7A0A4051" w14:textId="59EFFF05"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Olsen, M., Norheim, O. F.,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Memirie, S. T. (2021). Reducing regional health inequality: a sub-national distributional cost-effectiveness analysis of community-based treatment of childhood pneumonia in Ethiopia. </w:t>
      </w:r>
      <w:r w:rsidRPr="00EE4AF5">
        <w:rPr>
          <w:rFonts w:ascii="Times New Roman" w:hAnsi="Times New Roman" w:cs="Times New Roman"/>
          <w:i/>
          <w:iCs/>
          <w:noProof/>
          <w:sz w:val="24"/>
          <w:szCs w:val="24"/>
        </w:rPr>
        <w:t>International Journal for Equity in Health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20</w:t>
      </w:r>
      <w:r w:rsidRPr="00EE4AF5">
        <w:rPr>
          <w:rFonts w:ascii="Times New Roman" w:hAnsi="Times New Roman" w:cs="Times New Roman"/>
          <w:noProof/>
          <w:sz w:val="24"/>
          <w:szCs w:val="24"/>
        </w:rPr>
        <w:t xml:space="preserve">(1), 1–10. </w:t>
      </w:r>
    </w:p>
    <w:p w14:paraId="76526054" w14:textId="63ED3B0F"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Pecenka, C. J., Johansson, K. A., Memirie, S. T., Jamison, D. T.,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Verguet, S. (2015). Health gains and financial risk protection: an extended cost-effectiveness analysis of treatment and prevention of diarrhoea in Ethiopia. </w:t>
      </w:r>
      <w:r w:rsidRPr="00EE4AF5">
        <w:rPr>
          <w:rFonts w:ascii="Times New Roman" w:hAnsi="Times New Roman" w:cs="Times New Roman"/>
          <w:i/>
          <w:iCs/>
          <w:noProof/>
          <w:sz w:val="24"/>
          <w:szCs w:val="24"/>
        </w:rPr>
        <w:t>BMJ Open</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5</w:t>
      </w:r>
      <w:r w:rsidRPr="00EE4AF5">
        <w:rPr>
          <w:rFonts w:ascii="Times New Roman" w:hAnsi="Times New Roman" w:cs="Times New Roman"/>
          <w:noProof/>
          <w:sz w:val="24"/>
          <w:szCs w:val="24"/>
        </w:rPr>
        <w:t xml:space="preserve">(4), e006402. </w:t>
      </w:r>
    </w:p>
    <w:p w14:paraId="51466EED" w14:textId="1EFFA909"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Pfadenhauer, L. M., Gerhardus, A., Mozygemba, K., Lysdahl, K. B., Booth, A., Hofmann, B., Wahlster, P., Polus, S., Burns, J., Brereton, L.,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Rehfuess, E. (2017). Making sense of complexity in context and implementation: The Context and Implementation of Complex Interventions (CICI) framework. </w:t>
      </w:r>
      <w:r w:rsidRPr="00EE4AF5">
        <w:rPr>
          <w:rFonts w:ascii="Times New Roman" w:hAnsi="Times New Roman" w:cs="Times New Roman"/>
          <w:i/>
          <w:iCs/>
          <w:noProof/>
          <w:sz w:val="24"/>
          <w:szCs w:val="24"/>
        </w:rPr>
        <w:t>Implementation Science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12</w:t>
      </w:r>
      <w:r w:rsidRPr="00EE4AF5">
        <w:rPr>
          <w:rFonts w:ascii="Times New Roman" w:hAnsi="Times New Roman" w:cs="Times New Roman"/>
          <w:noProof/>
          <w:sz w:val="24"/>
          <w:szCs w:val="24"/>
        </w:rPr>
        <w:t xml:space="preserve">(1), 1–17. </w:t>
      </w:r>
    </w:p>
    <w:p w14:paraId="161A500B" w14:textId="5104780A"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Poland, B., Krupa, G.,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Mccall, D. (2009). Settings for Health Promotion: An Analytic Framework to Guide Intervention Design and Implementation. </w:t>
      </w:r>
      <w:r w:rsidRPr="00EE4AF5">
        <w:rPr>
          <w:rFonts w:ascii="Times New Roman" w:hAnsi="Times New Roman" w:cs="Times New Roman"/>
          <w:i/>
          <w:iCs/>
          <w:noProof/>
          <w:sz w:val="24"/>
          <w:szCs w:val="24"/>
        </w:rPr>
        <w:t>Health Promotion Practice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10</w:t>
      </w:r>
      <w:r w:rsidRPr="00EE4AF5">
        <w:rPr>
          <w:rFonts w:ascii="Times New Roman" w:hAnsi="Times New Roman" w:cs="Times New Roman"/>
          <w:noProof/>
          <w:sz w:val="24"/>
          <w:szCs w:val="24"/>
        </w:rPr>
        <w:t xml:space="preserve">(4), 505–516. </w:t>
      </w:r>
    </w:p>
    <w:p w14:paraId="0A7D7696" w14:textId="337DF332"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Postolovska, I., Lavado, R., Tarr, G., Verguet, S., Iryna, F., Postolovska, I., Lavado, R.,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Tarr, G. (2018). </w:t>
      </w:r>
      <w:r w:rsidRPr="00EE4AF5">
        <w:rPr>
          <w:rFonts w:ascii="Times New Roman" w:hAnsi="Times New Roman" w:cs="Times New Roman"/>
          <w:i/>
          <w:iCs/>
          <w:noProof/>
          <w:sz w:val="24"/>
          <w:szCs w:val="24"/>
        </w:rPr>
        <w:t>The Health Gains , Financial Risk Protection Benefits , and Distributional Impact of Increased Tobacco Taxes in Armenia The Health Gains , Financial Risk Protection Benefits , and Distributional Impact of Increased Tobacco Taxes in Armenia</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8604</w:t>
      </w:r>
      <w:r w:rsidRPr="00EE4AF5">
        <w:rPr>
          <w:rFonts w:ascii="Times New Roman" w:hAnsi="Times New Roman" w:cs="Times New Roman"/>
          <w:noProof/>
          <w:sz w:val="24"/>
          <w:szCs w:val="24"/>
        </w:rPr>
        <w:t xml:space="preserve">. </w:t>
      </w:r>
    </w:p>
    <w:p w14:paraId="0A3B2200" w14:textId="146543B6"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lastRenderedPageBreak/>
        <w:t xml:space="preserve">Raworth, K. (2017). A Doughnut for the Anthropocene: humanity’s compass in the 21st century. </w:t>
      </w:r>
      <w:r w:rsidRPr="00EE4AF5">
        <w:rPr>
          <w:rFonts w:ascii="Times New Roman" w:hAnsi="Times New Roman" w:cs="Times New Roman"/>
          <w:i/>
          <w:iCs/>
          <w:noProof/>
          <w:sz w:val="24"/>
          <w:szCs w:val="24"/>
        </w:rPr>
        <w:t>The Lancet Planetary Health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w:t>
      </w:r>
      <w:r w:rsidRPr="00EE4AF5">
        <w:rPr>
          <w:rFonts w:ascii="Times New Roman" w:hAnsi="Times New Roman" w:cs="Times New Roman"/>
          <w:noProof/>
          <w:sz w:val="24"/>
          <w:szCs w:val="24"/>
        </w:rPr>
        <w:t xml:space="preserve">(2), e48–e49. </w:t>
      </w:r>
    </w:p>
    <w:p w14:paraId="199414BF" w14:textId="77777777"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Rogers, E. M. (2003). </w:t>
      </w:r>
      <w:r w:rsidRPr="00EE4AF5">
        <w:rPr>
          <w:rFonts w:ascii="Times New Roman" w:hAnsi="Times New Roman" w:cs="Times New Roman"/>
          <w:i/>
          <w:iCs/>
          <w:noProof/>
          <w:sz w:val="24"/>
          <w:szCs w:val="24"/>
        </w:rPr>
        <w:t>Diffusion of innovations 5th Edition. New York</w:t>
      </w:r>
      <w:r w:rsidRPr="00EE4AF5">
        <w:rPr>
          <w:rFonts w:ascii="Times New Roman" w:hAnsi="Times New Roman" w:cs="Times New Roman"/>
          <w:noProof/>
          <w:sz w:val="24"/>
          <w:szCs w:val="24"/>
        </w:rPr>
        <w:t>.</w:t>
      </w:r>
    </w:p>
    <w:p w14:paraId="60ECA672" w14:textId="29BD32B9"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Solar, O.,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Irwin, A. (2010). </w:t>
      </w:r>
      <w:r w:rsidRPr="00EE4AF5">
        <w:rPr>
          <w:rFonts w:ascii="Times New Roman" w:hAnsi="Times New Roman" w:cs="Times New Roman"/>
          <w:i/>
          <w:iCs/>
          <w:noProof/>
          <w:sz w:val="24"/>
          <w:szCs w:val="24"/>
        </w:rPr>
        <w:t>A conceptual framework for action on the social determinants of health.</w:t>
      </w:r>
      <w:r w:rsidRPr="00EE4AF5">
        <w:rPr>
          <w:rFonts w:ascii="Times New Roman" w:hAnsi="Times New Roman" w:cs="Times New Roman"/>
          <w:noProof/>
          <w:sz w:val="24"/>
          <w:szCs w:val="24"/>
        </w:rPr>
        <w:t xml:space="preserve"> 79. </w:t>
      </w:r>
    </w:p>
    <w:p w14:paraId="71BA530E" w14:textId="5A4F9C87"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Steffen, W., Richardson, K., Rockström, J., Cornell, S. E., Fetzer, I., Bennett, E. M., Biggs, R., Carpenter, S. R., De Vries, W., De Wit, C. A., Folke, C., Gerten, D., Heinke, J., Mace, G. M., Persson, L. M., Ramanathan, V., Reyers, B.,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Sörlin, S. (2015). Planetary boundaries: Guiding human development on a changing planet. </w:t>
      </w:r>
      <w:r w:rsidRPr="00EE4AF5">
        <w:rPr>
          <w:rFonts w:ascii="Times New Roman" w:hAnsi="Times New Roman" w:cs="Times New Roman"/>
          <w:i/>
          <w:iCs/>
          <w:noProof/>
          <w:sz w:val="24"/>
          <w:szCs w:val="24"/>
        </w:rPr>
        <w:t>Science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347</w:t>
      </w:r>
      <w:r w:rsidRPr="00EE4AF5">
        <w:rPr>
          <w:rFonts w:ascii="Times New Roman" w:hAnsi="Times New Roman" w:cs="Times New Roman"/>
          <w:noProof/>
          <w:sz w:val="24"/>
          <w:szCs w:val="24"/>
        </w:rPr>
        <w:t xml:space="preserve">(6223). </w:t>
      </w:r>
    </w:p>
    <w:p w14:paraId="141132A8" w14:textId="3B34BF29"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Vanderkruik, R.,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McPherson, M. E. (2017). A Contextual Factors Framework to Inform Implementation and Evaluation of Public Health Initiatives. </w:t>
      </w:r>
      <w:r w:rsidRPr="00EE4AF5">
        <w:rPr>
          <w:rFonts w:ascii="Times New Roman" w:hAnsi="Times New Roman" w:cs="Times New Roman"/>
          <w:i/>
          <w:iCs/>
          <w:noProof/>
          <w:sz w:val="24"/>
          <w:szCs w:val="24"/>
        </w:rPr>
        <w:t>American Journal of Evaluation</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38</w:t>
      </w:r>
      <w:r w:rsidRPr="00EE4AF5">
        <w:rPr>
          <w:rFonts w:ascii="Times New Roman" w:hAnsi="Times New Roman" w:cs="Times New Roman"/>
          <w:noProof/>
          <w:sz w:val="24"/>
          <w:szCs w:val="24"/>
        </w:rPr>
        <w:t xml:space="preserve">(3), 348–359. </w:t>
      </w:r>
    </w:p>
    <w:p w14:paraId="72D1002A" w14:textId="719652BF"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Verguet, S., Kim, J. J.,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Jamison, D. T. (2016). Extended Cost-Effectiveness Analysis for Health Policy Assessment: A Tutorial. </w:t>
      </w:r>
      <w:r w:rsidRPr="00EE4AF5">
        <w:rPr>
          <w:rFonts w:ascii="Times New Roman" w:hAnsi="Times New Roman" w:cs="Times New Roman"/>
          <w:i/>
          <w:iCs/>
          <w:noProof/>
          <w:sz w:val="24"/>
          <w:szCs w:val="24"/>
        </w:rPr>
        <w:t>PharmacoEconomics</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34</w:t>
      </w:r>
      <w:r w:rsidRPr="00EE4AF5">
        <w:rPr>
          <w:rFonts w:ascii="Times New Roman" w:hAnsi="Times New Roman" w:cs="Times New Roman"/>
          <w:noProof/>
          <w:sz w:val="24"/>
          <w:szCs w:val="24"/>
        </w:rPr>
        <w:t xml:space="preserve">(9), 913–923. </w:t>
      </w:r>
    </w:p>
    <w:p w14:paraId="570040BF" w14:textId="2EF154D6"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Verguet, S., Tarr, G., Gauvreau, C. L., Mishra, S., Jha, P., Liu, L., Xiao, Y., Qiu, Y.,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Zhao, K. (2017). Distributional benefits of tobacco tax and smoke-free workplaces in China: A modeling study. </w:t>
      </w:r>
      <w:r w:rsidRPr="00EE4AF5">
        <w:rPr>
          <w:rFonts w:ascii="Times New Roman" w:hAnsi="Times New Roman" w:cs="Times New Roman"/>
          <w:i/>
          <w:iCs/>
          <w:noProof/>
          <w:sz w:val="24"/>
          <w:szCs w:val="24"/>
        </w:rPr>
        <w:t>Journal of Global Health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7</w:t>
      </w:r>
      <w:r w:rsidRPr="00EE4AF5">
        <w:rPr>
          <w:rFonts w:ascii="Times New Roman" w:hAnsi="Times New Roman" w:cs="Times New Roman"/>
          <w:noProof/>
          <w:sz w:val="24"/>
          <w:szCs w:val="24"/>
        </w:rPr>
        <w:t xml:space="preserve">(2), 1–13. </w:t>
      </w:r>
    </w:p>
    <w:p w14:paraId="3FC0B208" w14:textId="7B505B7F"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Waters, E., Hall, B. J., Armstrong, R., Doyle, J., Pettman, T. L.,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De Silva-Sanigorski, A. (2011). Essential components of public health evidence reviews: Capturing intervention complexity, implementation, economics and equity. </w:t>
      </w:r>
      <w:r w:rsidRPr="00EE4AF5">
        <w:rPr>
          <w:rFonts w:ascii="Times New Roman" w:hAnsi="Times New Roman" w:cs="Times New Roman"/>
          <w:i/>
          <w:iCs/>
          <w:noProof/>
          <w:sz w:val="24"/>
          <w:szCs w:val="24"/>
        </w:rPr>
        <w:t>Journal of Public Health</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33</w:t>
      </w:r>
      <w:r w:rsidRPr="00EE4AF5">
        <w:rPr>
          <w:rFonts w:ascii="Times New Roman" w:hAnsi="Times New Roman" w:cs="Times New Roman"/>
          <w:noProof/>
          <w:sz w:val="24"/>
          <w:szCs w:val="24"/>
        </w:rPr>
        <w:t xml:space="preserve">(3), 462–465. </w:t>
      </w:r>
    </w:p>
    <w:p w14:paraId="5E7AC428" w14:textId="54D31B76"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lastRenderedPageBreak/>
        <w:t xml:space="preserve">Watkins, D. A., Olson, Z. D., Verguet, S., Nugent, R. A.,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Jamison, D. T. (2016). Cardiovascular disease and impoverishment averted due to a salt reduction policy in South Africa: An extended cost-effectiveness analysis. </w:t>
      </w:r>
      <w:r w:rsidRPr="00EE4AF5">
        <w:rPr>
          <w:rFonts w:ascii="Times New Roman" w:hAnsi="Times New Roman" w:cs="Times New Roman"/>
          <w:i/>
          <w:iCs/>
          <w:noProof/>
          <w:sz w:val="24"/>
          <w:szCs w:val="24"/>
        </w:rPr>
        <w:t>Health Policy and Planning</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31</w:t>
      </w:r>
      <w:r w:rsidRPr="00EE4AF5">
        <w:rPr>
          <w:rFonts w:ascii="Times New Roman" w:hAnsi="Times New Roman" w:cs="Times New Roman"/>
          <w:noProof/>
          <w:sz w:val="24"/>
          <w:szCs w:val="24"/>
        </w:rPr>
        <w:t xml:space="preserve">(1), 75–82. </w:t>
      </w:r>
    </w:p>
    <w:p w14:paraId="26C417E9" w14:textId="41D14F51"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Watts, N., Adger, W. N., </w:t>
      </w:r>
      <w:r w:rsidR="007C5DE6">
        <w:rPr>
          <w:rFonts w:ascii="Times New Roman" w:hAnsi="Times New Roman" w:cs="Times New Roman"/>
          <w:noProof/>
          <w:sz w:val="24"/>
          <w:szCs w:val="24"/>
        </w:rPr>
        <w:t>and</w:t>
      </w:r>
      <w:r w:rsidRPr="00EE4AF5">
        <w:rPr>
          <w:rFonts w:ascii="Times New Roman" w:hAnsi="Times New Roman" w:cs="Times New Roman"/>
          <w:noProof/>
          <w:sz w:val="24"/>
          <w:szCs w:val="24"/>
        </w:rPr>
        <w:t xml:space="preserve"> Agnolucci, P. (2015). Health and climate change: Policy responses to protect public health. </w:t>
      </w:r>
      <w:r w:rsidRPr="00EE4AF5">
        <w:rPr>
          <w:rFonts w:ascii="Times New Roman" w:hAnsi="Times New Roman" w:cs="Times New Roman"/>
          <w:i/>
          <w:iCs/>
          <w:noProof/>
          <w:sz w:val="24"/>
          <w:szCs w:val="24"/>
        </w:rPr>
        <w:t>Environnement, Risques et Sante</w:t>
      </w:r>
      <w:r w:rsidRPr="00EE4AF5">
        <w:rPr>
          <w:rFonts w:ascii="Times New Roman" w:hAnsi="Times New Roman" w:cs="Times New Roman"/>
          <w:noProof/>
          <w:sz w:val="24"/>
          <w:szCs w:val="24"/>
        </w:rPr>
        <w:t xml:space="preserve">, </w:t>
      </w:r>
      <w:r w:rsidRPr="00EE4AF5">
        <w:rPr>
          <w:rFonts w:ascii="Times New Roman" w:hAnsi="Times New Roman" w:cs="Times New Roman"/>
          <w:i/>
          <w:iCs/>
          <w:noProof/>
          <w:sz w:val="24"/>
          <w:szCs w:val="24"/>
        </w:rPr>
        <w:t>14</w:t>
      </w:r>
      <w:r w:rsidRPr="00EE4AF5">
        <w:rPr>
          <w:rFonts w:ascii="Times New Roman" w:hAnsi="Times New Roman" w:cs="Times New Roman"/>
          <w:noProof/>
          <w:sz w:val="24"/>
          <w:szCs w:val="24"/>
        </w:rPr>
        <w:t xml:space="preserve">(6), 466–468. </w:t>
      </w:r>
    </w:p>
    <w:p w14:paraId="4BD61644" w14:textId="77777777"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szCs w:val="24"/>
        </w:rPr>
      </w:pPr>
      <w:r w:rsidRPr="00EE4AF5">
        <w:rPr>
          <w:rFonts w:ascii="Times New Roman" w:hAnsi="Times New Roman" w:cs="Times New Roman"/>
          <w:noProof/>
          <w:sz w:val="24"/>
          <w:szCs w:val="24"/>
        </w:rPr>
        <w:t xml:space="preserve">World Health Organization. (2013). </w:t>
      </w:r>
      <w:r w:rsidRPr="00EE4AF5">
        <w:rPr>
          <w:rFonts w:ascii="Times New Roman" w:hAnsi="Times New Roman" w:cs="Times New Roman"/>
          <w:i/>
          <w:iCs/>
          <w:noProof/>
          <w:sz w:val="24"/>
          <w:szCs w:val="24"/>
        </w:rPr>
        <w:t>Arguing for Universal Health Coverage</w:t>
      </w:r>
      <w:r w:rsidRPr="00EE4AF5">
        <w:rPr>
          <w:rFonts w:ascii="Times New Roman" w:hAnsi="Times New Roman" w:cs="Times New Roman"/>
          <w:noProof/>
          <w:sz w:val="24"/>
          <w:szCs w:val="24"/>
        </w:rPr>
        <w:t>. 39.</w:t>
      </w:r>
    </w:p>
    <w:p w14:paraId="6F2119A0" w14:textId="77777777" w:rsidR="00EE4AF5" w:rsidRPr="00EE4AF5" w:rsidRDefault="00EE4AF5" w:rsidP="00EE4AF5">
      <w:pPr>
        <w:widowControl w:val="0"/>
        <w:autoSpaceDE w:val="0"/>
        <w:autoSpaceDN w:val="0"/>
        <w:adjustRightInd w:val="0"/>
        <w:spacing w:line="480" w:lineRule="auto"/>
        <w:ind w:left="480" w:hanging="480"/>
        <w:rPr>
          <w:rFonts w:ascii="Times New Roman" w:hAnsi="Times New Roman" w:cs="Times New Roman"/>
          <w:noProof/>
          <w:sz w:val="24"/>
        </w:rPr>
      </w:pPr>
      <w:r w:rsidRPr="00EE4AF5">
        <w:rPr>
          <w:rFonts w:ascii="Times New Roman" w:hAnsi="Times New Roman" w:cs="Times New Roman"/>
          <w:noProof/>
          <w:sz w:val="24"/>
          <w:szCs w:val="24"/>
        </w:rPr>
        <w:t xml:space="preserve">World Health Organization. (2016). </w:t>
      </w:r>
      <w:r w:rsidRPr="00EE4AF5">
        <w:rPr>
          <w:rFonts w:ascii="Times New Roman" w:hAnsi="Times New Roman" w:cs="Times New Roman"/>
          <w:i/>
          <w:iCs/>
          <w:noProof/>
          <w:sz w:val="24"/>
          <w:szCs w:val="24"/>
        </w:rPr>
        <w:t>Universal health coverage: moving towards better health: action framework for the Western Pacific Region.</w:t>
      </w:r>
    </w:p>
    <w:p w14:paraId="7BEF9654" w14:textId="614CF21E" w:rsidR="002B485F" w:rsidRPr="007A28AF" w:rsidRDefault="002B485F"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fldChar w:fldCharType="end"/>
      </w:r>
    </w:p>
    <w:bookmarkEnd w:id="1"/>
    <w:p w14:paraId="6F304DF3" w14:textId="2B2B57DE" w:rsidR="00D80855" w:rsidRPr="007A28AF" w:rsidRDefault="00D80855" w:rsidP="00F632B7">
      <w:pPr>
        <w:spacing w:line="480" w:lineRule="auto"/>
        <w:jc w:val="both"/>
        <w:rPr>
          <w:rFonts w:ascii="Times New Roman" w:hAnsi="Times New Roman" w:cs="Times New Roman"/>
          <w:sz w:val="24"/>
          <w:szCs w:val="24"/>
        </w:rPr>
      </w:pPr>
    </w:p>
    <w:p w14:paraId="38D6AB67" w14:textId="56A27E0A" w:rsidR="00D80855" w:rsidRPr="007A28AF" w:rsidRDefault="00D80855" w:rsidP="00F632B7">
      <w:pPr>
        <w:spacing w:line="480" w:lineRule="auto"/>
        <w:jc w:val="both"/>
        <w:rPr>
          <w:rFonts w:ascii="Times New Roman" w:hAnsi="Times New Roman" w:cs="Times New Roman"/>
          <w:sz w:val="24"/>
          <w:szCs w:val="24"/>
        </w:rPr>
      </w:pPr>
    </w:p>
    <w:p w14:paraId="32CA33EE" w14:textId="1236F353" w:rsidR="005D075E" w:rsidRPr="007A28AF" w:rsidRDefault="005D075E" w:rsidP="00F632B7">
      <w:pPr>
        <w:spacing w:line="480" w:lineRule="auto"/>
        <w:jc w:val="both"/>
        <w:rPr>
          <w:rFonts w:ascii="Times New Roman" w:hAnsi="Times New Roman" w:cs="Times New Roman"/>
          <w:sz w:val="24"/>
          <w:szCs w:val="24"/>
        </w:rPr>
      </w:pPr>
    </w:p>
    <w:p w14:paraId="61218407" w14:textId="5DD2E851" w:rsidR="005D075E" w:rsidRPr="007A28AF" w:rsidRDefault="005D075E" w:rsidP="00F632B7">
      <w:pPr>
        <w:spacing w:line="480" w:lineRule="auto"/>
        <w:jc w:val="both"/>
        <w:rPr>
          <w:rFonts w:ascii="Times New Roman" w:hAnsi="Times New Roman" w:cs="Times New Roman"/>
          <w:sz w:val="24"/>
          <w:szCs w:val="24"/>
        </w:rPr>
      </w:pPr>
    </w:p>
    <w:p w14:paraId="7F275B37" w14:textId="23E34D7C" w:rsidR="005D075E" w:rsidRPr="007A28AF" w:rsidRDefault="005D075E" w:rsidP="00F632B7">
      <w:pPr>
        <w:spacing w:line="480" w:lineRule="auto"/>
        <w:jc w:val="both"/>
        <w:rPr>
          <w:rFonts w:ascii="Times New Roman" w:hAnsi="Times New Roman" w:cs="Times New Roman"/>
          <w:sz w:val="24"/>
          <w:szCs w:val="24"/>
        </w:rPr>
      </w:pPr>
    </w:p>
    <w:p w14:paraId="6220554D" w14:textId="0D756137" w:rsidR="005D075E" w:rsidRPr="007A28AF" w:rsidRDefault="005D075E" w:rsidP="00F632B7">
      <w:pPr>
        <w:spacing w:line="480" w:lineRule="auto"/>
        <w:jc w:val="both"/>
        <w:rPr>
          <w:rFonts w:ascii="Times New Roman" w:hAnsi="Times New Roman" w:cs="Times New Roman"/>
          <w:sz w:val="24"/>
          <w:szCs w:val="24"/>
        </w:rPr>
      </w:pPr>
    </w:p>
    <w:p w14:paraId="6B1F2038" w14:textId="2423E8C0" w:rsidR="005D075E" w:rsidRPr="007A28AF" w:rsidRDefault="005D075E" w:rsidP="00F632B7">
      <w:pPr>
        <w:spacing w:line="480" w:lineRule="auto"/>
        <w:jc w:val="both"/>
        <w:rPr>
          <w:rFonts w:ascii="Times New Roman" w:hAnsi="Times New Roman" w:cs="Times New Roman"/>
          <w:sz w:val="24"/>
          <w:szCs w:val="24"/>
        </w:rPr>
      </w:pPr>
    </w:p>
    <w:p w14:paraId="10A4D084" w14:textId="1DE0055D" w:rsidR="005D075E" w:rsidRPr="007A28AF" w:rsidRDefault="005D075E" w:rsidP="00F632B7">
      <w:pPr>
        <w:spacing w:line="480" w:lineRule="auto"/>
        <w:jc w:val="both"/>
        <w:rPr>
          <w:rFonts w:ascii="Times New Roman" w:hAnsi="Times New Roman" w:cs="Times New Roman"/>
          <w:sz w:val="24"/>
          <w:szCs w:val="24"/>
        </w:rPr>
      </w:pPr>
    </w:p>
    <w:p w14:paraId="363A771C" w14:textId="40291844" w:rsidR="005D075E" w:rsidRDefault="005D075E" w:rsidP="00F632B7">
      <w:pPr>
        <w:spacing w:line="480" w:lineRule="auto"/>
        <w:jc w:val="both"/>
        <w:rPr>
          <w:rFonts w:ascii="Times New Roman" w:hAnsi="Times New Roman" w:cs="Times New Roman"/>
          <w:sz w:val="24"/>
          <w:szCs w:val="24"/>
        </w:rPr>
      </w:pPr>
    </w:p>
    <w:p w14:paraId="0394C338" w14:textId="7D11FF00" w:rsidR="00DF1296" w:rsidRDefault="00DF1296" w:rsidP="00F632B7">
      <w:pPr>
        <w:spacing w:line="480" w:lineRule="auto"/>
        <w:jc w:val="both"/>
        <w:rPr>
          <w:rFonts w:ascii="Times New Roman" w:hAnsi="Times New Roman" w:cs="Times New Roman"/>
          <w:sz w:val="24"/>
          <w:szCs w:val="24"/>
        </w:rPr>
      </w:pPr>
    </w:p>
    <w:p w14:paraId="24F93DBD" w14:textId="692ACA0B" w:rsidR="009868D5" w:rsidRDefault="009868D5" w:rsidP="00F632B7">
      <w:pPr>
        <w:spacing w:line="480" w:lineRule="auto"/>
        <w:jc w:val="both"/>
        <w:rPr>
          <w:rFonts w:ascii="Times New Roman" w:hAnsi="Times New Roman" w:cs="Times New Roman"/>
          <w:sz w:val="24"/>
          <w:szCs w:val="24"/>
        </w:rPr>
        <w:sectPr w:rsidR="009868D5" w:rsidSect="007F314A">
          <w:pgSz w:w="12240" w:h="15840"/>
          <w:pgMar w:top="1440" w:right="1440" w:bottom="1440" w:left="1440" w:header="720" w:footer="720" w:gutter="0"/>
          <w:cols w:space="720"/>
          <w:docGrid w:linePitch="360"/>
        </w:sectPr>
      </w:pPr>
    </w:p>
    <w:p w14:paraId="56EAB593" w14:textId="6E6BDBB3" w:rsidR="00D80855" w:rsidRPr="007A28AF" w:rsidRDefault="00D80855" w:rsidP="00F632B7">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lastRenderedPageBreak/>
        <w:t>APPENDIX</w:t>
      </w:r>
    </w:p>
    <w:p w14:paraId="3C7A0DCF" w14:textId="500DE578" w:rsidR="00A022C0" w:rsidRPr="006156DD" w:rsidRDefault="00A022C0" w:rsidP="00A022C0">
      <w:pPr>
        <w:spacing w:line="480" w:lineRule="auto"/>
        <w:jc w:val="both"/>
        <w:rPr>
          <w:rFonts w:ascii="Times New Roman" w:hAnsi="Times New Roman" w:cs="Times New Roman"/>
          <w:b/>
          <w:bCs/>
          <w:sz w:val="24"/>
          <w:szCs w:val="24"/>
        </w:rPr>
      </w:pPr>
      <w:r w:rsidRPr="006156DD">
        <w:rPr>
          <w:rFonts w:ascii="Times New Roman" w:hAnsi="Times New Roman" w:cs="Times New Roman"/>
          <w:b/>
          <w:bCs/>
          <w:sz w:val="24"/>
          <w:szCs w:val="24"/>
        </w:rPr>
        <w:t>Table 1</w:t>
      </w:r>
      <w:r w:rsidR="00DF1296">
        <w:rPr>
          <w:rFonts w:ascii="Times New Roman" w:hAnsi="Times New Roman" w:cs="Times New Roman"/>
          <w:b/>
          <w:bCs/>
          <w:sz w:val="24"/>
          <w:szCs w:val="24"/>
        </w:rPr>
        <w:t>.</w:t>
      </w:r>
      <w:r w:rsidRPr="006156DD">
        <w:rPr>
          <w:rFonts w:ascii="Times New Roman" w:hAnsi="Times New Roman" w:cs="Times New Roman"/>
          <w:b/>
          <w:bCs/>
          <w:sz w:val="24"/>
          <w:szCs w:val="24"/>
        </w:rPr>
        <w:t xml:space="preserve"> </w:t>
      </w:r>
      <w:r>
        <w:rPr>
          <w:rFonts w:ascii="Times New Roman" w:hAnsi="Times New Roman" w:cs="Times New Roman"/>
          <w:b/>
          <w:bCs/>
          <w:sz w:val="24"/>
          <w:szCs w:val="24"/>
        </w:rPr>
        <w:t>The Evaluative Research on Intervention and Context Assessment Tool</w:t>
      </w:r>
      <w:r w:rsidR="00BB765D">
        <w:rPr>
          <w:rFonts w:ascii="Times New Roman" w:hAnsi="Times New Roman" w:cs="Times New Roman"/>
          <w:b/>
          <w:bCs/>
          <w:sz w:val="24"/>
          <w:szCs w:val="24"/>
        </w:rPr>
        <w:t xml:space="preserve"> (ERIC-A)</w:t>
      </w:r>
    </w:p>
    <w:tbl>
      <w:tblPr>
        <w:tblStyle w:val="TableGrid"/>
        <w:tblW w:w="13855" w:type="dxa"/>
        <w:tblLook w:val="04A0" w:firstRow="1" w:lastRow="0" w:firstColumn="1" w:lastColumn="0" w:noHBand="0" w:noVBand="1"/>
      </w:tblPr>
      <w:tblGrid>
        <w:gridCol w:w="506"/>
        <w:gridCol w:w="2276"/>
        <w:gridCol w:w="1983"/>
        <w:gridCol w:w="2430"/>
        <w:gridCol w:w="2970"/>
        <w:gridCol w:w="3690"/>
      </w:tblGrid>
      <w:tr w:rsidR="007B6ABD" w:rsidRPr="00D808F5" w14:paraId="73E429E5" w14:textId="09B22698" w:rsidTr="007B6ABD">
        <w:tc>
          <w:tcPr>
            <w:tcW w:w="506" w:type="dxa"/>
          </w:tcPr>
          <w:p w14:paraId="3170A035" w14:textId="77777777" w:rsidR="00803219" w:rsidRPr="00D808F5" w:rsidRDefault="00803219" w:rsidP="00D808F5">
            <w:pPr>
              <w:jc w:val="both"/>
              <w:rPr>
                <w:rFonts w:ascii="Times New Roman" w:hAnsi="Times New Roman" w:cs="Times New Roman"/>
                <w:b/>
                <w:bCs/>
                <w:sz w:val="18"/>
                <w:szCs w:val="18"/>
              </w:rPr>
            </w:pPr>
          </w:p>
        </w:tc>
        <w:tc>
          <w:tcPr>
            <w:tcW w:w="2276" w:type="dxa"/>
          </w:tcPr>
          <w:p w14:paraId="48BEDB35" w14:textId="7B5C35F6" w:rsidR="00803219" w:rsidRPr="00D808F5" w:rsidRDefault="00803219" w:rsidP="00D808F5">
            <w:pPr>
              <w:jc w:val="both"/>
              <w:rPr>
                <w:rFonts w:ascii="Times New Roman" w:hAnsi="Times New Roman" w:cs="Times New Roman"/>
                <w:b/>
                <w:bCs/>
                <w:sz w:val="18"/>
                <w:szCs w:val="18"/>
              </w:rPr>
            </w:pPr>
            <w:r w:rsidRPr="00D808F5">
              <w:rPr>
                <w:rFonts w:ascii="Times New Roman" w:hAnsi="Times New Roman" w:cs="Times New Roman"/>
                <w:b/>
                <w:bCs/>
                <w:sz w:val="18"/>
                <w:szCs w:val="18"/>
              </w:rPr>
              <w:t>Domain</w:t>
            </w:r>
          </w:p>
        </w:tc>
        <w:tc>
          <w:tcPr>
            <w:tcW w:w="1983" w:type="dxa"/>
          </w:tcPr>
          <w:p w14:paraId="5CEC64CE" w14:textId="33BEBA5B" w:rsidR="00803219" w:rsidRPr="00D808F5" w:rsidRDefault="003F0CC6" w:rsidP="00D808F5">
            <w:pPr>
              <w:jc w:val="both"/>
              <w:rPr>
                <w:rFonts w:ascii="Times New Roman" w:hAnsi="Times New Roman" w:cs="Times New Roman"/>
                <w:b/>
                <w:bCs/>
                <w:sz w:val="18"/>
                <w:szCs w:val="18"/>
              </w:rPr>
            </w:pPr>
            <w:r w:rsidRPr="00D808F5">
              <w:rPr>
                <w:rFonts w:ascii="Times New Roman" w:hAnsi="Times New Roman" w:cs="Times New Roman"/>
                <w:b/>
                <w:bCs/>
                <w:sz w:val="18"/>
                <w:szCs w:val="18"/>
              </w:rPr>
              <w:t>Description</w:t>
            </w:r>
          </w:p>
        </w:tc>
        <w:tc>
          <w:tcPr>
            <w:tcW w:w="2430" w:type="dxa"/>
          </w:tcPr>
          <w:p w14:paraId="51FCE19D" w14:textId="68A4752C" w:rsidR="00803219" w:rsidRPr="00D808F5" w:rsidRDefault="00803219" w:rsidP="00D808F5">
            <w:pPr>
              <w:jc w:val="both"/>
              <w:rPr>
                <w:rFonts w:ascii="Times New Roman" w:hAnsi="Times New Roman" w:cs="Times New Roman"/>
                <w:b/>
                <w:bCs/>
                <w:sz w:val="18"/>
                <w:szCs w:val="18"/>
              </w:rPr>
            </w:pPr>
            <w:r w:rsidRPr="00D808F5">
              <w:rPr>
                <w:rFonts w:ascii="Times New Roman" w:hAnsi="Times New Roman" w:cs="Times New Roman"/>
                <w:b/>
                <w:bCs/>
                <w:sz w:val="18"/>
                <w:szCs w:val="18"/>
              </w:rPr>
              <w:t>Constructs</w:t>
            </w:r>
          </w:p>
        </w:tc>
        <w:tc>
          <w:tcPr>
            <w:tcW w:w="2970" w:type="dxa"/>
          </w:tcPr>
          <w:p w14:paraId="53E306B9" w14:textId="3CA29583" w:rsidR="00803219" w:rsidRPr="00D808F5" w:rsidRDefault="00803219" w:rsidP="00D808F5">
            <w:pPr>
              <w:jc w:val="both"/>
              <w:rPr>
                <w:rFonts w:ascii="Times New Roman" w:hAnsi="Times New Roman" w:cs="Times New Roman"/>
                <w:b/>
                <w:bCs/>
                <w:sz w:val="18"/>
                <w:szCs w:val="18"/>
              </w:rPr>
            </w:pPr>
            <w:r w:rsidRPr="00D808F5">
              <w:rPr>
                <w:rFonts w:ascii="Times New Roman" w:hAnsi="Times New Roman" w:cs="Times New Roman"/>
                <w:b/>
                <w:bCs/>
                <w:sz w:val="18"/>
                <w:szCs w:val="18"/>
              </w:rPr>
              <w:t>Questions</w:t>
            </w:r>
          </w:p>
        </w:tc>
        <w:tc>
          <w:tcPr>
            <w:tcW w:w="3690" w:type="dxa"/>
          </w:tcPr>
          <w:p w14:paraId="127F489F" w14:textId="7F432898" w:rsidR="00803219" w:rsidRPr="00D808F5" w:rsidRDefault="00803219" w:rsidP="00D808F5">
            <w:pPr>
              <w:jc w:val="both"/>
              <w:rPr>
                <w:rFonts w:ascii="Times New Roman" w:hAnsi="Times New Roman" w:cs="Times New Roman"/>
                <w:b/>
                <w:bCs/>
                <w:sz w:val="18"/>
                <w:szCs w:val="18"/>
              </w:rPr>
            </w:pPr>
            <w:r w:rsidRPr="00D808F5">
              <w:rPr>
                <w:rFonts w:ascii="Times New Roman" w:hAnsi="Times New Roman" w:cs="Times New Roman"/>
                <w:b/>
                <w:bCs/>
                <w:sz w:val="18"/>
                <w:szCs w:val="18"/>
              </w:rPr>
              <w:t>Relevance, associated Contextual Change Techniques</w:t>
            </w:r>
            <w:r w:rsidR="0070066E">
              <w:rPr>
                <w:rFonts w:ascii="Times New Roman" w:hAnsi="Times New Roman" w:cs="Times New Roman"/>
                <w:b/>
                <w:bCs/>
                <w:sz w:val="18"/>
                <w:szCs w:val="18"/>
              </w:rPr>
              <w:t xml:space="preserve"> (CCT)</w:t>
            </w:r>
          </w:p>
        </w:tc>
      </w:tr>
      <w:tr w:rsidR="0070066E" w:rsidRPr="00D808F5" w14:paraId="772AAAAC" w14:textId="3811C677" w:rsidTr="007B6ABD">
        <w:trPr>
          <w:trHeight w:val="809"/>
        </w:trPr>
        <w:tc>
          <w:tcPr>
            <w:tcW w:w="506" w:type="dxa"/>
            <w:vMerge w:val="restart"/>
          </w:tcPr>
          <w:p w14:paraId="13282816" w14:textId="77777777"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1.</w:t>
            </w:r>
          </w:p>
        </w:tc>
        <w:tc>
          <w:tcPr>
            <w:tcW w:w="2276" w:type="dxa"/>
            <w:vMerge w:val="restart"/>
          </w:tcPr>
          <w:p w14:paraId="1BC7970F" w14:textId="39DFBA53"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Epidemiological</w:t>
            </w:r>
          </w:p>
          <w:p w14:paraId="7ACC0DFE" w14:textId="0141B04E" w:rsidR="0070066E" w:rsidRPr="00D808F5" w:rsidRDefault="0070066E" w:rsidP="00D808F5">
            <w:pPr>
              <w:jc w:val="both"/>
              <w:rPr>
                <w:rFonts w:ascii="Times New Roman" w:hAnsi="Times New Roman" w:cs="Times New Roman"/>
                <w:sz w:val="18"/>
                <w:szCs w:val="18"/>
              </w:rPr>
            </w:pPr>
          </w:p>
          <w:p w14:paraId="50154A85" w14:textId="77777777" w:rsidR="0070066E" w:rsidRPr="00D808F5" w:rsidRDefault="0070066E" w:rsidP="00D808F5">
            <w:pPr>
              <w:jc w:val="both"/>
              <w:rPr>
                <w:rFonts w:ascii="Times New Roman" w:hAnsi="Times New Roman" w:cs="Times New Roman"/>
                <w:sz w:val="18"/>
                <w:szCs w:val="18"/>
              </w:rPr>
            </w:pPr>
          </w:p>
          <w:p w14:paraId="5861D20F" w14:textId="77777777" w:rsidR="0070066E" w:rsidRPr="00D808F5" w:rsidRDefault="0070066E" w:rsidP="00D808F5">
            <w:pPr>
              <w:jc w:val="both"/>
              <w:rPr>
                <w:rFonts w:ascii="Times New Roman" w:hAnsi="Times New Roman" w:cs="Times New Roman"/>
                <w:sz w:val="18"/>
                <w:szCs w:val="18"/>
              </w:rPr>
            </w:pPr>
          </w:p>
        </w:tc>
        <w:tc>
          <w:tcPr>
            <w:tcW w:w="1983" w:type="dxa"/>
            <w:vMerge w:val="restart"/>
          </w:tcPr>
          <w:p w14:paraId="20959BE9" w14:textId="5ADD27DB" w:rsidR="0070066E" w:rsidRPr="00D17F47" w:rsidRDefault="0070066E" w:rsidP="00D808F5">
            <w:pPr>
              <w:jc w:val="both"/>
              <w:rPr>
                <w:rFonts w:ascii="Times New Roman" w:hAnsi="Times New Roman" w:cs="Times New Roman"/>
                <w:sz w:val="18"/>
                <w:szCs w:val="18"/>
              </w:rPr>
            </w:pPr>
            <w:r w:rsidRPr="00D17F47">
              <w:rPr>
                <w:rFonts w:ascii="Times New Roman" w:hAnsi="Times New Roman" w:cs="Times New Roman"/>
                <w:sz w:val="18"/>
                <w:szCs w:val="18"/>
              </w:rPr>
              <w:t xml:space="preserve">Baseline incidence, </w:t>
            </w:r>
            <w:proofErr w:type="gramStart"/>
            <w:r w:rsidRPr="00D17F47">
              <w:rPr>
                <w:rFonts w:ascii="Times New Roman" w:hAnsi="Times New Roman" w:cs="Times New Roman"/>
                <w:sz w:val="18"/>
                <w:szCs w:val="18"/>
              </w:rPr>
              <w:t>prevalence</w:t>
            </w:r>
            <w:proofErr w:type="gramEnd"/>
            <w:r w:rsidRPr="00D17F47">
              <w:rPr>
                <w:rFonts w:ascii="Times New Roman" w:hAnsi="Times New Roman" w:cs="Times New Roman"/>
                <w:sz w:val="18"/>
                <w:szCs w:val="18"/>
              </w:rPr>
              <w:t xml:space="preserve"> and distribution</w:t>
            </w:r>
            <w:r w:rsidRPr="00D808F5">
              <w:rPr>
                <w:rFonts w:ascii="Times New Roman" w:hAnsi="Times New Roman" w:cs="Times New Roman"/>
                <w:sz w:val="18"/>
                <w:szCs w:val="18"/>
              </w:rPr>
              <w:t xml:space="preserve"> </w:t>
            </w:r>
            <w:r w:rsidRPr="00D17F47">
              <w:rPr>
                <w:rFonts w:ascii="Times New Roman" w:hAnsi="Times New Roman" w:cs="Times New Roman"/>
                <w:sz w:val="18"/>
                <w:szCs w:val="18"/>
              </w:rPr>
              <w:t>of the health problem of interest and its</w:t>
            </w:r>
          </w:p>
          <w:p w14:paraId="5D766687" w14:textId="714EDF03"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determinants in the target population.</w:t>
            </w:r>
          </w:p>
          <w:p w14:paraId="3BC45CD8" w14:textId="087F2920" w:rsidR="0070066E" w:rsidRPr="00D808F5" w:rsidRDefault="0070066E" w:rsidP="00D808F5">
            <w:pPr>
              <w:jc w:val="both"/>
              <w:rPr>
                <w:rFonts w:ascii="Times New Roman" w:hAnsi="Times New Roman" w:cs="Times New Roman"/>
                <w:sz w:val="18"/>
                <w:szCs w:val="18"/>
              </w:rPr>
            </w:pPr>
          </w:p>
        </w:tc>
        <w:tc>
          <w:tcPr>
            <w:tcW w:w="2430" w:type="dxa"/>
          </w:tcPr>
          <w:p w14:paraId="4EEA2510" w14:textId="7B5B3AE7"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Disease incidence or prevalence or burden</w:t>
            </w:r>
          </w:p>
        </w:tc>
        <w:tc>
          <w:tcPr>
            <w:tcW w:w="2970" w:type="dxa"/>
          </w:tcPr>
          <w:p w14:paraId="57B34681" w14:textId="77777777"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What is the disease incidence/prevalence in the target population?</w:t>
            </w:r>
          </w:p>
          <w:p w14:paraId="6FEFEAAD" w14:textId="208B988D" w:rsidR="0070066E" w:rsidRPr="00D808F5" w:rsidRDefault="0070066E" w:rsidP="00D808F5">
            <w:pPr>
              <w:jc w:val="both"/>
              <w:rPr>
                <w:rFonts w:ascii="Times New Roman" w:hAnsi="Times New Roman" w:cs="Times New Roman"/>
                <w:sz w:val="18"/>
                <w:szCs w:val="18"/>
              </w:rPr>
            </w:pPr>
          </w:p>
        </w:tc>
        <w:tc>
          <w:tcPr>
            <w:tcW w:w="3690" w:type="dxa"/>
            <w:vMerge w:val="restart"/>
          </w:tcPr>
          <w:p w14:paraId="42CBB442" w14:textId="77777777" w:rsidR="0070066E" w:rsidRDefault="0070066E" w:rsidP="00D808F5">
            <w:pPr>
              <w:jc w:val="both"/>
              <w:rPr>
                <w:rFonts w:ascii="Times New Roman" w:hAnsi="Times New Roman" w:cs="Times New Roman"/>
                <w:sz w:val="18"/>
                <w:szCs w:val="18"/>
              </w:rPr>
            </w:pPr>
            <w:r w:rsidRPr="0070066E">
              <w:rPr>
                <w:rFonts w:ascii="Times New Roman" w:hAnsi="Times New Roman" w:cs="Times New Roman"/>
                <w:b/>
                <w:bCs/>
                <w:sz w:val="18"/>
                <w:szCs w:val="18"/>
              </w:rPr>
              <w:t>CCT</w:t>
            </w:r>
            <w:r>
              <w:rPr>
                <w:rFonts w:ascii="Times New Roman" w:hAnsi="Times New Roman" w:cs="Times New Roman"/>
                <w:sz w:val="18"/>
                <w:szCs w:val="18"/>
              </w:rPr>
              <w:t xml:space="preserve">: </w:t>
            </w:r>
            <w:r w:rsidR="00FF1F36">
              <w:rPr>
                <w:rFonts w:ascii="Times New Roman" w:hAnsi="Times New Roman" w:cs="Times New Roman"/>
                <w:sz w:val="18"/>
                <w:szCs w:val="18"/>
              </w:rPr>
              <w:t>prioritize population sub-groups with relatively higher base case incidence.</w:t>
            </w:r>
          </w:p>
          <w:p w14:paraId="76118C6B" w14:textId="77777777" w:rsidR="00EB2804" w:rsidRDefault="00EB2804" w:rsidP="00D808F5">
            <w:pPr>
              <w:jc w:val="both"/>
              <w:rPr>
                <w:rFonts w:ascii="Times New Roman" w:hAnsi="Times New Roman" w:cs="Times New Roman"/>
                <w:sz w:val="18"/>
                <w:szCs w:val="18"/>
              </w:rPr>
            </w:pPr>
          </w:p>
          <w:p w14:paraId="1CF7A0BE" w14:textId="5010EAB3" w:rsidR="00EB2804" w:rsidRPr="00D808F5" w:rsidRDefault="00EB2804" w:rsidP="00D808F5">
            <w:pPr>
              <w:jc w:val="both"/>
              <w:rPr>
                <w:rFonts w:ascii="Times New Roman" w:hAnsi="Times New Roman" w:cs="Times New Roman"/>
                <w:sz w:val="18"/>
                <w:szCs w:val="18"/>
              </w:rPr>
            </w:pPr>
            <w:r w:rsidRPr="00050AB2">
              <w:rPr>
                <w:rFonts w:ascii="Times New Roman" w:hAnsi="Times New Roman" w:cs="Times New Roman"/>
                <w:b/>
                <w:bCs/>
                <w:sz w:val="18"/>
                <w:szCs w:val="18"/>
              </w:rPr>
              <w:t>Relevance</w:t>
            </w:r>
            <w:r>
              <w:rPr>
                <w:rFonts w:ascii="Times New Roman" w:hAnsi="Times New Roman" w:cs="Times New Roman"/>
                <w:sz w:val="18"/>
                <w:szCs w:val="18"/>
              </w:rPr>
              <w:t xml:space="preserve">: Is available data on the incidence reliable? </w:t>
            </w:r>
          </w:p>
        </w:tc>
      </w:tr>
      <w:tr w:rsidR="0070066E" w:rsidRPr="00D808F5" w14:paraId="6385C389" w14:textId="77777777" w:rsidTr="007B6ABD">
        <w:trPr>
          <w:trHeight w:val="620"/>
        </w:trPr>
        <w:tc>
          <w:tcPr>
            <w:tcW w:w="506" w:type="dxa"/>
            <w:vMerge/>
          </w:tcPr>
          <w:p w14:paraId="5C85CC80" w14:textId="77777777" w:rsidR="0070066E" w:rsidRPr="00D808F5" w:rsidRDefault="0070066E" w:rsidP="00D808F5">
            <w:pPr>
              <w:jc w:val="both"/>
              <w:rPr>
                <w:rFonts w:ascii="Times New Roman" w:hAnsi="Times New Roman" w:cs="Times New Roman"/>
                <w:sz w:val="18"/>
                <w:szCs w:val="18"/>
              </w:rPr>
            </w:pPr>
          </w:p>
        </w:tc>
        <w:tc>
          <w:tcPr>
            <w:tcW w:w="2276" w:type="dxa"/>
            <w:vMerge/>
          </w:tcPr>
          <w:p w14:paraId="14031F8C" w14:textId="77777777" w:rsidR="0070066E" w:rsidRPr="00D808F5" w:rsidRDefault="0070066E" w:rsidP="00D808F5">
            <w:pPr>
              <w:jc w:val="both"/>
              <w:rPr>
                <w:rFonts w:ascii="Times New Roman" w:hAnsi="Times New Roman" w:cs="Times New Roman"/>
                <w:sz w:val="18"/>
                <w:szCs w:val="18"/>
              </w:rPr>
            </w:pPr>
          </w:p>
        </w:tc>
        <w:tc>
          <w:tcPr>
            <w:tcW w:w="1983" w:type="dxa"/>
            <w:vMerge/>
          </w:tcPr>
          <w:p w14:paraId="56DDF78E" w14:textId="77777777" w:rsidR="0070066E" w:rsidRPr="00D808F5" w:rsidRDefault="0070066E" w:rsidP="00D808F5">
            <w:pPr>
              <w:jc w:val="both"/>
              <w:rPr>
                <w:rFonts w:ascii="Times New Roman" w:hAnsi="Times New Roman" w:cs="Times New Roman"/>
                <w:sz w:val="18"/>
                <w:szCs w:val="18"/>
              </w:rPr>
            </w:pPr>
          </w:p>
        </w:tc>
        <w:tc>
          <w:tcPr>
            <w:tcW w:w="2430" w:type="dxa"/>
          </w:tcPr>
          <w:p w14:paraId="1C6ED72F" w14:textId="785F82A2"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Intervention coverage</w:t>
            </w:r>
            <w:r w:rsidR="00E90488">
              <w:rPr>
                <w:rFonts w:ascii="Times New Roman" w:hAnsi="Times New Roman" w:cs="Times New Roman"/>
                <w:sz w:val="18"/>
                <w:szCs w:val="18"/>
              </w:rPr>
              <w:t xml:space="preserve"> (Base case </w:t>
            </w:r>
            <w:r w:rsidR="000C29AA">
              <w:rPr>
                <w:rFonts w:ascii="Times New Roman" w:hAnsi="Times New Roman" w:cs="Times New Roman"/>
                <w:sz w:val="18"/>
                <w:szCs w:val="18"/>
              </w:rPr>
              <w:t xml:space="preserve">or before </w:t>
            </w:r>
            <w:r w:rsidR="00E90488">
              <w:rPr>
                <w:rFonts w:ascii="Times New Roman" w:hAnsi="Times New Roman" w:cs="Times New Roman"/>
                <w:sz w:val="18"/>
                <w:szCs w:val="18"/>
              </w:rPr>
              <w:t>and after the intervention)</w:t>
            </w:r>
          </w:p>
        </w:tc>
        <w:tc>
          <w:tcPr>
            <w:tcW w:w="2970" w:type="dxa"/>
          </w:tcPr>
          <w:p w14:paraId="26680A01" w14:textId="77777777"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What is the coverage of treatment/strategy/intervention?</w:t>
            </w:r>
          </w:p>
          <w:p w14:paraId="6341DC52" w14:textId="21A476F0" w:rsidR="0070066E" w:rsidRPr="00D808F5" w:rsidRDefault="0070066E" w:rsidP="00D808F5">
            <w:pPr>
              <w:jc w:val="both"/>
              <w:rPr>
                <w:rFonts w:ascii="Times New Roman" w:hAnsi="Times New Roman" w:cs="Times New Roman"/>
                <w:sz w:val="18"/>
                <w:szCs w:val="18"/>
              </w:rPr>
            </w:pPr>
          </w:p>
        </w:tc>
        <w:tc>
          <w:tcPr>
            <w:tcW w:w="3690" w:type="dxa"/>
            <w:vMerge/>
          </w:tcPr>
          <w:p w14:paraId="70AE231B" w14:textId="77777777" w:rsidR="0070066E" w:rsidRPr="00D808F5" w:rsidRDefault="0070066E" w:rsidP="00D808F5">
            <w:pPr>
              <w:jc w:val="both"/>
              <w:rPr>
                <w:rFonts w:ascii="Times New Roman" w:hAnsi="Times New Roman" w:cs="Times New Roman"/>
                <w:sz w:val="18"/>
                <w:szCs w:val="18"/>
              </w:rPr>
            </w:pPr>
          </w:p>
        </w:tc>
      </w:tr>
      <w:tr w:rsidR="0070066E" w:rsidRPr="00D808F5" w14:paraId="20DD935E" w14:textId="77777777" w:rsidTr="007B6ABD">
        <w:trPr>
          <w:trHeight w:val="58"/>
        </w:trPr>
        <w:tc>
          <w:tcPr>
            <w:tcW w:w="506" w:type="dxa"/>
            <w:vMerge/>
          </w:tcPr>
          <w:p w14:paraId="7508BA20" w14:textId="77777777" w:rsidR="0070066E" w:rsidRPr="00D808F5" w:rsidRDefault="0070066E" w:rsidP="00D808F5">
            <w:pPr>
              <w:jc w:val="both"/>
              <w:rPr>
                <w:rFonts w:ascii="Times New Roman" w:hAnsi="Times New Roman" w:cs="Times New Roman"/>
                <w:sz w:val="18"/>
                <w:szCs w:val="18"/>
              </w:rPr>
            </w:pPr>
          </w:p>
        </w:tc>
        <w:tc>
          <w:tcPr>
            <w:tcW w:w="2276" w:type="dxa"/>
            <w:vMerge/>
          </w:tcPr>
          <w:p w14:paraId="6AD94972" w14:textId="77777777" w:rsidR="0070066E" w:rsidRPr="00D808F5" w:rsidRDefault="0070066E" w:rsidP="00D808F5">
            <w:pPr>
              <w:jc w:val="both"/>
              <w:rPr>
                <w:rFonts w:ascii="Times New Roman" w:hAnsi="Times New Roman" w:cs="Times New Roman"/>
                <w:sz w:val="18"/>
                <w:szCs w:val="18"/>
              </w:rPr>
            </w:pPr>
          </w:p>
        </w:tc>
        <w:tc>
          <w:tcPr>
            <w:tcW w:w="1983" w:type="dxa"/>
            <w:vMerge/>
          </w:tcPr>
          <w:p w14:paraId="2CE382F1" w14:textId="77777777" w:rsidR="0070066E" w:rsidRPr="00D808F5" w:rsidRDefault="0070066E" w:rsidP="00D808F5">
            <w:pPr>
              <w:jc w:val="both"/>
              <w:rPr>
                <w:rFonts w:ascii="Times New Roman" w:hAnsi="Times New Roman" w:cs="Times New Roman"/>
                <w:sz w:val="18"/>
                <w:szCs w:val="18"/>
              </w:rPr>
            </w:pPr>
          </w:p>
        </w:tc>
        <w:tc>
          <w:tcPr>
            <w:tcW w:w="2430" w:type="dxa"/>
          </w:tcPr>
          <w:p w14:paraId="2F231A03" w14:textId="2E4A8DFE"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Case fatality</w:t>
            </w:r>
          </w:p>
        </w:tc>
        <w:tc>
          <w:tcPr>
            <w:tcW w:w="2970" w:type="dxa"/>
          </w:tcPr>
          <w:p w14:paraId="70A9C359" w14:textId="3D73A942" w:rsidR="0070066E" w:rsidRPr="00D808F5" w:rsidRDefault="0070066E" w:rsidP="00D808F5">
            <w:pPr>
              <w:jc w:val="both"/>
              <w:rPr>
                <w:rFonts w:ascii="Times New Roman" w:hAnsi="Times New Roman" w:cs="Times New Roman"/>
                <w:sz w:val="18"/>
                <w:szCs w:val="18"/>
              </w:rPr>
            </w:pPr>
            <w:r w:rsidRPr="00D808F5">
              <w:rPr>
                <w:rFonts w:ascii="Times New Roman" w:hAnsi="Times New Roman" w:cs="Times New Roman"/>
                <w:sz w:val="18"/>
                <w:szCs w:val="18"/>
              </w:rPr>
              <w:t>What is the case fatality?</w:t>
            </w:r>
          </w:p>
        </w:tc>
        <w:tc>
          <w:tcPr>
            <w:tcW w:w="3690" w:type="dxa"/>
            <w:vMerge/>
          </w:tcPr>
          <w:p w14:paraId="3BB81A81" w14:textId="77777777" w:rsidR="0070066E" w:rsidRPr="00D808F5" w:rsidRDefault="0070066E" w:rsidP="00D808F5">
            <w:pPr>
              <w:jc w:val="both"/>
              <w:rPr>
                <w:rFonts w:ascii="Times New Roman" w:hAnsi="Times New Roman" w:cs="Times New Roman"/>
                <w:sz w:val="18"/>
                <w:szCs w:val="18"/>
              </w:rPr>
            </w:pPr>
          </w:p>
        </w:tc>
      </w:tr>
      <w:tr w:rsidR="000C29AA" w:rsidRPr="00D808F5" w14:paraId="4D4E2873" w14:textId="62DE66DF" w:rsidTr="007B6ABD">
        <w:trPr>
          <w:trHeight w:val="1043"/>
        </w:trPr>
        <w:tc>
          <w:tcPr>
            <w:tcW w:w="506" w:type="dxa"/>
            <w:vMerge w:val="restart"/>
          </w:tcPr>
          <w:p w14:paraId="3AE29161" w14:textId="77777777" w:rsidR="000C29AA" w:rsidRPr="00D808F5" w:rsidRDefault="000C29AA" w:rsidP="00D808F5">
            <w:pPr>
              <w:jc w:val="both"/>
              <w:rPr>
                <w:rFonts w:ascii="Times New Roman" w:hAnsi="Times New Roman" w:cs="Times New Roman"/>
                <w:sz w:val="18"/>
                <w:szCs w:val="18"/>
              </w:rPr>
            </w:pPr>
            <w:r w:rsidRPr="00D808F5">
              <w:rPr>
                <w:rFonts w:ascii="Times New Roman" w:hAnsi="Times New Roman" w:cs="Times New Roman"/>
                <w:sz w:val="18"/>
                <w:szCs w:val="18"/>
              </w:rPr>
              <w:t>2.</w:t>
            </w:r>
          </w:p>
        </w:tc>
        <w:tc>
          <w:tcPr>
            <w:tcW w:w="2276" w:type="dxa"/>
            <w:vMerge w:val="restart"/>
          </w:tcPr>
          <w:p w14:paraId="781B75C8" w14:textId="77777777" w:rsidR="000C29AA" w:rsidRPr="00D808F5" w:rsidRDefault="000C29AA" w:rsidP="00D808F5">
            <w:pPr>
              <w:jc w:val="both"/>
              <w:rPr>
                <w:rFonts w:ascii="Times New Roman" w:hAnsi="Times New Roman" w:cs="Times New Roman"/>
                <w:sz w:val="18"/>
                <w:szCs w:val="18"/>
              </w:rPr>
            </w:pPr>
            <w:r w:rsidRPr="00D808F5">
              <w:rPr>
                <w:rFonts w:ascii="Times New Roman" w:hAnsi="Times New Roman" w:cs="Times New Roman"/>
                <w:sz w:val="18"/>
                <w:szCs w:val="18"/>
              </w:rPr>
              <w:t xml:space="preserve">Social and Economic </w:t>
            </w:r>
          </w:p>
          <w:p w14:paraId="20F00AAF" w14:textId="225081AB" w:rsidR="000C29AA" w:rsidRPr="00D808F5" w:rsidRDefault="000C29AA" w:rsidP="00D808F5">
            <w:pPr>
              <w:jc w:val="both"/>
              <w:rPr>
                <w:rFonts w:ascii="Times New Roman" w:hAnsi="Times New Roman" w:cs="Times New Roman"/>
                <w:sz w:val="18"/>
                <w:szCs w:val="18"/>
              </w:rPr>
            </w:pPr>
          </w:p>
        </w:tc>
        <w:tc>
          <w:tcPr>
            <w:tcW w:w="1983" w:type="dxa"/>
            <w:vMerge w:val="restart"/>
          </w:tcPr>
          <w:p w14:paraId="0D3DC435" w14:textId="77777777" w:rsidR="000C29AA" w:rsidRPr="005E394D" w:rsidRDefault="000C29AA" w:rsidP="00D808F5">
            <w:pPr>
              <w:jc w:val="both"/>
              <w:rPr>
                <w:rFonts w:ascii="Times New Roman" w:hAnsi="Times New Roman" w:cs="Times New Roman"/>
                <w:sz w:val="18"/>
                <w:szCs w:val="18"/>
              </w:rPr>
            </w:pPr>
            <w:r w:rsidRPr="005E394D">
              <w:rPr>
                <w:rFonts w:ascii="Times New Roman" w:hAnsi="Times New Roman" w:cs="Times New Roman"/>
                <w:sz w:val="18"/>
                <w:szCs w:val="18"/>
              </w:rPr>
              <w:t>Distribution of social and economic resources</w:t>
            </w:r>
          </w:p>
          <w:p w14:paraId="159CE4DF" w14:textId="77777777" w:rsidR="000C29AA" w:rsidRPr="005E394D" w:rsidRDefault="000C29AA" w:rsidP="00D808F5">
            <w:pPr>
              <w:jc w:val="both"/>
              <w:rPr>
                <w:rFonts w:ascii="Times New Roman" w:hAnsi="Times New Roman" w:cs="Times New Roman"/>
                <w:sz w:val="18"/>
                <w:szCs w:val="18"/>
              </w:rPr>
            </w:pPr>
            <w:r w:rsidRPr="005E394D">
              <w:rPr>
                <w:rFonts w:ascii="Times New Roman" w:hAnsi="Times New Roman" w:cs="Times New Roman"/>
                <w:sz w:val="18"/>
                <w:szCs w:val="18"/>
              </w:rPr>
              <w:t>among communities or populations affected</w:t>
            </w:r>
          </w:p>
          <w:p w14:paraId="33D6AA40" w14:textId="571B174A" w:rsidR="000C29AA" w:rsidRPr="00D808F5" w:rsidRDefault="000C29AA" w:rsidP="00D808F5">
            <w:pPr>
              <w:jc w:val="both"/>
              <w:rPr>
                <w:rFonts w:ascii="Times New Roman" w:hAnsi="Times New Roman" w:cs="Times New Roman"/>
                <w:sz w:val="18"/>
                <w:szCs w:val="18"/>
              </w:rPr>
            </w:pPr>
            <w:r w:rsidRPr="00D808F5">
              <w:rPr>
                <w:rFonts w:ascii="Times New Roman" w:hAnsi="Times New Roman" w:cs="Times New Roman"/>
                <w:sz w:val="18"/>
                <w:szCs w:val="18"/>
              </w:rPr>
              <w:t>by the intervention.</w:t>
            </w:r>
          </w:p>
        </w:tc>
        <w:tc>
          <w:tcPr>
            <w:tcW w:w="2430" w:type="dxa"/>
          </w:tcPr>
          <w:p w14:paraId="3DAE8CFD" w14:textId="4F2CD747" w:rsidR="000C29AA" w:rsidRDefault="000C29AA" w:rsidP="00D808F5">
            <w:pPr>
              <w:jc w:val="both"/>
              <w:rPr>
                <w:rFonts w:ascii="Times New Roman" w:hAnsi="Times New Roman" w:cs="Times New Roman"/>
                <w:sz w:val="18"/>
                <w:szCs w:val="18"/>
              </w:rPr>
            </w:pPr>
            <w:r>
              <w:rPr>
                <w:rFonts w:ascii="Times New Roman" w:hAnsi="Times New Roman" w:cs="Times New Roman"/>
                <w:sz w:val="18"/>
                <w:szCs w:val="18"/>
              </w:rPr>
              <w:t>Income quintile (1</w:t>
            </w:r>
            <w:r w:rsidRPr="000C29AA">
              <w:rPr>
                <w:rFonts w:ascii="Times New Roman" w:hAnsi="Times New Roman" w:cs="Times New Roman"/>
                <w:sz w:val="18"/>
                <w:szCs w:val="18"/>
                <w:vertAlign w:val="superscript"/>
              </w:rPr>
              <w:t>st</w:t>
            </w:r>
            <w:r>
              <w:rPr>
                <w:rFonts w:ascii="Times New Roman" w:hAnsi="Times New Roman" w:cs="Times New Roman"/>
                <w:sz w:val="18"/>
                <w:szCs w:val="18"/>
              </w:rPr>
              <w:t>, 2</w:t>
            </w:r>
            <w:r w:rsidRPr="000C29AA">
              <w:rPr>
                <w:rFonts w:ascii="Times New Roman" w:hAnsi="Times New Roman" w:cs="Times New Roman"/>
                <w:sz w:val="18"/>
                <w:szCs w:val="18"/>
                <w:vertAlign w:val="superscript"/>
              </w:rPr>
              <w:t>nd</w:t>
            </w:r>
            <w:r>
              <w:rPr>
                <w:rFonts w:ascii="Times New Roman" w:hAnsi="Times New Roman" w:cs="Times New Roman"/>
                <w:sz w:val="18"/>
                <w:szCs w:val="18"/>
              </w:rPr>
              <w:t>, 3</w:t>
            </w:r>
            <w:r w:rsidRPr="000C29AA">
              <w:rPr>
                <w:rFonts w:ascii="Times New Roman" w:hAnsi="Times New Roman" w:cs="Times New Roman"/>
                <w:sz w:val="18"/>
                <w:szCs w:val="18"/>
                <w:vertAlign w:val="superscript"/>
              </w:rPr>
              <w:t>rd</w:t>
            </w:r>
            <w:r>
              <w:rPr>
                <w:rFonts w:ascii="Times New Roman" w:hAnsi="Times New Roman" w:cs="Times New Roman"/>
                <w:sz w:val="18"/>
                <w:szCs w:val="18"/>
              </w:rPr>
              <w:t xml:space="preserve">, </w:t>
            </w:r>
            <w:proofErr w:type="gramStart"/>
            <w:r>
              <w:rPr>
                <w:rFonts w:ascii="Times New Roman" w:hAnsi="Times New Roman" w:cs="Times New Roman"/>
                <w:sz w:val="18"/>
                <w:szCs w:val="18"/>
              </w:rPr>
              <w:t>4</w:t>
            </w:r>
            <w:r w:rsidRPr="000C29AA">
              <w:rPr>
                <w:rFonts w:ascii="Times New Roman" w:hAnsi="Times New Roman" w:cs="Times New Roman"/>
                <w:sz w:val="18"/>
                <w:szCs w:val="18"/>
                <w:vertAlign w:val="superscript"/>
              </w:rPr>
              <w:t>th</w:t>
            </w:r>
            <w:proofErr w:type="gramEnd"/>
            <w:r>
              <w:rPr>
                <w:rFonts w:ascii="Times New Roman" w:hAnsi="Times New Roman" w:cs="Times New Roman"/>
                <w:sz w:val="18"/>
                <w:szCs w:val="18"/>
              </w:rPr>
              <w:t xml:space="preserve"> and 5</w:t>
            </w:r>
            <w:r w:rsidRPr="000C29AA">
              <w:rPr>
                <w:rFonts w:ascii="Times New Roman" w:hAnsi="Times New Roman" w:cs="Times New Roman"/>
                <w:sz w:val="18"/>
                <w:szCs w:val="18"/>
                <w:vertAlign w:val="superscript"/>
              </w:rPr>
              <w:t>th</w:t>
            </w:r>
            <w:r>
              <w:rPr>
                <w:rFonts w:ascii="Times New Roman" w:hAnsi="Times New Roman" w:cs="Times New Roman"/>
                <w:sz w:val="18"/>
                <w:szCs w:val="18"/>
              </w:rPr>
              <w:t xml:space="preserve"> quintile)</w:t>
            </w:r>
          </w:p>
          <w:p w14:paraId="2245BBED" w14:textId="0D7326C4" w:rsidR="000C29AA" w:rsidRPr="00D808F5" w:rsidRDefault="000C29AA" w:rsidP="00D808F5">
            <w:pPr>
              <w:jc w:val="both"/>
              <w:rPr>
                <w:rFonts w:ascii="Times New Roman" w:hAnsi="Times New Roman" w:cs="Times New Roman"/>
                <w:sz w:val="18"/>
                <w:szCs w:val="18"/>
              </w:rPr>
            </w:pPr>
          </w:p>
        </w:tc>
        <w:tc>
          <w:tcPr>
            <w:tcW w:w="2970" w:type="dxa"/>
          </w:tcPr>
          <w:p w14:paraId="586D784C" w14:textId="6EEC5547" w:rsidR="000C29AA" w:rsidRPr="00D808F5" w:rsidRDefault="007B6ABD" w:rsidP="000C29AA">
            <w:pPr>
              <w:jc w:val="both"/>
              <w:rPr>
                <w:rFonts w:ascii="Times New Roman" w:hAnsi="Times New Roman" w:cs="Times New Roman"/>
                <w:sz w:val="18"/>
                <w:szCs w:val="18"/>
              </w:rPr>
            </w:pPr>
            <w:r>
              <w:rPr>
                <w:rFonts w:ascii="Times New Roman" w:hAnsi="Times New Roman" w:cs="Times New Roman"/>
                <w:sz w:val="18"/>
                <w:szCs w:val="18"/>
              </w:rPr>
              <w:t>What is the disparity in income within the target population?</w:t>
            </w:r>
          </w:p>
        </w:tc>
        <w:tc>
          <w:tcPr>
            <w:tcW w:w="3690" w:type="dxa"/>
            <w:vMerge w:val="restart"/>
          </w:tcPr>
          <w:p w14:paraId="486C7890" w14:textId="23A74F24" w:rsidR="006E4E8F" w:rsidRDefault="006E4E8F" w:rsidP="000C29AA">
            <w:pPr>
              <w:jc w:val="both"/>
              <w:rPr>
                <w:rFonts w:ascii="Times New Roman" w:hAnsi="Times New Roman" w:cs="Times New Roman"/>
                <w:sz w:val="18"/>
                <w:szCs w:val="18"/>
              </w:rPr>
            </w:pPr>
            <w:r w:rsidRPr="0070066E">
              <w:rPr>
                <w:rFonts w:ascii="Times New Roman" w:hAnsi="Times New Roman" w:cs="Times New Roman"/>
                <w:b/>
                <w:bCs/>
                <w:sz w:val="18"/>
                <w:szCs w:val="18"/>
              </w:rPr>
              <w:t>CCT</w:t>
            </w:r>
            <w:r>
              <w:rPr>
                <w:rFonts w:ascii="Times New Roman" w:hAnsi="Times New Roman" w:cs="Times New Roman"/>
                <w:sz w:val="18"/>
                <w:szCs w:val="18"/>
              </w:rPr>
              <w:t>: Eliminate barriers posed by income disparities.</w:t>
            </w:r>
          </w:p>
          <w:p w14:paraId="59760FE3" w14:textId="77777777" w:rsidR="006E4E8F" w:rsidRDefault="006E4E8F" w:rsidP="000C29AA">
            <w:pPr>
              <w:jc w:val="both"/>
              <w:rPr>
                <w:rFonts w:ascii="Times New Roman" w:hAnsi="Times New Roman" w:cs="Times New Roman"/>
                <w:b/>
                <w:bCs/>
                <w:sz w:val="18"/>
                <w:szCs w:val="18"/>
              </w:rPr>
            </w:pPr>
          </w:p>
          <w:p w14:paraId="62DD437F" w14:textId="0E9D6D08" w:rsidR="000C29AA" w:rsidRPr="000C29AA" w:rsidRDefault="007B6ABD" w:rsidP="000C29AA">
            <w:pPr>
              <w:jc w:val="both"/>
              <w:rPr>
                <w:rFonts w:ascii="Times New Roman" w:hAnsi="Times New Roman" w:cs="Times New Roman"/>
                <w:sz w:val="18"/>
                <w:szCs w:val="18"/>
              </w:rPr>
            </w:pPr>
            <w:r w:rsidRPr="00050AB2">
              <w:rPr>
                <w:rFonts w:ascii="Times New Roman" w:hAnsi="Times New Roman" w:cs="Times New Roman"/>
                <w:b/>
                <w:bCs/>
                <w:sz w:val="18"/>
                <w:szCs w:val="18"/>
              </w:rPr>
              <w:t>Relevance</w:t>
            </w:r>
            <w:r>
              <w:rPr>
                <w:rFonts w:ascii="Times New Roman" w:hAnsi="Times New Roman" w:cs="Times New Roman"/>
                <w:sz w:val="18"/>
                <w:szCs w:val="18"/>
              </w:rPr>
              <w:t xml:space="preserve">: </w:t>
            </w:r>
            <w:r w:rsidR="000C29AA">
              <w:rPr>
                <w:rFonts w:ascii="Times New Roman" w:hAnsi="Times New Roman" w:cs="Times New Roman"/>
                <w:sz w:val="18"/>
                <w:szCs w:val="18"/>
              </w:rPr>
              <w:t xml:space="preserve">Do </w:t>
            </w:r>
            <w:r w:rsidR="000C29AA" w:rsidRPr="000C29AA">
              <w:rPr>
                <w:rFonts w:ascii="Times New Roman" w:hAnsi="Times New Roman" w:cs="Times New Roman"/>
                <w:sz w:val="18"/>
                <w:szCs w:val="18"/>
              </w:rPr>
              <w:t>Communities or individuals within the target</w:t>
            </w:r>
            <w:r w:rsidR="005F0B3F">
              <w:rPr>
                <w:rFonts w:ascii="Times New Roman" w:hAnsi="Times New Roman" w:cs="Times New Roman"/>
                <w:sz w:val="18"/>
                <w:szCs w:val="18"/>
              </w:rPr>
              <w:t xml:space="preserve"> </w:t>
            </w:r>
            <w:r w:rsidR="000C29AA" w:rsidRPr="000C29AA">
              <w:rPr>
                <w:rFonts w:ascii="Times New Roman" w:hAnsi="Times New Roman" w:cs="Times New Roman"/>
                <w:sz w:val="18"/>
                <w:szCs w:val="18"/>
              </w:rPr>
              <w:t>Population</w:t>
            </w:r>
            <w:r w:rsidR="000C29AA">
              <w:rPr>
                <w:rFonts w:ascii="Times New Roman" w:hAnsi="Times New Roman" w:cs="Times New Roman"/>
                <w:sz w:val="18"/>
                <w:szCs w:val="18"/>
              </w:rPr>
              <w:t xml:space="preserve"> </w:t>
            </w:r>
            <w:r w:rsidR="000C29AA" w:rsidRPr="000C29AA">
              <w:rPr>
                <w:rFonts w:ascii="Times New Roman" w:hAnsi="Times New Roman" w:cs="Times New Roman"/>
                <w:sz w:val="18"/>
                <w:szCs w:val="18"/>
              </w:rPr>
              <w:t>lack the resources to respond to</w:t>
            </w:r>
            <w:r w:rsidR="005F0B3F">
              <w:rPr>
                <w:rFonts w:ascii="Times New Roman" w:hAnsi="Times New Roman" w:cs="Times New Roman"/>
                <w:sz w:val="18"/>
                <w:szCs w:val="18"/>
              </w:rPr>
              <w:t xml:space="preserve"> </w:t>
            </w:r>
            <w:r w:rsidR="000C29AA" w:rsidRPr="000C29AA">
              <w:rPr>
                <w:rFonts w:ascii="Times New Roman" w:hAnsi="Times New Roman" w:cs="Times New Roman"/>
                <w:sz w:val="18"/>
                <w:szCs w:val="18"/>
              </w:rPr>
              <w:t xml:space="preserve">the </w:t>
            </w:r>
            <w:r w:rsidR="000C29AA">
              <w:rPr>
                <w:rFonts w:ascii="Times New Roman" w:hAnsi="Times New Roman" w:cs="Times New Roman"/>
                <w:sz w:val="18"/>
                <w:szCs w:val="18"/>
              </w:rPr>
              <w:t>intervention</w:t>
            </w:r>
            <w:r>
              <w:rPr>
                <w:rFonts w:ascii="Times New Roman" w:hAnsi="Times New Roman" w:cs="Times New Roman"/>
                <w:sz w:val="18"/>
                <w:szCs w:val="18"/>
              </w:rPr>
              <w:t xml:space="preserve">? Or are they </w:t>
            </w:r>
            <w:r w:rsidR="000C29AA" w:rsidRPr="000C29AA">
              <w:rPr>
                <w:rFonts w:ascii="Times New Roman" w:hAnsi="Times New Roman" w:cs="Times New Roman"/>
                <w:sz w:val="18"/>
                <w:szCs w:val="18"/>
              </w:rPr>
              <w:t>deterred by co-payments or</w:t>
            </w:r>
          </w:p>
          <w:p w14:paraId="5D7358D2" w14:textId="5CAECF1D" w:rsidR="000C29AA" w:rsidRPr="000C29AA" w:rsidRDefault="000C29AA" w:rsidP="000C29AA">
            <w:pPr>
              <w:jc w:val="both"/>
              <w:rPr>
                <w:rFonts w:ascii="Times New Roman" w:hAnsi="Times New Roman" w:cs="Times New Roman"/>
                <w:sz w:val="18"/>
                <w:szCs w:val="18"/>
              </w:rPr>
            </w:pPr>
            <w:r w:rsidRPr="000C29AA">
              <w:rPr>
                <w:rFonts w:ascii="Times New Roman" w:hAnsi="Times New Roman" w:cs="Times New Roman"/>
                <w:sz w:val="18"/>
                <w:szCs w:val="18"/>
              </w:rPr>
              <w:t>other costs associated with participation</w:t>
            </w:r>
            <w:r w:rsidR="007B6ABD">
              <w:rPr>
                <w:rFonts w:ascii="Times New Roman" w:hAnsi="Times New Roman" w:cs="Times New Roman"/>
                <w:sz w:val="18"/>
                <w:szCs w:val="18"/>
              </w:rPr>
              <w:t xml:space="preserve">? </w:t>
            </w:r>
            <w:r w:rsidRPr="000C29AA">
              <w:rPr>
                <w:rFonts w:ascii="Times New Roman" w:hAnsi="Times New Roman" w:cs="Times New Roman"/>
                <w:sz w:val="18"/>
                <w:szCs w:val="18"/>
              </w:rPr>
              <w:t xml:space="preserve">or </w:t>
            </w:r>
            <w:r w:rsidR="007B6ABD">
              <w:rPr>
                <w:rFonts w:ascii="Times New Roman" w:hAnsi="Times New Roman" w:cs="Times New Roman"/>
                <w:sz w:val="18"/>
                <w:szCs w:val="18"/>
              </w:rPr>
              <w:t>are they</w:t>
            </w:r>
          </w:p>
          <w:p w14:paraId="2D234988" w14:textId="77777777" w:rsidR="000C29AA" w:rsidRPr="000C29AA" w:rsidRDefault="000C29AA" w:rsidP="000C29AA">
            <w:pPr>
              <w:jc w:val="both"/>
              <w:rPr>
                <w:rFonts w:ascii="Times New Roman" w:hAnsi="Times New Roman" w:cs="Times New Roman"/>
                <w:sz w:val="18"/>
                <w:szCs w:val="18"/>
              </w:rPr>
            </w:pPr>
            <w:r w:rsidRPr="000C29AA">
              <w:rPr>
                <w:rFonts w:ascii="Times New Roman" w:hAnsi="Times New Roman" w:cs="Times New Roman"/>
                <w:sz w:val="18"/>
                <w:szCs w:val="18"/>
              </w:rPr>
              <w:t>reluctant to change practices from which they</w:t>
            </w:r>
          </w:p>
          <w:p w14:paraId="091D6EA7" w14:textId="394C60E1" w:rsidR="000C29AA" w:rsidRPr="00D808F5" w:rsidRDefault="000C29AA" w:rsidP="000C29AA">
            <w:pPr>
              <w:jc w:val="both"/>
              <w:rPr>
                <w:rFonts w:ascii="Times New Roman" w:hAnsi="Times New Roman" w:cs="Times New Roman"/>
                <w:sz w:val="18"/>
                <w:szCs w:val="18"/>
              </w:rPr>
            </w:pPr>
            <w:r w:rsidRPr="000C29AA">
              <w:rPr>
                <w:rFonts w:ascii="Times New Roman" w:hAnsi="Times New Roman" w:cs="Times New Roman"/>
                <w:sz w:val="18"/>
                <w:szCs w:val="18"/>
              </w:rPr>
              <w:t>derive an immediate economic benefit</w:t>
            </w:r>
            <w:r w:rsidR="007B6ABD">
              <w:rPr>
                <w:rFonts w:ascii="Times New Roman" w:hAnsi="Times New Roman" w:cs="Times New Roman"/>
                <w:sz w:val="18"/>
                <w:szCs w:val="18"/>
              </w:rPr>
              <w:t>.</w:t>
            </w:r>
          </w:p>
        </w:tc>
      </w:tr>
      <w:tr w:rsidR="000C29AA" w:rsidRPr="00D808F5" w14:paraId="6ABC9AD0" w14:textId="77777777" w:rsidTr="007B6ABD">
        <w:tc>
          <w:tcPr>
            <w:tcW w:w="506" w:type="dxa"/>
            <w:vMerge/>
          </w:tcPr>
          <w:p w14:paraId="23C2A3D7" w14:textId="77777777" w:rsidR="000C29AA" w:rsidRPr="00D808F5" w:rsidRDefault="000C29AA" w:rsidP="00D808F5">
            <w:pPr>
              <w:jc w:val="both"/>
              <w:rPr>
                <w:rFonts w:ascii="Times New Roman" w:hAnsi="Times New Roman" w:cs="Times New Roman"/>
                <w:sz w:val="18"/>
                <w:szCs w:val="18"/>
              </w:rPr>
            </w:pPr>
          </w:p>
        </w:tc>
        <w:tc>
          <w:tcPr>
            <w:tcW w:w="2276" w:type="dxa"/>
            <w:vMerge/>
          </w:tcPr>
          <w:p w14:paraId="7D1426D9" w14:textId="77777777" w:rsidR="000C29AA" w:rsidRPr="00D808F5" w:rsidRDefault="000C29AA" w:rsidP="00D808F5">
            <w:pPr>
              <w:jc w:val="both"/>
              <w:rPr>
                <w:rFonts w:ascii="Times New Roman" w:hAnsi="Times New Roman" w:cs="Times New Roman"/>
                <w:sz w:val="18"/>
                <w:szCs w:val="18"/>
              </w:rPr>
            </w:pPr>
          </w:p>
        </w:tc>
        <w:tc>
          <w:tcPr>
            <w:tcW w:w="1983" w:type="dxa"/>
            <w:vMerge/>
          </w:tcPr>
          <w:p w14:paraId="0923586F" w14:textId="77777777" w:rsidR="000C29AA" w:rsidRPr="005E394D" w:rsidRDefault="000C29AA" w:rsidP="00D808F5">
            <w:pPr>
              <w:jc w:val="both"/>
              <w:rPr>
                <w:rFonts w:ascii="Times New Roman" w:hAnsi="Times New Roman" w:cs="Times New Roman"/>
                <w:sz w:val="18"/>
                <w:szCs w:val="18"/>
              </w:rPr>
            </w:pPr>
          </w:p>
        </w:tc>
        <w:tc>
          <w:tcPr>
            <w:tcW w:w="2430" w:type="dxa"/>
          </w:tcPr>
          <w:p w14:paraId="2C0448B5" w14:textId="15A2E387" w:rsidR="000C29AA" w:rsidRDefault="000C29AA" w:rsidP="00D808F5">
            <w:pPr>
              <w:jc w:val="both"/>
              <w:rPr>
                <w:rFonts w:ascii="Times New Roman" w:hAnsi="Times New Roman" w:cs="Times New Roman"/>
                <w:sz w:val="18"/>
                <w:szCs w:val="18"/>
              </w:rPr>
            </w:pPr>
            <w:r>
              <w:rPr>
                <w:rFonts w:ascii="Times New Roman" w:hAnsi="Times New Roman" w:cs="Times New Roman"/>
                <w:sz w:val="18"/>
                <w:szCs w:val="18"/>
              </w:rPr>
              <w:t>Educational levels (Tertiary, Secondary, Primary, no education)</w:t>
            </w:r>
          </w:p>
        </w:tc>
        <w:tc>
          <w:tcPr>
            <w:tcW w:w="2970" w:type="dxa"/>
          </w:tcPr>
          <w:p w14:paraId="3B660BF0" w14:textId="4822063F" w:rsidR="000C29AA" w:rsidRPr="000C29AA" w:rsidRDefault="007B6ABD" w:rsidP="000C29AA">
            <w:pPr>
              <w:jc w:val="both"/>
              <w:rPr>
                <w:rFonts w:ascii="Times New Roman" w:hAnsi="Times New Roman" w:cs="Times New Roman"/>
                <w:sz w:val="18"/>
                <w:szCs w:val="18"/>
              </w:rPr>
            </w:pPr>
            <w:r>
              <w:rPr>
                <w:rFonts w:ascii="Times New Roman" w:hAnsi="Times New Roman" w:cs="Times New Roman"/>
                <w:sz w:val="18"/>
                <w:szCs w:val="18"/>
              </w:rPr>
              <w:t>What is the distribution of educational levels within the target population?</w:t>
            </w:r>
          </w:p>
        </w:tc>
        <w:tc>
          <w:tcPr>
            <w:tcW w:w="3690" w:type="dxa"/>
            <w:vMerge/>
          </w:tcPr>
          <w:p w14:paraId="54E4DB44" w14:textId="77777777" w:rsidR="000C29AA" w:rsidRPr="00D808F5" w:rsidRDefault="000C29AA" w:rsidP="00D808F5">
            <w:pPr>
              <w:jc w:val="both"/>
              <w:rPr>
                <w:rFonts w:ascii="Times New Roman" w:hAnsi="Times New Roman" w:cs="Times New Roman"/>
                <w:sz w:val="18"/>
                <w:szCs w:val="18"/>
              </w:rPr>
            </w:pPr>
          </w:p>
        </w:tc>
      </w:tr>
      <w:tr w:rsidR="00C51DF9" w:rsidRPr="00D808F5" w14:paraId="1CE2CF15" w14:textId="492AB6E3" w:rsidTr="007B6ABD">
        <w:tc>
          <w:tcPr>
            <w:tcW w:w="506" w:type="dxa"/>
            <w:vMerge w:val="restart"/>
          </w:tcPr>
          <w:p w14:paraId="4A729D64" w14:textId="77777777" w:rsidR="00C51DF9" w:rsidRPr="00D808F5" w:rsidRDefault="00C51DF9" w:rsidP="00D808F5">
            <w:pPr>
              <w:jc w:val="both"/>
              <w:rPr>
                <w:rFonts w:ascii="Times New Roman" w:hAnsi="Times New Roman" w:cs="Times New Roman"/>
                <w:sz w:val="18"/>
                <w:szCs w:val="18"/>
              </w:rPr>
            </w:pPr>
            <w:r w:rsidRPr="00D808F5">
              <w:rPr>
                <w:rFonts w:ascii="Times New Roman" w:hAnsi="Times New Roman" w:cs="Times New Roman"/>
                <w:sz w:val="18"/>
                <w:szCs w:val="18"/>
              </w:rPr>
              <w:t>3.</w:t>
            </w:r>
          </w:p>
        </w:tc>
        <w:tc>
          <w:tcPr>
            <w:tcW w:w="2276" w:type="dxa"/>
            <w:vMerge w:val="restart"/>
          </w:tcPr>
          <w:p w14:paraId="2A0CE876" w14:textId="77777777" w:rsidR="00C51DF9" w:rsidRPr="00D808F5" w:rsidRDefault="00C51DF9" w:rsidP="00D808F5">
            <w:pPr>
              <w:jc w:val="both"/>
              <w:rPr>
                <w:rFonts w:ascii="Times New Roman" w:hAnsi="Times New Roman" w:cs="Times New Roman"/>
                <w:sz w:val="18"/>
                <w:szCs w:val="18"/>
              </w:rPr>
            </w:pPr>
            <w:r w:rsidRPr="00D808F5">
              <w:rPr>
                <w:rFonts w:ascii="Times New Roman" w:hAnsi="Times New Roman" w:cs="Times New Roman"/>
                <w:sz w:val="18"/>
                <w:szCs w:val="18"/>
              </w:rPr>
              <w:t>Cultural</w:t>
            </w:r>
          </w:p>
        </w:tc>
        <w:tc>
          <w:tcPr>
            <w:tcW w:w="1983" w:type="dxa"/>
            <w:vMerge w:val="restart"/>
          </w:tcPr>
          <w:p w14:paraId="4C3EB642" w14:textId="1A1A514A" w:rsidR="00C51DF9" w:rsidRPr="00D808F5" w:rsidRDefault="00C51DF9" w:rsidP="00D808F5">
            <w:pPr>
              <w:jc w:val="both"/>
              <w:rPr>
                <w:rFonts w:ascii="Times New Roman" w:hAnsi="Times New Roman" w:cs="Times New Roman"/>
                <w:sz w:val="18"/>
                <w:szCs w:val="18"/>
              </w:rPr>
            </w:pPr>
            <w:r w:rsidRPr="00D808F5">
              <w:rPr>
                <w:rFonts w:ascii="Times New Roman" w:hAnsi="Times New Roman" w:cs="Times New Roman"/>
                <w:sz w:val="18"/>
                <w:szCs w:val="18"/>
              </w:rPr>
              <w:t>Beliefs, attitudes, and practices among policy-makers, practitioners and those targeted by the intervention.</w:t>
            </w:r>
          </w:p>
        </w:tc>
        <w:tc>
          <w:tcPr>
            <w:tcW w:w="2430" w:type="dxa"/>
          </w:tcPr>
          <w:p w14:paraId="10823A55" w14:textId="5E9E0C28" w:rsidR="00C51DF9" w:rsidRPr="00D808F5" w:rsidRDefault="00C51DF9" w:rsidP="00D808F5">
            <w:pPr>
              <w:jc w:val="both"/>
              <w:rPr>
                <w:rFonts w:ascii="Times New Roman" w:hAnsi="Times New Roman" w:cs="Times New Roman"/>
                <w:sz w:val="18"/>
                <w:szCs w:val="18"/>
              </w:rPr>
            </w:pPr>
            <w:r>
              <w:rPr>
                <w:rFonts w:ascii="Times New Roman" w:hAnsi="Times New Roman" w:cs="Times New Roman"/>
                <w:sz w:val="18"/>
                <w:szCs w:val="18"/>
              </w:rPr>
              <w:t>Inequality Aversion</w:t>
            </w:r>
          </w:p>
        </w:tc>
        <w:tc>
          <w:tcPr>
            <w:tcW w:w="2970" w:type="dxa"/>
          </w:tcPr>
          <w:p w14:paraId="6A5CF416" w14:textId="77777777" w:rsidR="00C51DF9" w:rsidRDefault="00C51DF9" w:rsidP="00D808F5">
            <w:pPr>
              <w:jc w:val="both"/>
              <w:rPr>
                <w:rFonts w:ascii="Times New Roman" w:hAnsi="Times New Roman" w:cs="Times New Roman"/>
                <w:sz w:val="18"/>
                <w:szCs w:val="18"/>
              </w:rPr>
            </w:pPr>
            <w:r>
              <w:rPr>
                <w:rFonts w:ascii="Times New Roman" w:hAnsi="Times New Roman" w:cs="Times New Roman"/>
                <w:sz w:val="18"/>
                <w:szCs w:val="18"/>
              </w:rPr>
              <w:t>Are policy-makers, practitioners and target population inequality averse?</w:t>
            </w:r>
          </w:p>
          <w:p w14:paraId="57C6DD6F" w14:textId="2DF335A5" w:rsidR="00C51DF9" w:rsidRPr="00D808F5" w:rsidRDefault="00C51DF9" w:rsidP="00D808F5">
            <w:pPr>
              <w:jc w:val="both"/>
              <w:rPr>
                <w:rFonts w:ascii="Times New Roman" w:hAnsi="Times New Roman" w:cs="Times New Roman"/>
                <w:sz w:val="18"/>
                <w:szCs w:val="18"/>
              </w:rPr>
            </w:pPr>
          </w:p>
        </w:tc>
        <w:tc>
          <w:tcPr>
            <w:tcW w:w="3690" w:type="dxa"/>
            <w:vMerge w:val="restart"/>
          </w:tcPr>
          <w:p w14:paraId="5AEEF631" w14:textId="276D9129" w:rsidR="000E7137" w:rsidRDefault="000E7137" w:rsidP="00C51DF9">
            <w:pPr>
              <w:jc w:val="both"/>
              <w:rPr>
                <w:rFonts w:ascii="Times New Roman" w:hAnsi="Times New Roman" w:cs="Times New Roman"/>
                <w:sz w:val="18"/>
                <w:szCs w:val="18"/>
              </w:rPr>
            </w:pPr>
            <w:r w:rsidRPr="0070066E">
              <w:rPr>
                <w:rFonts w:ascii="Times New Roman" w:hAnsi="Times New Roman" w:cs="Times New Roman"/>
                <w:b/>
                <w:bCs/>
                <w:sz w:val="18"/>
                <w:szCs w:val="18"/>
              </w:rPr>
              <w:t>CCT</w:t>
            </w:r>
            <w:r>
              <w:rPr>
                <w:rFonts w:ascii="Times New Roman" w:hAnsi="Times New Roman" w:cs="Times New Roman"/>
                <w:sz w:val="18"/>
                <w:szCs w:val="18"/>
              </w:rPr>
              <w:t>: Align intervention objectives with beliefs</w:t>
            </w:r>
            <w:r w:rsidR="00DD42BA">
              <w:rPr>
                <w:rFonts w:ascii="Times New Roman" w:hAnsi="Times New Roman" w:cs="Times New Roman"/>
                <w:sz w:val="18"/>
                <w:szCs w:val="18"/>
              </w:rPr>
              <w:t>/cultural norms</w:t>
            </w:r>
            <w:r>
              <w:rPr>
                <w:rFonts w:ascii="Times New Roman" w:hAnsi="Times New Roman" w:cs="Times New Roman"/>
                <w:sz w:val="18"/>
                <w:szCs w:val="18"/>
              </w:rPr>
              <w:t>, attitudes</w:t>
            </w:r>
            <w:r w:rsidR="00DD42BA">
              <w:rPr>
                <w:rFonts w:ascii="Times New Roman" w:hAnsi="Times New Roman" w:cs="Times New Roman"/>
                <w:sz w:val="18"/>
                <w:szCs w:val="18"/>
              </w:rPr>
              <w:t>, and practices.</w:t>
            </w:r>
          </w:p>
          <w:p w14:paraId="2596C976" w14:textId="692F697E" w:rsidR="00C51DF9" w:rsidRPr="00C51DF9" w:rsidRDefault="00C51DF9" w:rsidP="00C51DF9">
            <w:pPr>
              <w:jc w:val="both"/>
              <w:rPr>
                <w:rFonts w:ascii="Times New Roman" w:hAnsi="Times New Roman" w:cs="Times New Roman"/>
                <w:sz w:val="18"/>
                <w:szCs w:val="18"/>
              </w:rPr>
            </w:pPr>
            <w:r w:rsidRPr="00050AB2">
              <w:rPr>
                <w:rFonts w:ascii="Times New Roman" w:hAnsi="Times New Roman" w:cs="Times New Roman"/>
                <w:b/>
                <w:bCs/>
                <w:sz w:val="18"/>
                <w:szCs w:val="18"/>
              </w:rPr>
              <w:t>Relevance</w:t>
            </w:r>
            <w:r>
              <w:rPr>
                <w:rFonts w:ascii="Times New Roman" w:hAnsi="Times New Roman" w:cs="Times New Roman"/>
                <w:sz w:val="18"/>
                <w:szCs w:val="18"/>
              </w:rPr>
              <w:t xml:space="preserve">: Are </w:t>
            </w:r>
            <w:r w:rsidRPr="00C51DF9">
              <w:rPr>
                <w:rFonts w:ascii="Times New Roman" w:hAnsi="Times New Roman" w:cs="Times New Roman"/>
                <w:sz w:val="18"/>
                <w:szCs w:val="18"/>
              </w:rPr>
              <w:t>Practitioners</w:t>
            </w:r>
            <w:r>
              <w:rPr>
                <w:rFonts w:ascii="Times New Roman" w:hAnsi="Times New Roman" w:cs="Times New Roman"/>
                <w:sz w:val="18"/>
                <w:szCs w:val="18"/>
              </w:rPr>
              <w:t xml:space="preserve"> </w:t>
            </w:r>
            <w:r w:rsidRPr="00C51DF9">
              <w:rPr>
                <w:rFonts w:ascii="Times New Roman" w:hAnsi="Times New Roman" w:cs="Times New Roman"/>
                <w:sz w:val="18"/>
                <w:szCs w:val="18"/>
              </w:rPr>
              <w:t>reluctant to implement</w:t>
            </w:r>
          </w:p>
          <w:p w14:paraId="24BB767B" w14:textId="77777777" w:rsidR="00C51DF9" w:rsidRPr="00C51DF9" w:rsidRDefault="00C51DF9" w:rsidP="00C51DF9">
            <w:pPr>
              <w:jc w:val="both"/>
              <w:rPr>
                <w:rFonts w:ascii="Times New Roman" w:hAnsi="Times New Roman" w:cs="Times New Roman"/>
                <w:sz w:val="18"/>
                <w:szCs w:val="18"/>
              </w:rPr>
            </w:pPr>
            <w:r w:rsidRPr="00C51DF9">
              <w:rPr>
                <w:rFonts w:ascii="Times New Roman" w:hAnsi="Times New Roman" w:cs="Times New Roman"/>
                <w:sz w:val="18"/>
                <w:szCs w:val="18"/>
              </w:rPr>
              <w:t>interventions that call into question traditional</w:t>
            </w:r>
          </w:p>
          <w:p w14:paraId="46BD1284" w14:textId="297A8BBF" w:rsidR="00C51DF9" w:rsidRPr="00D808F5" w:rsidRDefault="00C51DF9" w:rsidP="00C51DF9">
            <w:pPr>
              <w:jc w:val="both"/>
              <w:rPr>
                <w:rFonts w:ascii="Times New Roman" w:hAnsi="Times New Roman" w:cs="Times New Roman"/>
                <w:sz w:val="18"/>
                <w:szCs w:val="18"/>
              </w:rPr>
            </w:pPr>
            <w:r w:rsidRPr="00C51DF9">
              <w:rPr>
                <w:rFonts w:ascii="Times New Roman" w:hAnsi="Times New Roman" w:cs="Times New Roman"/>
                <w:sz w:val="18"/>
                <w:szCs w:val="18"/>
              </w:rPr>
              <w:t>beliefs</w:t>
            </w:r>
            <w:r>
              <w:rPr>
                <w:rFonts w:ascii="Times New Roman" w:hAnsi="Times New Roman" w:cs="Times New Roman"/>
                <w:sz w:val="18"/>
                <w:szCs w:val="18"/>
              </w:rPr>
              <w:t>?</w:t>
            </w:r>
          </w:p>
          <w:p w14:paraId="06B7017A" w14:textId="2699DD51" w:rsidR="00C51DF9" w:rsidRPr="00D808F5" w:rsidRDefault="00C51DF9" w:rsidP="00C51DF9">
            <w:pPr>
              <w:jc w:val="both"/>
              <w:rPr>
                <w:rFonts w:ascii="Times New Roman" w:hAnsi="Times New Roman" w:cs="Times New Roman"/>
                <w:sz w:val="18"/>
                <w:szCs w:val="18"/>
              </w:rPr>
            </w:pPr>
          </w:p>
        </w:tc>
      </w:tr>
      <w:tr w:rsidR="00C51DF9" w:rsidRPr="00D808F5" w14:paraId="7832CE37" w14:textId="77777777" w:rsidTr="007B6ABD">
        <w:tc>
          <w:tcPr>
            <w:tcW w:w="506" w:type="dxa"/>
            <w:vMerge/>
          </w:tcPr>
          <w:p w14:paraId="653D78A0" w14:textId="77777777" w:rsidR="00C51DF9" w:rsidRPr="00D808F5" w:rsidRDefault="00C51DF9" w:rsidP="00D808F5">
            <w:pPr>
              <w:jc w:val="both"/>
              <w:rPr>
                <w:rFonts w:ascii="Times New Roman" w:hAnsi="Times New Roman" w:cs="Times New Roman"/>
                <w:sz w:val="18"/>
                <w:szCs w:val="18"/>
              </w:rPr>
            </w:pPr>
          </w:p>
        </w:tc>
        <w:tc>
          <w:tcPr>
            <w:tcW w:w="2276" w:type="dxa"/>
            <w:vMerge/>
          </w:tcPr>
          <w:p w14:paraId="02497FE6" w14:textId="77777777" w:rsidR="00C51DF9" w:rsidRPr="00D808F5" w:rsidRDefault="00C51DF9" w:rsidP="00D808F5">
            <w:pPr>
              <w:jc w:val="both"/>
              <w:rPr>
                <w:rFonts w:ascii="Times New Roman" w:hAnsi="Times New Roman" w:cs="Times New Roman"/>
                <w:sz w:val="18"/>
                <w:szCs w:val="18"/>
              </w:rPr>
            </w:pPr>
          </w:p>
        </w:tc>
        <w:tc>
          <w:tcPr>
            <w:tcW w:w="1983" w:type="dxa"/>
            <w:vMerge/>
          </w:tcPr>
          <w:p w14:paraId="58BC5200" w14:textId="77777777" w:rsidR="00C51DF9" w:rsidRPr="00D808F5" w:rsidRDefault="00C51DF9" w:rsidP="00D808F5">
            <w:pPr>
              <w:jc w:val="both"/>
              <w:rPr>
                <w:rFonts w:ascii="Times New Roman" w:hAnsi="Times New Roman" w:cs="Times New Roman"/>
                <w:sz w:val="18"/>
                <w:szCs w:val="18"/>
              </w:rPr>
            </w:pPr>
          </w:p>
        </w:tc>
        <w:tc>
          <w:tcPr>
            <w:tcW w:w="2430" w:type="dxa"/>
          </w:tcPr>
          <w:p w14:paraId="4BA2B3BA" w14:textId="3908BB8E" w:rsidR="00C51DF9" w:rsidRPr="00D808F5" w:rsidRDefault="00C51DF9" w:rsidP="00D808F5">
            <w:pPr>
              <w:jc w:val="both"/>
              <w:rPr>
                <w:rFonts w:ascii="Times New Roman" w:hAnsi="Times New Roman" w:cs="Times New Roman"/>
                <w:sz w:val="18"/>
                <w:szCs w:val="18"/>
              </w:rPr>
            </w:pPr>
            <w:r>
              <w:rPr>
                <w:rFonts w:ascii="Times New Roman" w:hAnsi="Times New Roman" w:cs="Times New Roman"/>
                <w:sz w:val="18"/>
                <w:szCs w:val="18"/>
              </w:rPr>
              <w:t>Belief system</w:t>
            </w:r>
          </w:p>
        </w:tc>
        <w:tc>
          <w:tcPr>
            <w:tcW w:w="2970" w:type="dxa"/>
          </w:tcPr>
          <w:p w14:paraId="3BD5BC5D" w14:textId="665DD501" w:rsidR="00C51DF9" w:rsidRDefault="00C51DF9" w:rsidP="00D808F5">
            <w:pPr>
              <w:jc w:val="both"/>
              <w:rPr>
                <w:rFonts w:ascii="Times New Roman" w:hAnsi="Times New Roman" w:cs="Times New Roman"/>
                <w:sz w:val="18"/>
                <w:szCs w:val="18"/>
              </w:rPr>
            </w:pPr>
            <w:r>
              <w:rPr>
                <w:rFonts w:ascii="Times New Roman" w:hAnsi="Times New Roman" w:cs="Times New Roman"/>
                <w:sz w:val="18"/>
                <w:szCs w:val="18"/>
              </w:rPr>
              <w:t>Does the objectives of the intervention contradict with the belief systems of the target population?</w:t>
            </w:r>
          </w:p>
        </w:tc>
        <w:tc>
          <w:tcPr>
            <w:tcW w:w="3690" w:type="dxa"/>
            <w:vMerge/>
          </w:tcPr>
          <w:p w14:paraId="11A814CE" w14:textId="77777777" w:rsidR="00C51DF9" w:rsidRPr="00D808F5" w:rsidRDefault="00C51DF9" w:rsidP="00D808F5">
            <w:pPr>
              <w:jc w:val="both"/>
              <w:rPr>
                <w:rFonts w:ascii="Times New Roman" w:hAnsi="Times New Roman" w:cs="Times New Roman"/>
                <w:sz w:val="18"/>
                <w:szCs w:val="18"/>
              </w:rPr>
            </w:pPr>
          </w:p>
        </w:tc>
      </w:tr>
      <w:tr w:rsidR="00C51DF9" w:rsidRPr="00D808F5" w14:paraId="20259DA1" w14:textId="77777777" w:rsidTr="007B6ABD">
        <w:tc>
          <w:tcPr>
            <w:tcW w:w="506" w:type="dxa"/>
            <w:vMerge/>
          </w:tcPr>
          <w:p w14:paraId="7EE8B01B" w14:textId="77777777" w:rsidR="00C51DF9" w:rsidRPr="00D808F5" w:rsidRDefault="00C51DF9" w:rsidP="00D808F5">
            <w:pPr>
              <w:jc w:val="both"/>
              <w:rPr>
                <w:rFonts w:ascii="Times New Roman" w:hAnsi="Times New Roman" w:cs="Times New Roman"/>
                <w:sz w:val="18"/>
                <w:szCs w:val="18"/>
              </w:rPr>
            </w:pPr>
          </w:p>
        </w:tc>
        <w:tc>
          <w:tcPr>
            <w:tcW w:w="2276" w:type="dxa"/>
            <w:vMerge/>
          </w:tcPr>
          <w:p w14:paraId="3FB900BB" w14:textId="77777777" w:rsidR="00C51DF9" w:rsidRPr="00D808F5" w:rsidRDefault="00C51DF9" w:rsidP="00D808F5">
            <w:pPr>
              <w:jc w:val="both"/>
              <w:rPr>
                <w:rFonts w:ascii="Times New Roman" w:hAnsi="Times New Roman" w:cs="Times New Roman"/>
                <w:sz w:val="18"/>
                <w:szCs w:val="18"/>
              </w:rPr>
            </w:pPr>
          </w:p>
        </w:tc>
        <w:tc>
          <w:tcPr>
            <w:tcW w:w="1983" w:type="dxa"/>
            <w:vMerge/>
          </w:tcPr>
          <w:p w14:paraId="375DE8C4" w14:textId="77777777" w:rsidR="00C51DF9" w:rsidRPr="00D808F5" w:rsidRDefault="00C51DF9" w:rsidP="00D808F5">
            <w:pPr>
              <w:jc w:val="both"/>
              <w:rPr>
                <w:rFonts w:ascii="Times New Roman" w:hAnsi="Times New Roman" w:cs="Times New Roman"/>
                <w:sz w:val="18"/>
                <w:szCs w:val="18"/>
              </w:rPr>
            </w:pPr>
          </w:p>
        </w:tc>
        <w:tc>
          <w:tcPr>
            <w:tcW w:w="2430" w:type="dxa"/>
          </w:tcPr>
          <w:p w14:paraId="28B77116" w14:textId="6EC236AA" w:rsidR="00C51DF9" w:rsidRDefault="00C51DF9" w:rsidP="00D808F5">
            <w:pPr>
              <w:jc w:val="both"/>
              <w:rPr>
                <w:rFonts w:ascii="Times New Roman" w:hAnsi="Times New Roman" w:cs="Times New Roman"/>
                <w:sz w:val="18"/>
                <w:szCs w:val="18"/>
              </w:rPr>
            </w:pPr>
            <w:r>
              <w:rPr>
                <w:rFonts w:ascii="Times New Roman" w:hAnsi="Times New Roman" w:cs="Times New Roman"/>
                <w:sz w:val="18"/>
                <w:szCs w:val="18"/>
              </w:rPr>
              <w:t>Method of practice and skills mismatch.</w:t>
            </w:r>
          </w:p>
        </w:tc>
        <w:tc>
          <w:tcPr>
            <w:tcW w:w="2970" w:type="dxa"/>
          </w:tcPr>
          <w:p w14:paraId="207A1037" w14:textId="595244F4" w:rsidR="00C51DF9" w:rsidRDefault="00C51DF9" w:rsidP="00D808F5">
            <w:pPr>
              <w:jc w:val="both"/>
              <w:rPr>
                <w:rFonts w:ascii="Times New Roman" w:hAnsi="Times New Roman" w:cs="Times New Roman"/>
                <w:sz w:val="18"/>
                <w:szCs w:val="18"/>
              </w:rPr>
            </w:pPr>
            <w:r>
              <w:rPr>
                <w:rFonts w:ascii="Times New Roman" w:hAnsi="Times New Roman" w:cs="Times New Roman"/>
                <w:sz w:val="18"/>
                <w:szCs w:val="18"/>
              </w:rPr>
              <w:t xml:space="preserve">Are the methods of practice of the intervention in line with the skills of the target population? </w:t>
            </w:r>
            <w:r w:rsidR="00994577">
              <w:rPr>
                <w:rFonts w:ascii="Times New Roman" w:hAnsi="Times New Roman" w:cs="Times New Roman"/>
                <w:sz w:val="18"/>
                <w:szCs w:val="18"/>
              </w:rPr>
              <w:t>E.g.,</w:t>
            </w:r>
            <w:r>
              <w:rPr>
                <w:rFonts w:ascii="Times New Roman" w:hAnsi="Times New Roman" w:cs="Times New Roman"/>
                <w:sz w:val="18"/>
                <w:szCs w:val="18"/>
              </w:rPr>
              <w:t xml:space="preserve"> Technology</w:t>
            </w:r>
          </w:p>
        </w:tc>
        <w:tc>
          <w:tcPr>
            <w:tcW w:w="3690" w:type="dxa"/>
            <w:vMerge/>
          </w:tcPr>
          <w:p w14:paraId="05CCE2CE" w14:textId="77777777" w:rsidR="00C51DF9" w:rsidRPr="00D808F5" w:rsidRDefault="00C51DF9" w:rsidP="00D808F5">
            <w:pPr>
              <w:jc w:val="both"/>
              <w:rPr>
                <w:rFonts w:ascii="Times New Roman" w:hAnsi="Times New Roman" w:cs="Times New Roman"/>
                <w:sz w:val="18"/>
                <w:szCs w:val="18"/>
              </w:rPr>
            </w:pPr>
          </w:p>
        </w:tc>
      </w:tr>
      <w:tr w:rsidR="00C52F6F" w:rsidRPr="00D808F5" w14:paraId="0FCBD69A" w14:textId="35C06516" w:rsidTr="007B6ABD">
        <w:tc>
          <w:tcPr>
            <w:tcW w:w="506" w:type="dxa"/>
            <w:vMerge w:val="restart"/>
          </w:tcPr>
          <w:p w14:paraId="442F0895" w14:textId="77777777" w:rsidR="00C52F6F" w:rsidRPr="00D808F5" w:rsidRDefault="00C52F6F" w:rsidP="00D808F5">
            <w:pPr>
              <w:jc w:val="both"/>
              <w:rPr>
                <w:rFonts w:ascii="Times New Roman" w:hAnsi="Times New Roman" w:cs="Times New Roman"/>
                <w:sz w:val="18"/>
                <w:szCs w:val="18"/>
              </w:rPr>
            </w:pPr>
            <w:r w:rsidRPr="00D808F5">
              <w:rPr>
                <w:rFonts w:ascii="Times New Roman" w:hAnsi="Times New Roman" w:cs="Times New Roman"/>
                <w:sz w:val="18"/>
                <w:szCs w:val="18"/>
              </w:rPr>
              <w:t>4.</w:t>
            </w:r>
          </w:p>
        </w:tc>
        <w:tc>
          <w:tcPr>
            <w:tcW w:w="2276" w:type="dxa"/>
            <w:vMerge w:val="restart"/>
          </w:tcPr>
          <w:p w14:paraId="5B691F8F" w14:textId="77777777" w:rsidR="00C52F6F" w:rsidRPr="00D808F5" w:rsidRDefault="00C52F6F" w:rsidP="00D808F5">
            <w:pPr>
              <w:jc w:val="both"/>
              <w:rPr>
                <w:rFonts w:ascii="Times New Roman" w:hAnsi="Times New Roman" w:cs="Times New Roman"/>
                <w:sz w:val="18"/>
                <w:szCs w:val="18"/>
              </w:rPr>
            </w:pPr>
            <w:r w:rsidRPr="00D808F5">
              <w:rPr>
                <w:rFonts w:ascii="Times New Roman" w:hAnsi="Times New Roman" w:cs="Times New Roman"/>
                <w:sz w:val="18"/>
                <w:szCs w:val="18"/>
              </w:rPr>
              <w:t>Geographical/environmental</w:t>
            </w:r>
          </w:p>
        </w:tc>
        <w:tc>
          <w:tcPr>
            <w:tcW w:w="1983" w:type="dxa"/>
            <w:vMerge w:val="restart"/>
          </w:tcPr>
          <w:p w14:paraId="6AEC8C36" w14:textId="77777777" w:rsidR="00C52F6F" w:rsidRPr="00D808F5" w:rsidRDefault="00C52F6F" w:rsidP="00D808F5">
            <w:pPr>
              <w:jc w:val="both"/>
              <w:rPr>
                <w:rFonts w:ascii="Times New Roman" w:hAnsi="Times New Roman" w:cs="Times New Roman"/>
                <w:sz w:val="18"/>
                <w:szCs w:val="18"/>
              </w:rPr>
            </w:pPr>
            <w:r w:rsidRPr="00D808F5">
              <w:rPr>
                <w:rFonts w:ascii="Times New Roman" w:hAnsi="Times New Roman" w:cs="Times New Roman"/>
                <w:sz w:val="18"/>
                <w:szCs w:val="18"/>
              </w:rPr>
              <w:t xml:space="preserve">Features of the immediate or more distal (e.g., regional, or national) physical </w:t>
            </w:r>
            <w:r w:rsidRPr="00D808F5">
              <w:rPr>
                <w:rFonts w:ascii="Times New Roman" w:hAnsi="Times New Roman" w:cs="Times New Roman"/>
                <w:sz w:val="18"/>
                <w:szCs w:val="18"/>
              </w:rPr>
              <w:lastRenderedPageBreak/>
              <w:t>environment, either natural or built.</w:t>
            </w:r>
          </w:p>
        </w:tc>
        <w:tc>
          <w:tcPr>
            <w:tcW w:w="2430" w:type="dxa"/>
          </w:tcPr>
          <w:p w14:paraId="1A013AA2" w14:textId="7F0623B8" w:rsidR="00C52F6F" w:rsidRPr="00D808F5" w:rsidRDefault="00C52F6F" w:rsidP="00D808F5">
            <w:pPr>
              <w:jc w:val="both"/>
              <w:rPr>
                <w:rFonts w:ascii="Times New Roman" w:hAnsi="Times New Roman" w:cs="Times New Roman"/>
                <w:sz w:val="18"/>
                <w:szCs w:val="18"/>
              </w:rPr>
            </w:pPr>
            <w:r>
              <w:rPr>
                <w:rFonts w:ascii="Times New Roman" w:hAnsi="Times New Roman" w:cs="Times New Roman"/>
                <w:sz w:val="18"/>
                <w:szCs w:val="18"/>
              </w:rPr>
              <w:lastRenderedPageBreak/>
              <w:t>Transportation cost</w:t>
            </w:r>
          </w:p>
        </w:tc>
        <w:tc>
          <w:tcPr>
            <w:tcW w:w="2970" w:type="dxa"/>
          </w:tcPr>
          <w:p w14:paraId="36130E7C" w14:textId="77777777" w:rsidR="00C52F6F" w:rsidRDefault="00C52F6F" w:rsidP="00D808F5">
            <w:pPr>
              <w:jc w:val="both"/>
              <w:rPr>
                <w:rFonts w:ascii="Times New Roman" w:hAnsi="Times New Roman" w:cs="Times New Roman"/>
                <w:sz w:val="18"/>
                <w:szCs w:val="18"/>
              </w:rPr>
            </w:pPr>
            <w:r>
              <w:rPr>
                <w:rFonts w:ascii="Times New Roman" w:hAnsi="Times New Roman" w:cs="Times New Roman"/>
                <w:sz w:val="18"/>
                <w:szCs w:val="18"/>
              </w:rPr>
              <w:t>Is transportation cost a barrier to accessing the program?</w:t>
            </w:r>
          </w:p>
          <w:p w14:paraId="14CFF174" w14:textId="77777777" w:rsidR="00C52F6F" w:rsidRDefault="00C52F6F" w:rsidP="00D808F5">
            <w:pPr>
              <w:jc w:val="both"/>
              <w:rPr>
                <w:rFonts w:ascii="Times New Roman" w:hAnsi="Times New Roman" w:cs="Times New Roman"/>
                <w:sz w:val="18"/>
                <w:szCs w:val="18"/>
              </w:rPr>
            </w:pPr>
          </w:p>
          <w:p w14:paraId="7615DB90" w14:textId="4673AD09" w:rsidR="00C52F6F" w:rsidRPr="00D808F5" w:rsidRDefault="00C52F6F" w:rsidP="00D808F5">
            <w:pPr>
              <w:jc w:val="both"/>
              <w:rPr>
                <w:rFonts w:ascii="Times New Roman" w:hAnsi="Times New Roman" w:cs="Times New Roman"/>
                <w:sz w:val="18"/>
                <w:szCs w:val="18"/>
              </w:rPr>
            </w:pPr>
          </w:p>
        </w:tc>
        <w:tc>
          <w:tcPr>
            <w:tcW w:w="3690" w:type="dxa"/>
            <w:vMerge w:val="restart"/>
          </w:tcPr>
          <w:p w14:paraId="799B88BE" w14:textId="5895C44B" w:rsidR="00C52F6F" w:rsidRPr="00600572" w:rsidRDefault="00C52F6F" w:rsidP="00AA137D">
            <w:pPr>
              <w:autoSpaceDE w:val="0"/>
              <w:autoSpaceDN w:val="0"/>
              <w:adjustRightInd w:val="0"/>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 xml:space="preserve">Deal with geographical barriers through compensations benefits etc. </w:t>
            </w:r>
          </w:p>
          <w:p w14:paraId="682959D0" w14:textId="77777777" w:rsidR="00C52F6F" w:rsidRDefault="00C52F6F" w:rsidP="00AA137D">
            <w:pPr>
              <w:autoSpaceDE w:val="0"/>
              <w:autoSpaceDN w:val="0"/>
              <w:adjustRightInd w:val="0"/>
              <w:rPr>
                <w:rFonts w:ascii="Times New Roman" w:hAnsi="Times New Roman" w:cs="Times New Roman"/>
                <w:b/>
                <w:bCs/>
                <w:sz w:val="18"/>
                <w:szCs w:val="18"/>
              </w:rPr>
            </w:pPr>
          </w:p>
          <w:p w14:paraId="30F2C693" w14:textId="3FFC1C09" w:rsidR="00C52F6F" w:rsidRPr="00D808F5" w:rsidRDefault="00C52F6F" w:rsidP="00C52F6F">
            <w:pPr>
              <w:autoSpaceDE w:val="0"/>
              <w:autoSpaceDN w:val="0"/>
              <w:adjustRightInd w:val="0"/>
              <w:rPr>
                <w:rFonts w:ascii="Times New Roman" w:hAnsi="Times New Roman" w:cs="Times New Roman"/>
                <w:sz w:val="18"/>
                <w:szCs w:val="18"/>
              </w:rPr>
            </w:pPr>
            <w:r w:rsidRPr="00B50DE1">
              <w:rPr>
                <w:rFonts w:ascii="Times New Roman" w:hAnsi="Times New Roman" w:cs="Times New Roman"/>
                <w:b/>
                <w:bCs/>
                <w:sz w:val="18"/>
                <w:szCs w:val="18"/>
              </w:rPr>
              <w:lastRenderedPageBreak/>
              <w:t>Relevance</w:t>
            </w:r>
            <w:r>
              <w:rPr>
                <w:rFonts w:ascii="Times New Roman" w:hAnsi="Times New Roman" w:cs="Times New Roman"/>
                <w:sz w:val="18"/>
                <w:szCs w:val="18"/>
              </w:rPr>
              <w:t xml:space="preserve">: Are </w:t>
            </w:r>
            <w:r>
              <w:rPr>
                <w:rFonts w:ascii="AdvTTebabd7da" w:hAnsi="AdvTTebabd7da" w:cs="AdvTTebabd7da"/>
                <w:sz w:val="17"/>
                <w:szCs w:val="17"/>
              </w:rPr>
              <w:t>Costs of delivering, scaling up or accessing an intervention higher especially in a more dispersed population?  Does existing urban form limit or potentiate the impact of new infrastructure?</w:t>
            </w:r>
          </w:p>
        </w:tc>
      </w:tr>
      <w:tr w:rsidR="00C52F6F" w:rsidRPr="00D808F5" w14:paraId="37BBFE6C" w14:textId="6CB8B71D" w:rsidTr="007B6ABD">
        <w:tc>
          <w:tcPr>
            <w:tcW w:w="506" w:type="dxa"/>
            <w:vMerge/>
          </w:tcPr>
          <w:p w14:paraId="19F4837A" w14:textId="100D4B64" w:rsidR="00C52F6F" w:rsidRPr="00D808F5" w:rsidRDefault="00C52F6F" w:rsidP="00D808F5">
            <w:pPr>
              <w:jc w:val="both"/>
              <w:rPr>
                <w:rFonts w:ascii="Times New Roman" w:hAnsi="Times New Roman" w:cs="Times New Roman"/>
                <w:sz w:val="18"/>
                <w:szCs w:val="18"/>
              </w:rPr>
            </w:pPr>
          </w:p>
        </w:tc>
        <w:tc>
          <w:tcPr>
            <w:tcW w:w="2276" w:type="dxa"/>
            <w:vMerge/>
          </w:tcPr>
          <w:p w14:paraId="54649545" w14:textId="2B3F578A" w:rsidR="00C52F6F" w:rsidRPr="00D808F5" w:rsidRDefault="00C52F6F" w:rsidP="00D808F5">
            <w:pPr>
              <w:jc w:val="both"/>
              <w:rPr>
                <w:rFonts w:ascii="Times New Roman" w:hAnsi="Times New Roman" w:cs="Times New Roman"/>
                <w:sz w:val="18"/>
                <w:szCs w:val="18"/>
              </w:rPr>
            </w:pPr>
          </w:p>
        </w:tc>
        <w:tc>
          <w:tcPr>
            <w:tcW w:w="1983" w:type="dxa"/>
            <w:vMerge/>
          </w:tcPr>
          <w:p w14:paraId="09CDD048" w14:textId="5DAF5AE8" w:rsidR="00C52F6F" w:rsidRPr="00D808F5" w:rsidRDefault="00C52F6F" w:rsidP="00D808F5">
            <w:pPr>
              <w:jc w:val="both"/>
              <w:rPr>
                <w:rFonts w:ascii="Times New Roman" w:hAnsi="Times New Roman" w:cs="Times New Roman"/>
                <w:sz w:val="18"/>
                <w:szCs w:val="18"/>
              </w:rPr>
            </w:pPr>
          </w:p>
        </w:tc>
        <w:tc>
          <w:tcPr>
            <w:tcW w:w="2430" w:type="dxa"/>
          </w:tcPr>
          <w:p w14:paraId="0CB4CC78" w14:textId="7DD1424C" w:rsidR="00C52F6F" w:rsidRPr="00D808F5" w:rsidRDefault="00C52F6F" w:rsidP="00D808F5">
            <w:pPr>
              <w:jc w:val="both"/>
              <w:rPr>
                <w:rFonts w:ascii="Times New Roman" w:hAnsi="Times New Roman" w:cs="Times New Roman"/>
                <w:sz w:val="18"/>
                <w:szCs w:val="18"/>
              </w:rPr>
            </w:pPr>
            <w:r>
              <w:rPr>
                <w:rFonts w:ascii="Times New Roman" w:hAnsi="Times New Roman" w:cs="Times New Roman"/>
                <w:sz w:val="18"/>
                <w:szCs w:val="18"/>
              </w:rPr>
              <w:t>Other Geographical and environmental barriers</w:t>
            </w:r>
          </w:p>
        </w:tc>
        <w:tc>
          <w:tcPr>
            <w:tcW w:w="2970" w:type="dxa"/>
          </w:tcPr>
          <w:p w14:paraId="55F97937" w14:textId="5EC2013E" w:rsidR="00C52F6F" w:rsidRPr="00D808F5" w:rsidRDefault="00C52F6F" w:rsidP="00D808F5">
            <w:pPr>
              <w:jc w:val="both"/>
              <w:rPr>
                <w:rFonts w:ascii="Times New Roman" w:hAnsi="Times New Roman" w:cs="Times New Roman"/>
                <w:sz w:val="18"/>
                <w:szCs w:val="18"/>
              </w:rPr>
            </w:pPr>
            <w:r>
              <w:rPr>
                <w:rFonts w:ascii="Times New Roman" w:hAnsi="Times New Roman" w:cs="Times New Roman"/>
                <w:sz w:val="18"/>
                <w:szCs w:val="18"/>
              </w:rPr>
              <w:t>What other geographical/environmental barriers exist?</w:t>
            </w:r>
          </w:p>
        </w:tc>
        <w:tc>
          <w:tcPr>
            <w:tcW w:w="3690" w:type="dxa"/>
            <w:vMerge/>
          </w:tcPr>
          <w:p w14:paraId="0555B8D8" w14:textId="77777777" w:rsidR="00C52F6F" w:rsidRPr="00D808F5" w:rsidRDefault="00C52F6F" w:rsidP="00D808F5">
            <w:pPr>
              <w:jc w:val="both"/>
              <w:rPr>
                <w:rFonts w:ascii="Times New Roman" w:hAnsi="Times New Roman" w:cs="Times New Roman"/>
                <w:sz w:val="18"/>
                <w:szCs w:val="18"/>
              </w:rPr>
            </w:pPr>
          </w:p>
        </w:tc>
      </w:tr>
      <w:tr w:rsidR="00FF79A6" w:rsidRPr="00D808F5" w14:paraId="02F55B2B" w14:textId="77777777" w:rsidTr="007B6ABD">
        <w:tc>
          <w:tcPr>
            <w:tcW w:w="506" w:type="dxa"/>
            <w:vMerge w:val="restart"/>
          </w:tcPr>
          <w:p w14:paraId="37CE1E17" w14:textId="3BEB2A50" w:rsidR="00FF79A6" w:rsidRPr="00D808F5" w:rsidRDefault="00FF79A6" w:rsidP="003B4FCD">
            <w:pPr>
              <w:jc w:val="both"/>
              <w:rPr>
                <w:rFonts w:ascii="Times New Roman" w:hAnsi="Times New Roman" w:cs="Times New Roman"/>
                <w:sz w:val="18"/>
                <w:szCs w:val="18"/>
              </w:rPr>
            </w:pPr>
            <w:r w:rsidRPr="00D808F5">
              <w:rPr>
                <w:rFonts w:ascii="Times New Roman" w:hAnsi="Times New Roman" w:cs="Times New Roman"/>
                <w:sz w:val="18"/>
                <w:szCs w:val="18"/>
              </w:rPr>
              <w:t>5.</w:t>
            </w:r>
          </w:p>
        </w:tc>
        <w:tc>
          <w:tcPr>
            <w:tcW w:w="2276" w:type="dxa"/>
            <w:vMerge w:val="restart"/>
          </w:tcPr>
          <w:p w14:paraId="79653676" w14:textId="47C308F1" w:rsidR="00FF79A6" w:rsidRPr="00D808F5" w:rsidRDefault="00FF79A6" w:rsidP="003B4FCD">
            <w:pPr>
              <w:jc w:val="both"/>
              <w:rPr>
                <w:rFonts w:ascii="Times New Roman" w:hAnsi="Times New Roman" w:cs="Times New Roman"/>
                <w:sz w:val="18"/>
                <w:szCs w:val="18"/>
              </w:rPr>
            </w:pPr>
            <w:r w:rsidRPr="00D808F5">
              <w:rPr>
                <w:rFonts w:ascii="Times New Roman" w:hAnsi="Times New Roman" w:cs="Times New Roman"/>
                <w:sz w:val="18"/>
                <w:szCs w:val="18"/>
              </w:rPr>
              <w:t>Service and organizational</w:t>
            </w:r>
          </w:p>
        </w:tc>
        <w:tc>
          <w:tcPr>
            <w:tcW w:w="1983" w:type="dxa"/>
            <w:vMerge w:val="restart"/>
          </w:tcPr>
          <w:p w14:paraId="203AE323" w14:textId="77777777" w:rsidR="00FF79A6" w:rsidRPr="00D808F5" w:rsidRDefault="00FF79A6" w:rsidP="003B4FCD">
            <w:pPr>
              <w:jc w:val="both"/>
              <w:rPr>
                <w:rFonts w:ascii="Times New Roman" w:hAnsi="Times New Roman" w:cs="Times New Roman"/>
                <w:sz w:val="18"/>
                <w:szCs w:val="18"/>
              </w:rPr>
            </w:pPr>
            <w:r w:rsidRPr="00D808F5">
              <w:rPr>
                <w:rFonts w:ascii="Times New Roman" w:hAnsi="Times New Roman" w:cs="Times New Roman"/>
                <w:sz w:val="18"/>
                <w:szCs w:val="18"/>
              </w:rPr>
              <w:t>Characteristics, such as readiness to change and motivation, of the individuals delivering the intervention, the organizations in which they work and the wider service environment in which those organizations operate.</w:t>
            </w:r>
          </w:p>
          <w:p w14:paraId="0E288A89" w14:textId="77777777" w:rsidR="00FF79A6" w:rsidRPr="00D808F5" w:rsidRDefault="00FF79A6" w:rsidP="003B4FCD">
            <w:pPr>
              <w:jc w:val="both"/>
              <w:rPr>
                <w:rFonts w:ascii="Times New Roman" w:hAnsi="Times New Roman" w:cs="Times New Roman"/>
                <w:sz w:val="18"/>
                <w:szCs w:val="18"/>
              </w:rPr>
            </w:pPr>
          </w:p>
          <w:p w14:paraId="3AE75277" w14:textId="668DB864" w:rsidR="00FF79A6" w:rsidRPr="00D808F5" w:rsidRDefault="00FF79A6" w:rsidP="003B4FCD">
            <w:pPr>
              <w:jc w:val="both"/>
              <w:rPr>
                <w:rFonts w:ascii="Times New Roman" w:hAnsi="Times New Roman" w:cs="Times New Roman"/>
                <w:sz w:val="18"/>
                <w:szCs w:val="18"/>
              </w:rPr>
            </w:pPr>
          </w:p>
        </w:tc>
        <w:tc>
          <w:tcPr>
            <w:tcW w:w="2430" w:type="dxa"/>
          </w:tcPr>
          <w:p w14:paraId="575373F9" w14:textId="41D14507" w:rsidR="00FF79A6" w:rsidRPr="00D808F5" w:rsidRDefault="00FF79A6" w:rsidP="003B4FCD">
            <w:pPr>
              <w:jc w:val="both"/>
              <w:rPr>
                <w:rFonts w:ascii="Times New Roman" w:hAnsi="Times New Roman" w:cs="Times New Roman"/>
                <w:sz w:val="18"/>
                <w:szCs w:val="18"/>
              </w:rPr>
            </w:pPr>
            <w:r>
              <w:rPr>
                <w:rFonts w:ascii="Times New Roman" w:hAnsi="Times New Roman" w:cs="Times New Roman"/>
                <w:sz w:val="18"/>
                <w:szCs w:val="18"/>
              </w:rPr>
              <w:t>Strength of leadership and quality improvement</w:t>
            </w:r>
          </w:p>
        </w:tc>
        <w:tc>
          <w:tcPr>
            <w:tcW w:w="2970" w:type="dxa"/>
          </w:tcPr>
          <w:p w14:paraId="37950202" w14:textId="21C6419E" w:rsidR="00FF79A6" w:rsidRPr="00D808F5" w:rsidRDefault="00FF79A6" w:rsidP="003B4FCD">
            <w:pPr>
              <w:jc w:val="both"/>
              <w:rPr>
                <w:rFonts w:ascii="Times New Roman" w:hAnsi="Times New Roman" w:cs="Times New Roman"/>
                <w:sz w:val="18"/>
                <w:szCs w:val="18"/>
              </w:rPr>
            </w:pPr>
            <w:r>
              <w:rPr>
                <w:rFonts w:ascii="Times New Roman" w:hAnsi="Times New Roman" w:cs="Times New Roman"/>
                <w:sz w:val="18"/>
                <w:szCs w:val="18"/>
              </w:rPr>
              <w:t>What kind of leadership/quality improvement possibility exist in the environment of operation? (Weak/strong)</w:t>
            </w:r>
          </w:p>
        </w:tc>
        <w:tc>
          <w:tcPr>
            <w:tcW w:w="3690" w:type="dxa"/>
            <w:vMerge w:val="restart"/>
          </w:tcPr>
          <w:p w14:paraId="3D147B4E" w14:textId="4C310DE0" w:rsidR="00FF79A6" w:rsidRPr="00BE2722" w:rsidRDefault="00FF79A6" w:rsidP="00052872">
            <w:pPr>
              <w:jc w:val="both"/>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Make sure the delivery organization and leadership are committed to the objectives of the intervention.</w:t>
            </w:r>
          </w:p>
          <w:p w14:paraId="6EE1D617" w14:textId="77777777" w:rsidR="00FF79A6" w:rsidRDefault="00FF79A6" w:rsidP="00052872">
            <w:pPr>
              <w:jc w:val="both"/>
              <w:rPr>
                <w:rFonts w:ascii="Times New Roman" w:hAnsi="Times New Roman" w:cs="Times New Roman"/>
                <w:b/>
                <w:bCs/>
                <w:sz w:val="18"/>
                <w:szCs w:val="18"/>
              </w:rPr>
            </w:pPr>
          </w:p>
          <w:p w14:paraId="1BE38FE2" w14:textId="55CB2F49" w:rsidR="00FF79A6" w:rsidRPr="00052872" w:rsidRDefault="00FF79A6" w:rsidP="00052872">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Is there a</w:t>
            </w:r>
            <w:r w:rsidRPr="00052872">
              <w:rPr>
                <w:rFonts w:ascii="Times New Roman" w:hAnsi="Times New Roman" w:cs="Times New Roman"/>
                <w:sz w:val="18"/>
                <w:szCs w:val="18"/>
              </w:rPr>
              <w:t xml:space="preserve"> tradition of quality improvement or strong</w:t>
            </w:r>
            <w:r>
              <w:rPr>
                <w:rFonts w:ascii="Times New Roman" w:hAnsi="Times New Roman" w:cs="Times New Roman"/>
                <w:sz w:val="18"/>
                <w:szCs w:val="18"/>
              </w:rPr>
              <w:t xml:space="preserve">/weak </w:t>
            </w:r>
            <w:r w:rsidRPr="00052872">
              <w:rPr>
                <w:rFonts w:ascii="Times New Roman" w:hAnsi="Times New Roman" w:cs="Times New Roman"/>
                <w:sz w:val="18"/>
                <w:szCs w:val="18"/>
              </w:rPr>
              <w:t xml:space="preserve">leadership within </w:t>
            </w:r>
            <w:r>
              <w:rPr>
                <w:rFonts w:ascii="Times New Roman" w:hAnsi="Times New Roman" w:cs="Times New Roman"/>
                <w:sz w:val="18"/>
                <w:szCs w:val="18"/>
              </w:rPr>
              <w:t>the</w:t>
            </w:r>
            <w:r w:rsidRPr="00052872">
              <w:rPr>
                <w:rFonts w:ascii="Times New Roman" w:hAnsi="Times New Roman" w:cs="Times New Roman"/>
                <w:sz w:val="18"/>
                <w:szCs w:val="18"/>
              </w:rPr>
              <w:t xml:space="preserve"> delivery organi</w:t>
            </w:r>
            <w:r>
              <w:rPr>
                <w:rFonts w:ascii="Times New Roman" w:hAnsi="Times New Roman" w:cs="Times New Roman"/>
                <w:sz w:val="18"/>
                <w:szCs w:val="18"/>
              </w:rPr>
              <w:t>z</w:t>
            </w:r>
            <w:r w:rsidRPr="00052872">
              <w:rPr>
                <w:rFonts w:ascii="Times New Roman" w:hAnsi="Times New Roman" w:cs="Times New Roman"/>
                <w:sz w:val="18"/>
                <w:szCs w:val="18"/>
              </w:rPr>
              <w:t>ation</w:t>
            </w:r>
            <w:r>
              <w:rPr>
                <w:rFonts w:ascii="Times New Roman" w:hAnsi="Times New Roman" w:cs="Times New Roman"/>
                <w:sz w:val="18"/>
                <w:szCs w:val="18"/>
              </w:rPr>
              <w:t>?</w:t>
            </w:r>
            <w:r w:rsidRPr="00052872">
              <w:rPr>
                <w:rFonts w:ascii="Times New Roman" w:hAnsi="Times New Roman" w:cs="Times New Roman"/>
                <w:sz w:val="18"/>
                <w:szCs w:val="18"/>
              </w:rPr>
              <w:t xml:space="preserve"> Or</w:t>
            </w:r>
            <w:r>
              <w:rPr>
                <w:rFonts w:ascii="Times New Roman" w:hAnsi="Times New Roman" w:cs="Times New Roman"/>
                <w:sz w:val="18"/>
                <w:szCs w:val="18"/>
              </w:rPr>
              <w:t xml:space="preserve"> is there a</w:t>
            </w:r>
          </w:p>
          <w:p w14:paraId="7D16C4D2" w14:textId="229D9329" w:rsidR="00FF79A6" w:rsidRPr="00052872" w:rsidRDefault="00FF79A6" w:rsidP="00052872">
            <w:pPr>
              <w:jc w:val="both"/>
              <w:rPr>
                <w:rFonts w:ascii="Times New Roman" w:hAnsi="Times New Roman" w:cs="Times New Roman"/>
                <w:sz w:val="18"/>
                <w:szCs w:val="18"/>
              </w:rPr>
            </w:pPr>
            <w:r w:rsidRPr="00052872">
              <w:rPr>
                <w:rFonts w:ascii="Times New Roman" w:hAnsi="Times New Roman" w:cs="Times New Roman"/>
                <w:sz w:val="18"/>
                <w:szCs w:val="18"/>
              </w:rPr>
              <w:t>commitment to the particular issue</w:t>
            </w:r>
            <w:r>
              <w:rPr>
                <w:rFonts w:ascii="Times New Roman" w:hAnsi="Times New Roman" w:cs="Times New Roman"/>
                <w:sz w:val="18"/>
                <w:szCs w:val="18"/>
              </w:rPr>
              <w:t>/intervention?</w:t>
            </w:r>
          </w:p>
          <w:p w14:paraId="6A7AC570" w14:textId="42ABF021" w:rsidR="00FF79A6" w:rsidRPr="00D808F5" w:rsidRDefault="00FF79A6" w:rsidP="00052872">
            <w:pPr>
              <w:jc w:val="both"/>
              <w:rPr>
                <w:rFonts w:ascii="Times New Roman" w:hAnsi="Times New Roman" w:cs="Times New Roman"/>
                <w:sz w:val="18"/>
                <w:szCs w:val="18"/>
              </w:rPr>
            </w:pPr>
            <w:r>
              <w:rPr>
                <w:rFonts w:ascii="Times New Roman" w:hAnsi="Times New Roman" w:cs="Times New Roman"/>
                <w:sz w:val="18"/>
                <w:szCs w:val="18"/>
              </w:rPr>
              <w:t>Are there any rooms for innovations?</w:t>
            </w:r>
          </w:p>
        </w:tc>
      </w:tr>
      <w:tr w:rsidR="00FF79A6" w:rsidRPr="00D808F5" w14:paraId="2E6CCF3C" w14:textId="77777777" w:rsidTr="007B6ABD">
        <w:tc>
          <w:tcPr>
            <w:tcW w:w="506" w:type="dxa"/>
            <w:vMerge/>
          </w:tcPr>
          <w:p w14:paraId="32D601DE" w14:textId="77777777" w:rsidR="00FF79A6" w:rsidRPr="00D808F5" w:rsidRDefault="00FF79A6" w:rsidP="003B4FCD">
            <w:pPr>
              <w:jc w:val="both"/>
              <w:rPr>
                <w:rFonts w:ascii="Times New Roman" w:hAnsi="Times New Roman" w:cs="Times New Roman"/>
                <w:sz w:val="18"/>
                <w:szCs w:val="18"/>
              </w:rPr>
            </w:pPr>
          </w:p>
        </w:tc>
        <w:tc>
          <w:tcPr>
            <w:tcW w:w="2276" w:type="dxa"/>
            <w:vMerge/>
          </w:tcPr>
          <w:p w14:paraId="571276FE" w14:textId="77777777" w:rsidR="00FF79A6" w:rsidRPr="00D808F5" w:rsidRDefault="00FF79A6" w:rsidP="003B4FCD">
            <w:pPr>
              <w:jc w:val="both"/>
              <w:rPr>
                <w:rFonts w:ascii="Times New Roman" w:hAnsi="Times New Roman" w:cs="Times New Roman"/>
                <w:sz w:val="18"/>
                <w:szCs w:val="18"/>
              </w:rPr>
            </w:pPr>
          </w:p>
        </w:tc>
        <w:tc>
          <w:tcPr>
            <w:tcW w:w="1983" w:type="dxa"/>
            <w:vMerge/>
          </w:tcPr>
          <w:p w14:paraId="7A6BC3D7" w14:textId="77777777" w:rsidR="00FF79A6" w:rsidRPr="00D808F5" w:rsidRDefault="00FF79A6" w:rsidP="003B4FCD">
            <w:pPr>
              <w:jc w:val="both"/>
              <w:rPr>
                <w:rFonts w:ascii="Times New Roman" w:hAnsi="Times New Roman" w:cs="Times New Roman"/>
                <w:sz w:val="18"/>
                <w:szCs w:val="18"/>
              </w:rPr>
            </w:pPr>
          </w:p>
        </w:tc>
        <w:tc>
          <w:tcPr>
            <w:tcW w:w="2430" w:type="dxa"/>
          </w:tcPr>
          <w:p w14:paraId="1344F995" w14:textId="51FA8DD9" w:rsidR="00FF79A6" w:rsidRPr="00D808F5" w:rsidRDefault="00FF79A6" w:rsidP="003B4FCD">
            <w:pPr>
              <w:jc w:val="both"/>
              <w:rPr>
                <w:rFonts w:ascii="Times New Roman" w:hAnsi="Times New Roman" w:cs="Times New Roman"/>
                <w:sz w:val="18"/>
                <w:szCs w:val="18"/>
              </w:rPr>
            </w:pPr>
            <w:r>
              <w:rPr>
                <w:rFonts w:ascii="Times New Roman" w:hAnsi="Times New Roman" w:cs="Times New Roman"/>
                <w:sz w:val="18"/>
                <w:szCs w:val="18"/>
              </w:rPr>
              <w:t>Political will</w:t>
            </w:r>
          </w:p>
        </w:tc>
        <w:tc>
          <w:tcPr>
            <w:tcW w:w="2970" w:type="dxa"/>
          </w:tcPr>
          <w:p w14:paraId="582780F3" w14:textId="26671B5C" w:rsidR="00FF79A6" w:rsidRPr="00D808F5" w:rsidRDefault="00FF79A6" w:rsidP="003B4FCD">
            <w:pPr>
              <w:jc w:val="both"/>
              <w:rPr>
                <w:rFonts w:ascii="Times New Roman" w:hAnsi="Times New Roman" w:cs="Times New Roman"/>
                <w:sz w:val="18"/>
                <w:szCs w:val="18"/>
              </w:rPr>
            </w:pPr>
            <w:r>
              <w:rPr>
                <w:rFonts w:ascii="Times New Roman" w:hAnsi="Times New Roman" w:cs="Times New Roman"/>
                <w:sz w:val="18"/>
                <w:szCs w:val="18"/>
              </w:rPr>
              <w:t>What is the political will towards the implementation of the intervention?</w:t>
            </w:r>
          </w:p>
        </w:tc>
        <w:tc>
          <w:tcPr>
            <w:tcW w:w="3690" w:type="dxa"/>
            <w:vMerge/>
          </w:tcPr>
          <w:p w14:paraId="7E8AD07A" w14:textId="77777777" w:rsidR="00FF79A6" w:rsidRPr="00052872" w:rsidRDefault="00FF79A6" w:rsidP="00052872">
            <w:pPr>
              <w:jc w:val="both"/>
              <w:rPr>
                <w:rFonts w:ascii="Times New Roman" w:hAnsi="Times New Roman" w:cs="Times New Roman"/>
                <w:sz w:val="18"/>
                <w:szCs w:val="18"/>
              </w:rPr>
            </w:pPr>
          </w:p>
        </w:tc>
      </w:tr>
      <w:tr w:rsidR="006E5994" w:rsidRPr="00D808F5" w14:paraId="2F9A202E" w14:textId="77777777" w:rsidTr="007B6ABD">
        <w:tc>
          <w:tcPr>
            <w:tcW w:w="506" w:type="dxa"/>
            <w:vMerge/>
          </w:tcPr>
          <w:p w14:paraId="0655344D" w14:textId="77777777" w:rsidR="006E5994" w:rsidRPr="00D808F5" w:rsidRDefault="006E5994" w:rsidP="003B4FCD">
            <w:pPr>
              <w:jc w:val="both"/>
              <w:rPr>
                <w:rFonts w:ascii="Times New Roman" w:hAnsi="Times New Roman" w:cs="Times New Roman"/>
                <w:sz w:val="18"/>
                <w:szCs w:val="18"/>
              </w:rPr>
            </w:pPr>
          </w:p>
        </w:tc>
        <w:tc>
          <w:tcPr>
            <w:tcW w:w="2276" w:type="dxa"/>
            <w:vMerge/>
          </w:tcPr>
          <w:p w14:paraId="0DC429B2" w14:textId="77777777" w:rsidR="006E5994" w:rsidRPr="00D808F5" w:rsidRDefault="006E5994" w:rsidP="003B4FCD">
            <w:pPr>
              <w:jc w:val="both"/>
              <w:rPr>
                <w:rFonts w:ascii="Times New Roman" w:hAnsi="Times New Roman" w:cs="Times New Roman"/>
                <w:sz w:val="18"/>
                <w:szCs w:val="18"/>
              </w:rPr>
            </w:pPr>
          </w:p>
        </w:tc>
        <w:tc>
          <w:tcPr>
            <w:tcW w:w="1983" w:type="dxa"/>
            <w:vMerge w:val="restart"/>
          </w:tcPr>
          <w:p w14:paraId="39803C39" w14:textId="65E7CB0D" w:rsidR="006E5994" w:rsidRPr="00D808F5" w:rsidRDefault="006E5994" w:rsidP="003B4FCD">
            <w:pPr>
              <w:jc w:val="both"/>
              <w:rPr>
                <w:rFonts w:ascii="Times New Roman" w:hAnsi="Times New Roman" w:cs="Times New Roman"/>
                <w:sz w:val="18"/>
                <w:szCs w:val="18"/>
              </w:rPr>
            </w:pPr>
            <w:r w:rsidRPr="00D808F5">
              <w:rPr>
                <w:rFonts w:ascii="Times New Roman" w:hAnsi="Times New Roman" w:cs="Times New Roman"/>
                <w:sz w:val="18"/>
                <w:szCs w:val="18"/>
              </w:rPr>
              <w:t>Co-interventions that target the same risk factors, behaviors, or outcomes within the same population as the intervention of interest.</w:t>
            </w:r>
          </w:p>
        </w:tc>
        <w:tc>
          <w:tcPr>
            <w:tcW w:w="2430" w:type="dxa"/>
          </w:tcPr>
          <w:p w14:paraId="07933725" w14:textId="13E9AE97" w:rsidR="006E5994" w:rsidRPr="00D808F5" w:rsidRDefault="006E5994" w:rsidP="003B4FCD">
            <w:pPr>
              <w:jc w:val="both"/>
              <w:rPr>
                <w:rFonts w:ascii="Times New Roman" w:hAnsi="Times New Roman" w:cs="Times New Roman"/>
                <w:sz w:val="18"/>
                <w:szCs w:val="18"/>
              </w:rPr>
            </w:pPr>
            <w:r>
              <w:rPr>
                <w:rFonts w:ascii="Times New Roman" w:hAnsi="Times New Roman" w:cs="Times New Roman"/>
                <w:sz w:val="18"/>
                <w:szCs w:val="18"/>
              </w:rPr>
              <w:t>Availability of Competing interventions</w:t>
            </w:r>
          </w:p>
        </w:tc>
        <w:tc>
          <w:tcPr>
            <w:tcW w:w="2970" w:type="dxa"/>
          </w:tcPr>
          <w:p w14:paraId="35B73127" w14:textId="49E571BE" w:rsidR="006E5994" w:rsidRPr="00D808F5" w:rsidRDefault="006E5994" w:rsidP="003B4FCD">
            <w:pPr>
              <w:jc w:val="both"/>
              <w:rPr>
                <w:rFonts w:ascii="Times New Roman" w:hAnsi="Times New Roman" w:cs="Times New Roman"/>
                <w:sz w:val="18"/>
                <w:szCs w:val="18"/>
              </w:rPr>
            </w:pPr>
            <w:r>
              <w:rPr>
                <w:rFonts w:ascii="Times New Roman" w:hAnsi="Times New Roman" w:cs="Times New Roman"/>
                <w:sz w:val="18"/>
                <w:szCs w:val="18"/>
              </w:rPr>
              <w:t>Are there competing interventions and how effective are they?</w:t>
            </w:r>
          </w:p>
        </w:tc>
        <w:tc>
          <w:tcPr>
            <w:tcW w:w="3690" w:type="dxa"/>
            <w:vMerge w:val="restart"/>
          </w:tcPr>
          <w:p w14:paraId="75D39562" w14:textId="4E554405" w:rsidR="00B16E86" w:rsidRPr="00B16E86" w:rsidRDefault="00B16E86" w:rsidP="000A2309">
            <w:pPr>
              <w:jc w:val="both"/>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 xml:space="preserve">Scan the environment for competing interventions, complementary </w:t>
            </w:r>
            <w:proofErr w:type="gramStart"/>
            <w:r>
              <w:rPr>
                <w:rFonts w:ascii="Times New Roman" w:hAnsi="Times New Roman" w:cs="Times New Roman"/>
                <w:sz w:val="18"/>
                <w:szCs w:val="18"/>
              </w:rPr>
              <w:t>services</w:t>
            </w:r>
            <w:proofErr w:type="gramEnd"/>
            <w:r>
              <w:rPr>
                <w:rFonts w:ascii="Times New Roman" w:hAnsi="Times New Roman" w:cs="Times New Roman"/>
                <w:sz w:val="18"/>
                <w:szCs w:val="18"/>
              </w:rPr>
              <w:t xml:space="preserve"> and potentiality for future changes in risks or new interventions and assess their effectiveness.</w:t>
            </w:r>
          </w:p>
          <w:p w14:paraId="721ECE8C" w14:textId="77777777" w:rsidR="00B16E86" w:rsidRDefault="00B16E86" w:rsidP="000A2309">
            <w:pPr>
              <w:jc w:val="both"/>
              <w:rPr>
                <w:rFonts w:ascii="Times New Roman" w:hAnsi="Times New Roman" w:cs="Times New Roman"/>
                <w:b/>
                <w:bCs/>
                <w:sz w:val="18"/>
                <w:szCs w:val="18"/>
              </w:rPr>
            </w:pPr>
          </w:p>
          <w:p w14:paraId="459EB6E8" w14:textId="5116C8B6" w:rsidR="00271E27" w:rsidRDefault="00B16E86" w:rsidP="000A2309">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xml:space="preserve">: </w:t>
            </w:r>
            <w:r w:rsidR="00271E27">
              <w:rPr>
                <w:rFonts w:ascii="Times New Roman" w:hAnsi="Times New Roman" w:cs="Times New Roman"/>
                <w:sz w:val="18"/>
                <w:szCs w:val="18"/>
              </w:rPr>
              <w:t>How effective is the</w:t>
            </w:r>
            <w:r w:rsidR="006E5994" w:rsidRPr="000A2309">
              <w:rPr>
                <w:rFonts w:ascii="Times New Roman" w:hAnsi="Times New Roman" w:cs="Times New Roman"/>
                <w:sz w:val="18"/>
                <w:szCs w:val="18"/>
              </w:rPr>
              <w:t xml:space="preserve"> ‘treatment as usual’</w:t>
            </w:r>
            <w:r w:rsidR="00271E27">
              <w:rPr>
                <w:rFonts w:ascii="Times New Roman" w:hAnsi="Times New Roman" w:cs="Times New Roman"/>
                <w:sz w:val="18"/>
                <w:szCs w:val="18"/>
              </w:rPr>
              <w:t xml:space="preserve"> or the ‘status quo’ intervention?</w:t>
            </w:r>
          </w:p>
          <w:p w14:paraId="142651E9" w14:textId="76BA2A8E" w:rsidR="006E5994" w:rsidRPr="000A2309" w:rsidRDefault="00271E27" w:rsidP="000A2309">
            <w:pPr>
              <w:jc w:val="both"/>
              <w:rPr>
                <w:rFonts w:ascii="Times New Roman" w:hAnsi="Times New Roman" w:cs="Times New Roman"/>
                <w:sz w:val="18"/>
                <w:szCs w:val="18"/>
              </w:rPr>
            </w:pPr>
            <w:r>
              <w:rPr>
                <w:rFonts w:ascii="Times New Roman" w:hAnsi="Times New Roman" w:cs="Times New Roman"/>
                <w:sz w:val="18"/>
                <w:szCs w:val="18"/>
              </w:rPr>
              <w:t xml:space="preserve">How effective are the </w:t>
            </w:r>
            <w:r w:rsidRPr="000A2309">
              <w:rPr>
                <w:rFonts w:ascii="Times New Roman" w:hAnsi="Times New Roman" w:cs="Times New Roman"/>
                <w:sz w:val="18"/>
                <w:szCs w:val="18"/>
              </w:rPr>
              <w:t>available</w:t>
            </w:r>
            <w:r w:rsidR="006E5994" w:rsidRPr="000A2309">
              <w:rPr>
                <w:rFonts w:ascii="Times New Roman" w:hAnsi="Times New Roman" w:cs="Times New Roman"/>
                <w:sz w:val="18"/>
                <w:szCs w:val="18"/>
              </w:rPr>
              <w:t xml:space="preserve"> complementary services</w:t>
            </w:r>
            <w:r>
              <w:rPr>
                <w:rFonts w:ascii="Times New Roman" w:hAnsi="Times New Roman" w:cs="Times New Roman"/>
                <w:sz w:val="18"/>
                <w:szCs w:val="18"/>
              </w:rPr>
              <w:t xml:space="preserve"> and what are their quality of development?</w:t>
            </w:r>
          </w:p>
          <w:p w14:paraId="4FE56D2C" w14:textId="29823B10" w:rsidR="006E5994" w:rsidRPr="00052872" w:rsidRDefault="00C2085E" w:rsidP="00C2085E">
            <w:pPr>
              <w:jc w:val="both"/>
              <w:rPr>
                <w:rFonts w:ascii="Times New Roman" w:hAnsi="Times New Roman" w:cs="Times New Roman"/>
                <w:sz w:val="18"/>
                <w:szCs w:val="18"/>
              </w:rPr>
            </w:pPr>
            <w:r>
              <w:rPr>
                <w:rFonts w:ascii="Times New Roman" w:hAnsi="Times New Roman" w:cs="Times New Roman"/>
                <w:sz w:val="18"/>
                <w:szCs w:val="18"/>
              </w:rPr>
              <w:t>Any foreseeable changes in health risks in the future or possibility of</w:t>
            </w:r>
            <w:r w:rsidR="006E5994" w:rsidRPr="000A2309">
              <w:rPr>
                <w:rFonts w:ascii="Times New Roman" w:hAnsi="Times New Roman" w:cs="Times New Roman"/>
                <w:sz w:val="18"/>
                <w:szCs w:val="18"/>
              </w:rPr>
              <w:t xml:space="preserve"> </w:t>
            </w:r>
            <w:r>
              <w:rPr>
                <w:rFonts w:ascii="Times New Roman" w:hAnsi="Times New Roman" w:cs="Times New Roman"/>
                <w:sz w:val="18"/>
                <w:szCs w:val="18"/>
              </w:rPr>
              <w:t>new interventions?</w:t>
            </w:r>
          </w:p>
        </w:tc>
      </w:tr>
      <w:tr w:rsidR="006E5994" w:rsidRPr="00D808F5" w14:paraId="2D63EDE1" w14:textId="77777777" w:rsidTr="007B6ABD">
        <w:tc>
          <w:tcPr>
            <w:tcW w:w="506" w:type="dxa"/>
            <w:vMerge/>
          </w:tcPr>
          <w:p w14:paraId="261134FE" w14:textId="77777777" w:rsidR="006E5994" w:rsidRPr="00D808F5" w:rsidRDefault="006E5994" w:rsidP="003B4FCD">
            <w:pPr>
              <w:jc w:val="both"/>
              <w:rPr>
                <w:rFonts w:ascii="Times New Roman" w:hAnsi="Times New Roman" w:cs="Times New Roman"/>
                <w:sz w:val="18"/>
                <w:szCs w:val="18"/>
              </w:rPr>
            </w:pPr>
          </w:p>
        </w:tc>
        <w:tc>
          <w:tcPr>
            <w:tcW w:w="2276" w:type="dxa"/>
            <w:vMerge/>
          </w:tcPr>
          <w:p w14:paraId="7D2AC651" w14:textId="77777777" w:rsidR="006E5994" w:rsidRPr="00D808F5" w:rsidRDefault="006E5994" w:rsidP="003B4FCD">
            <w:pPr>
              <w:jc w:val="both"/>
              <w:rPr>
                <w:rFonts w:ascii="Times New Roman" w:hAnsi="Times New Roman" w:cs="Times New Roman"/>
                <w:sz w:val="18"/>
                <w:szCs w:val="18"/>
              </w:rPr>
            </w:pPr>
          </w:p>
        </w:tc>
        <w:tc>
          <w:tcPr>
            <w:tcW w:w="1983" w:type="dxa"/>
            <w:vMerge/>
          </w:tcPr>
          <w:p w14:paraId="6D070DA8" w14:textId="77777777" w:rsidR="006E5994" w:rsidRPr="00D808F5" w:rsidRDefault="006E5994" w:rsidP="003B4FCD">
            <w:pPr>
              <w:tabs>
                <w:tab w:val="left" w:pos="1635"/>
              </w:tabs>
              <w:jc w:val="both"/>
              <w:rPr>
                <w:rFonts w:ascii="Times New Roman" w:hAnsi="Times New Roman" w:cs="Times New Roman"/>
                <w:sz w:val="18"/>
                <w:szCs w:val="18"/>
              </w:rPr>
            </w:pPr>
          </w:p>
        </w:tc>
        <w:tc>
          <w:tcPr>
            <w:tcW w:w="2430" w:type="dxa"/>
          </w:tcPr>
          <w:p w14:paraId="42A3C62A" w14:textId="78E62F3A" w:rsidR="006E5994" w:rsidRPr="00D808F5" w:rsidRDefault="006E5994" w:rsidP="003B4FCD">
            <w:pPr>
              <w:tabs>
                <w:tab w:val="left" w:pos="1635"/>
              </w:tabs>
              <w:jc w:val="both"/>
              <w:rPr>
                <w:rFonts w:ascii="Times New Roman" w:hAnsi="Times New Roman" w:cs="Times New Roman"/>
                <w:sz w:val="18"/>
                <w:szCs w:val="18"/>
              </w:rPr>
            </w:pPr>
            <w:r>
              <w:rPr>
                <w:rFonts w:ascii="Times New Roman" w:hAnsi="Times New Roman" w:cs="Times New Roman"/>
                <w:sz w:val="18"/>
                <w:szCs w:val="18"/>
              </w:rPr>
              <w:t>Effectiveness and development of complementary services</w:t>
            </w:r>
          </w:p>
        </w:tc>
        <w:tc>
          <w:tcPr>
            <w:tcW w:w="2970" w:type="dxa"/>
          </w:tcPr>
          <w:p w14:paraId="1FF614E6" w14:textId="16841E32" w:rsidR="006E5994" w:rsidRPr="00D808F5" w:rsidRDefault="006E5994" w:rsidP="003B4FCD">
            <w:pPr>
              <w:tabs>
                <w:tab w:val="left" w:pos="1635"/>
              </w:tabs>
              <w:jc w:val="both"/>
              <w:rPr>
                <w:rFonts w:ascii="Times New Roman" w:hAnsi="Times New Roman" w:cs="Times New Roman"/>
                <w:sz w:val="18"/>
                <w:szCs w:val="18"/>
              </w:rPr>
            </w:pPr>
            <w:r>
              <w:rPr>
                <w:rFonts w:ascii="Times New Roman" w:hAnsi="Times New Roman" w:cs="Times New Roman"/>
                <w:sz w:val="18"/>
                <w:szCs w:val="18"/>
              </w:rPr>
              <w:t>How are complementary services faring as far as the objectives of the intervention is concerned?</w:t>
            </w:r>
          </w:p>
        </w:tc>
        <w:tc>
          <w:tcPr>
            <w:tcW w:w="3690" w:type="dxa"/>
            <w:vMerge/>
          </w:tcPr>
          <w:p w14:paraId="3E8C74A7" w14:textId="77777777" w:rsidR="006E5994" w:rsidRPr="00D808F5" w:rsidRDefault="006E5994" w:rsidP="003B4FCD">
            <w:pPr>
              <w:tabs>
                <w:tab w:val="left" w:pos="1635"/>
              </w:tabs>
              <w:jc w:val="both"/>
              <w:rPr>
                <w:rFonts w:ascii="Times New Roman" w:hAnsi="Times New Roman" w:cs="Times New Roman"/>
                <w:sz w:val="18"/>
                <w:szCs w:val="18"/>
              </w:rPr>
            </w:pPr>
          </w:p>
        </w:tc>
      </w:tr>
      <w:tr w:rsidR="006E5994" w:rsidRPr="00D808F5" w14:paraId="60538C4E" w14:textId="77777777" w:rsidTr="007B6ABD">
        <w:tc>
          <w:tcPr>
            <w:tcW w:w="506" w:type="dxa"/>
            <w:vMerge/>
          </w:tcPr>
          <w:p w14:paraId="088358B0" w14:textId="77777777" w:rsidR="006E5994" w:rsidRPr="00D808F5" w:rsidRDefault="006E5994" w:rsidP="003B4FCD">
            <w:pPr>
              <w:jc w:val="both"/>
              <w:rPr>
                <w:rFonts w:ascii="Times New Roman" w:hAnsi="Times New Roman" w:cs="Times New Roman"/>
                <w:sz w:val="18"/>
                <w:szCs w:val="18"/>
              </w:rPr>
            </w:pPr>
          </w:p>
        </w:tc>
        <w:tc>
          <w:tcPr>
            <w:tcW w:w="2276" w:type="dxa"/>
            <w:vMerge/>
          </w:tcPr>
          <w:p w14:paraId="31EE1262" w14:textId="77777777" w:rsidR="006E5994" w:rsidRPr="00D808F5" w:rsidRDefault="006E5994" w:rsidP="003B4FCD">
            <w:pPr>
              <w:jc w:val="both"/>
              <w:rPr>
                <w:rFonts w:ascii="Times New Roman" w:hAnsi="Times New Roman" w:cs="Times New Roman"/>
                <w:sz w:val="18"/>
                <w:szCs w:val="18"/>
              </w:rPr>
            </w:pPr>
          </w:p>
        </w:tc>
        <w:tc>
          <w:tcPr>
            <w:tcW w:w="1983" w:type="dxa"/>
            <w:vMerge/>
          </w:tcPr>
          <w:p w14:paraId="15440728" w14:textId="77777777" w:rsidR="006E5994" w:rsidRPr="00D808F5" w:rsidRDefault="006E5994" w:rsidP="003B4FCD">
            <w:pPr>
              <w:tabs>
                <w:tab w:val="left" w:pos="1635"/>
              </w:tabs>
              <w:jc w:val="both"/>
              <w:rPr>
                <w:rFonts w:ascii="Times New Roman" w:hAnsi="Times New Roman" w:cs="Times New Roman"/>
                <w:sz w:val="18"/>
                <w:szCs w:val="18"/>
              </w:rPr>
            </w:pPr>
          </w:p>
        </w:tc>
        <w:tc>
          <w:tcPr>
            <w:tcW w:w="2430" w:type="dxa"/>
          </w:tcPr>
          <w:p w14:paraId="6DD33CEE" w14:textId="1B5D4ECB" w:rsidR="006E5994" w:rsidRPr="00D808F5" w:rsidRDefault="006E5994" w:rsidP="003B4FCD">
            <w:pPr>
              <w:tabs>
                <w:tab w:val="left" w:pos="1635"/>
              </w:tabs>
              <w:jc w:val="both"/>
              <w:rPr>
                <w:rFonts w:ascii="Times New Roman" w:hAnsi="Times New Roman" w:cs="Times New Roman"/>
                <w:sz w:val="18"/>
                <w:szCs w:val="18"/>
              </w:rPr>
            </w:pPr>
            <w:r>
              <w:rPr>
                <w:rFonts w:ascii="Times New Roman" w:hAnsi="Times New Roman" w:cs="Times New Roman"/>
                <w:sz w:val="18"/>
                <w:szCs w:val="18"/>
              </w:rPr>
              <w:t>Changes in health risk in the future and/or possibility of new interventions.</w:t>
            </w:r>
          </w:p>
        </w:tc>
        <w:tc>
          <w:tcPr>
            <w:tcW w:w="2970" w:type="dxa"/>
          </w:tcPr>
          <w:p w14:paraId="5BD56787" w14:textId="2C122BC2" w:rsidR="006E5994" w:rsidRPr="00D808F5" w:rsidRDefault="006E5994" w:rsidP="003B4FCD">
            <w:pPr>
              <w:tabs>
                <w:tab w:val="left" w:pos="1635"/>
              </w:tabs>
              <w:jc w:val="both"/>
              <w:rPr>
                <w:rFonts w:ascii="Times New Roman" w:hAnsi="Times New Roman" w:cs="Times New Roman"/>
                <w:sz w:val="18"/>
                <w:szCs w:val="18"/>
              </w:rPr>
            </w:pPr>
            <w:r>
              <w:rPr>
                <w:rFonts w:ascii="Times New Roman" w:hAnsi="Times New Roman" w:cs="Times New Roman"/>
                <w:sz w:val="18"/>
                <w:szCs w:val="18"/>
              </w:rPr>
              <w:t>Are there any possibility of change in health risk in the future or the introduction of new treatments? If so, how does that affect the intervention?</w:t>
            </w:r>
          </w:p>
        </w:tc>
        <w:tc>
          <w:tcPr>
            <w:tcW w:w="3690" w:type="dxa"/>
            <w:vMerge/>
          </w:tcPr>
          <w:p w14:paraId="24F183A1" w14:textId="77777777" w:rsidR="006E5994" w:rsidRPr="00D808F5" w:rsidRDefault="006E5994" w:rsidP="003B4FCD">
            <w:pPr>
              <w:tabs>
                <w:tab w:val="left" w:pos="1635"/>
              </w:tabs>
              <w:jc w:val="both"/>
              <w:rPr>
                <w:rFonts w:ascii="Times New Roman" w:hAnsi="Times New Roman" w:cs="Times New Roman"/>
                <w:sz w:val="18"/>
                <w:szCs w:val="18"/>
              </w:rPr>
            </w:pPr>
          </w:p>
        </w:tc>
      </w:tr>
      <w:tr w:rsidR="00435FE0" w:rsidRPr="00D808F5" w14:paraId="0D7C7DFA" w14:textId="44A0D9C3" w:rsidTr="007B6ABD">
        <w:tc>
          <w:tcPr>
            <w:tcW w:w="506" w:type="dxa"/>
            <w:vMerge w:val="restart"/>
          </w:tcPr>
          <w:p w14:paraId="421C4BC7" w14:textId="77777777" w:rsidR="00435FE0" w:rsidRPr="00D808F5" w:rsidRDefault="00435FE0" w:rsidP="003B4FCD">
            <w:pPr>
              <w:jc w:val="both"/>
              <w:rPr>
                <w:rFonts w:ascii="Times New Roman" w:hAnsi="Times New Roman" w:cs="Times New Roman"/>
                <w:sz w:val="18"/>
                <w:szCs w:val="18"/>
              </w:rPr>
            </w:pPr>
            <w:r w:rsidRPr="00D808F5">
              <w:rPr>
                <w:rFonts w:ascii="Times New Roman" w:hAnsi="Times New Roman" w:cs="Times New Roman"/>
                <w:sz w:val="18"/>
                <w:szCs w:val="18"/>
              </w:rPr>
              <w:t>6.</w:t>
            </w:r>
          </w:p>
        </w:tc>
        <w:tc>
          <w:tcPr>
            <w:tcW w:w="2276" w:type="dxa"/>
            <w:vMerge w:val="restart"/>
          </w:tcPr>
          <w:p w14:paraId="5293E344" w14:textId="77777777" w:rsidR="00435FE0" w:rsidRPr="00D808F5" w:rsidRDefault="00435FE0" w:rsidP="003B4FCD">
            <w:pPr>
              <w:jc w:val="both"/>
              <w:rPr>
                <w:rFonts w:ascii="Times New Roman" w:hAnsi="Times New Roman" w:cs="Times New Roman"/>
                <w:sz w:val="18"/>
                <w:szCs w:val="18"/>
              </w:rPr>
            </w:pPr>
            <w:r w:rsidRPr="00D808F5">
              <w:rPr>
                <w:rFonts w:ascii="Times New Roman" w:hAnsi="Times New Roman" w:cs="Times New Roman"/>
                <w:sz w:val="18"/>
                <w:szCs w:val="18"/>
              </w:rPr>
              <w:t>Ethical</w:t>
            </w:r>
          </w:p>
        </w:tc>
        <w:tc>
          <w:tcPr>
            <w:tcW w:w="1983" w:type="dxa"/>
            <w:vMerge w:val="restart"/>
          </w:tcPr>
          <w:p w14:paraId="0E82769B" w14:textId="77777777" w:rsidR="00435FE0" w:rsidRPr="00D808F5" w:rsidRDefault="00435FE0" w:rsidP="003B4FCD">
            <w:pPr>
              <w:tabs>
                <w:tab w:val="left" w:pos="1635"/>
              </w:tabs>
              <w:jc w:val="both"/>
              <w:rPr>
                <w:rFonts w:ascii="Times New Roman" w:hAnsi="Times New Roman" w:cs="Times New Roman"/>
                <w:sz w:val="18"/>
                <w:szCs w:val="18"/>
              </w:rPr>
            </w:pPr>
            <w:r w:rsidRPr="00D808F5">
              <w:rPr>
                <w:rFonts w:ascii="Times New Roman" w:hAnsi="Times New Roman" w:cs="Times New Roman"/>
                <w:sz w:val="18"/>
                <w:szCs w:val="18"/>
              </w:rPr>
              <w:t>The extent to which implementers and recipients are in equipoise about the benefits</w:t>
            </w:r>
          </w:p>
          <w:p w14:paraId="3E0CD60D" w14:textId="77777777" w:rsidR="00435FE0" w:rsidRPr="00D808F5" w:rsidRDefault="00435FE0" w:rsidP="003B4FCD">
            <w:pPr>
              <w:tabs>
                <w:tab w:val="left" w:pos="1635"/>
              </w:tabs>
              <w:jc w:val="both"/>
              <w:rPr>
                <w:rFonts w:ascii="Times New Roman" w:hAnsi="Times New Roman" w:cs="Times New Roman"/>
                <w:sz w:val="18"/>
                <w:szCs w:val="18"/>
              </w:rPr>
            </w:pPr>
            <w:r w:rsidRPr="00D808F5">
              <w:rPr>
                <w:rFonts w:ascii="Times New Roman" w:hAnsi="Times New Roman" w:cs="Times New Roman"/>
                <w:sz w:val="18"/>
                <w:szCs w:val="18"/>
              </w:rPr>
              <w:t>and harms of the intervention and can provide informed consent to exposure to the intervention and participation in associated research.</w:t>
            </w:r>
          </w:p>
        </w:tc>
        <w:tc>
          <w:tcPr>
            <w:tcW w:w="2430" w:type="dxa"/>
          </w:tcPr>
          <w:p w14:paraId="2AF60C44" w14:textId="1369FFAE" w:rsidR="00435FE0" w:rsidRPr="00D808F5" w:rsidRDefault="00435FE0" w:rsidP="003B4FCD">
            <w:pPr>
              <w:tabs>
                <w:tab w:val="left" w:pos="1635"/>
              </w:tabs>
              <w:jc w:val="both"/>
              <w:rPr>
                <w:rFonts w:ascii="Times New Roman" w:hAnsi="Times New Roman" w:cs="Times New Roman"/>
                <w:sz w:val="18"/>
                <w:szCs w:val="18"/>
              </w:rPr>
            </w:pPr>
            <w:r>
              <w:rPr>
                <w:rFonts w:ascii="Times New Roman" w:hAnsi="Times New Roman" w:cs="Times New Roman"/>
                <w:sz w:val="18"/>
                <w:szCs w:val="18"/>
              </w:rPr>
              <w:t>Ethics</w:t>
            </w:r>
          </w:p>
        </w:tc>
        <w:tc>
          <w:tcPr>
            <w:tcW w:w="2970" w:type="dxa"/>
          </w:tcPr>
          <w:p w14:paraId="0B886E0A" w14:textId="741AD474" w:rsidR="00435FE0" w:rsidRPr="00D808F5" w:rsidRDefault="00435FE0" w:rsidP="003B4FCD">
            <w:pPr>
              <w:tabs>
                <w:tab w:val="left" w:pos="1635"/>
              </w:tabs>
              <w:jc w:val="both"/>
              <w:rPr>
                <w:rFonts w:ascii="Times New Roman" w:hAnsi="Times New Roman" w:cs="Times New Roman"/>
                <w:sz w:val="18"/>
                <w:szCs w:val="18"/>
              </w:rPr>
            </w:pPr>
            <w:r>
              <w:rPr>
                <w:rFonts w:ascii="Times New Roman" w:hAnsi="Times New Roman" w:cs="Times New Roman"/>
                <w:sz w:val="18"/>
                <w:szCs w:val="18"/>
              </w:rPr>
              <w:t>Is the intervention ethically accepted by stakeholders and participants?</w:t>
            </w:r>
          </w:p>
        </w:tc>
        <w:tc>
          <w:tcPr>
            <w:tcW w:w="3690" w:type="dxa"/>
            <w:vMerge w:val="restart"/>
          </w:tcPr>
          <w:p w14:paraId="0CDE2BCF" w14:textId="5CC403C1" w:rsidR="00435FE0" w:rsidRPr="00F74114" w:rsidRDefault="00435FE0" w:rsidP="004D329E">
            <w:pPr>
              <w:tabs>
                <w:tab w:val="left" w:pos="1635"/>
              </w:tabs>
              <w:jc w:val="both"/>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Make sure that the intervention receives the go-ahead from recognized ethical board(s).</w:t>
            </w:r>
          </w:p>
          <w:p w14:paraId="2CC696AD" w14:textId="77777777" w:rsidR="00435FE0" w:rsidRDefault="00435FE0" w:rsidP="004D329E">
            <w:pPr>
              <w:tabs>
                <w:tab w:val="left" w:pos="1635"/>
              </w:tabs>
              <w:jc w:val="both"/>
              <w:rPr>
                <w:rFonts w:ascii="Times New Roman" w:hAnsi="Times New Roman" w:cs="Times New Roman"/>
                <w:sz w:val="18"/>
                <w:szCs w:val="18"/>
              </w:rPr>
            </w:pPr>
          </w:p>
          <w:p w14:paraId="2DE81554" w14:textId="1CBEA037" w:rsidR="00435FE0" w:rsidRPr="004D329E" w:rsidRDefault="00435FE0" w:rsidP="004D329E">
            <w:pPr>
              <w:tabs>
                <w:tab w:val="left" w:pos="1635"/>
              </w:tabs>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xml:space="preserve">: Do </w:t>
            </w:r>
            <w:r w:rsidRPr="004D329E">
              <w:rPr>
                <w:rFonts w:ascii="Times New Roman" w:hAnsi="Times New Roman" w:cs="Times New Roman"/>
                <w:sz w:val="18"/>
                <w:szCs w:val="18"/>
              </w:rPr>
              <w:t xml:space="preserve">stakeholders </w:t>
            </w:r>
            <w:r>
              <w:rPr>
                <w:rFonts w:ascii="Times New Roman" w:hAnsi="Times New Roman" w:cs="Times New Roman"/>
                <w:sz w:val="18"/>
                <w:szCs w:val="18"/>
              </w:rPr>
              <w:t>and participants hold s</w:t>
            </w:r>
            <w:r w:rsidRPr="004D329E">
              <w:rPr>
                <w:rFonts w:ascii="Times New Roman" w:hAnsi="Times New Roman" w:cs="Times New Roman"/>
                <w:sz w:val="18"/>
                <w:szCs w:val="18"/>
              </w:rPr>
              <w:t>trong</w:t>
            </w:r>
            <w:r>
              <w:rPr>
                <w:rFonts w:ascii="Times New Roman" w:hAnsi="Times New Roman" w:cs="Times New Roman"/>
                <w:sz w:val="18"/>
                <w:szCs w:val="18"/>
              </w:rPr>
              <w:t xml:space="preserve"> </w:t>
            </w:r>
            <w:r w:rsidRPr="004D329E">
              <w:rPr>
                <w:rFonts w:ascii="Times New Roman" w:hAnsi="Times New Roman" w:cs="Times New Roman"/>
                <w:sz w:val="18"/>
                <w:szCs w:val="18"/>
              </w:rPr>
              <w:t>beliefs about the benefits or</w:t>
            </w:r>
          </w:p>
          <w:p w14:paraId="3B86F46F" w14:textId="7073C633" w:rsidR="00435FE0" w:rsidRPr="004D329E" w:rsidRDefault="00435FE0" w:rsidP="004D329E">
            <w:pPr>
              <w:tabs>
                <w:tab w:val="left" w:pos="1635"/>
              </w:tabs>
              <w:jc w:val="both"/>
              <w:rPr>
                <w:rFonts w:ascii="Times New Roman" w:hAnsi="Times New Roman" w:cs="Times New Roman"/>
                <w:sz w:val="18"/>
                <w:szCs w:val="18"/>
              </w:rPr>
            </w:pPr>
            <w:r w:rsidRPr="004D329E">
              <w:rPr>
                <w:rFonts w:ascii="Times New Roman" w:hAnsi="Times New Roman" w:cs="Times New Roman"/>
                <w:sz w:val="18"/>
                <w:szCs w:val="18"/>
              </w:rPr>
              <w:t xml:space="preserve">harms of </w:t>
            </w:r>
            <w:r>
              <w:rPr>
                <w:rFonts w:ascii="Times New Roman" w:hAnsi="Times New Roman" w:cs="Times New Roman"/>
                <w:sz w:val="18"/>
                <w:szCs w:val="18"/>
              </w:rPr>
              <w:t>the</w:t>
            </w:r>
            <w:r w:rsidRPr="004D329E">
              <w:rPr>
                <w:rFonts w:ascii="Times New Roman" w:hAnsi="Times New Roman" w:cs="Times New Roman"/>
                <w:sz w:val="18"/>
                <w:szCs w:val="18"/>
              </w:rPr>
              <w:t xml:space="preserve"> intervention </w:t>
            </w:r>
            <w:r>
              <w:rPr>
                <w:rFonts w:ascii="Times New Roman" w:hAnsi="Times New Roman" w:cs="Times New Roman"/>
                <w:sz w:val="18"/>
                <w:szCs w:val="18"/>
              </w:rPr>
              <w:t xml:space="preserve">that </w:t>
            </w:r>
            <w:r w:rsidRPr="004D329E">
              <w:rPr>
                <w:rFonts w:ascii="Times New Roman" w:hAnsi="Times New Roman" w:cs="Times New Roman"/>
                <w:sz w:val="18"/>
                <w:szCs w:val="18"/>
              </w:rPr>
              <w:t xml:space="preserve">may deter </w:t>
            </w:r>
            <w:r>
              <w:rPr>
                <w:rFonts w:ascii="Times New Roman" w:hAnsi="Times New Roman" w:cs="Times New Roman"/>
                <w:sz w:val="18"/>
                <w:szCs w:val="18"/>
              </w:rPr>
              <w:t>them</w:t>
            </w:r>
          </w:p>
          <w:p w14:paraId="435C13A6" w14:textId="53CC4D36" w:rsidR="00435FE0" w:rsidRPr="004D329E" w:rsidRDefault="00435FE0" w:rsidP="004D329E">
            <w:pPr>
              <w:tabs>
                <w:tab w:val="left" w:pos="1635"/>
              </w:tabs>
              <w:jc w:val="both"/>
              <w:rPr>
                <w:rFonts w:ascii="Times New Roman" w:hAnsi="Times New Roman" w:cs="Times New Roman"/>
                <w:sz w:val="18"/>
                <w:szCs w:val="18"/>
              </w:rPr>
            </w:pPr>
            <w:r w:rsidRPr="004D329E">
              <w:rPr>
                <w:rFonts w:ascii="Times New Roman" w:hAnsi="Times New Roman" w:cs="Times New Roman"/>
                <w:sz w:val="18"/>
                <w:szCs w:val="18"/>
              </w:rPr>
              <w:t xml:space="preserve">from supporting </w:t>
            </w:r>
            <w:r>
              <w:rPr>
                <w:rFonts w:ascii="Times New Roman" w:hAnsi="Times New Roman" w:cs="Times New Roman"/>
                <w:sz w:val="18"/>
                <w:szCs w:val="18"/>
              </w:rPr>
              <w:t>it</w:t>
            </w:r>
            <w:r w:rsidRPr="004D329E">
              <w:rPr>
                <w:rFonts w:ascii="Times New Roman" w:hAnsi="Times New Roman" w:cs="Times New Roman"/>
                <w:sz w:val="18"/>
                <w:szCs w:val="18"/>
              </w:rPr>
              <w:t xml:space="preserve"> or</w:t>
            </w:r>
          </w:p>
          <w:p w14:paraId="69CED685" w14:textId="1B2AA95D" w:rsidR="00435FE0" w:rsidRPr="00D808F5" w:rsidRDefault="00435FE0" w:rsidP="004D329E">
            <w:pPr>
              <w:tabs>
                <w:tab w:val="left" w:pos="1635"/>
              </w:tabs>
              <w:jc w:val="both"/>
              <w:rPr>
                <w:rFonts w:ascii="Times New Roman" w:hAnsi="Times New Roman" w:cs="Times New Roman"/>
                <w:sz w:val="18"/>
                <w:szCs w:val="18"/>
              </w:rPr>
            </w:pPr>
            <w:r w:rsidRPr="004D329E">
              <w:rPr>
                <w:rFonts w:ascii="Times New Roman" w:hAnsi="Times New Roman" w:cs="Times New Roman"/>
                <w:sz w:val="18"/>
                <w:szCs w:val="18"/>
              </w:rPr>
              <w:t xml:space="preserve">individuals from participating in </w:t>
            </w:r>
            <w:r>
              <w:rPr>
                <w:rFonts w:ascii="Times New Roman" w:hAnsi="Times New Roman" w:cs="Times New Roman"/>
                <w:sz w:val="18"/>
                <w:szCs w:val="18"/>
              </w:rPr>
              <w:t>it?</w:t>
            </w:r>
          </w:p>
        </w:tc>
      </w:tr>
      <w:tr w:rsidR="00435FE0" w:rsidRPr="00D808F5" w14:paraId="246CBB19" w14:textId="77777777" w:rsidTr="007B6ABD">
        <w:tc>
          <w:tcPr>
            <w:tcW w:w="506" w:type="dxa"/>
            <w:vMerge/>
          </w:tcPr>
          <w:p w14:paraId="2406A805" w14:textId="77777777" w:rsidR="00435FE0" w:rsidRPr="00D808F5" w:rsidRDefault="00435FE0" w:rsidP="005478A6">
            <w:pPr>
              <w:jc w:val="both"/>
              <w:rPr>
                <w:rFonts w:ascii="Times New Roman" w:hAnsi="Times New Roman" w:cs="Times New Roman"/>
                <w:sz w:val="18"/>
                <w:szCs w:val="18"/>
              </w:rPr>
            </w:pPr>
          </w:p>
        </w:tc>
        <w:tc>
          <w:tcPr>
            <w:tcW w:w="2276" w:type="dxa"/>
            <w:vMerge/>
          </w:tcPr>
          <w:p w14:paraId="2E689465" w14:textId="77777777" w:rsidR="00435FE0" w:rsidRPr="00D808F5" w:rsidRDefault="00435FE0" w:rsidP="005478A6">
            <w:pPr>
              <w:jc w:val="both"/>
              <w:rPr>
                <w:rFonts w:ascii="Times New Roman" w:hAnsi="Times New Roman" w:cs="Times New Roman"/>
                <w:sz w:val="18"/>
                <w:szCs w:val="18"/>
              </w:rPr>
            </w:pPr>
          </w:p>
        </w:tc>
        <w:tc>
          <w:tcPr>
            <w:tcW w:w="1983" w:type="dxa"/>
            <w:vMerge/>
          </w:tcPr>
          <w:p w14:paraId="7D11B297" w14:textId="77777777" w:rsidR="00435FE0" w:rsidRPr="00D808F5" w:rsidRDefault="00435FE0" w:rsidP="005478A6">
            <w:pPr>
              <w:tabs>
                <w:tab w:val="left" w:pos="1635"/>
              </w:tabs>
              <w:jc w:val="both"/>
              <w:rPr>
                <w:rFonts w:ascii="Times New Roman" w:hAnsi="Times New Roman" w:cs="Times New Roman"/>
                <w:sz w:val="18"/>
                <w:szCs w:val="18"/>
              </w:rPr>
            </w:pPr>
          </w:p>
        </w:tc>
        <w:tc>
          <w:tcPr>
            <w:tcW w:w="2430" w:type="dxa"/>
          </w:tcPr>
          <w:p w14:paraId="2AFD4B22" w14:textId="3F646BC0" w:rsidR="00435FE0" w:rsidRPr="00D808F5" w:rsidRDefault="00435FE0" w:rsidP="005478A6">
            <w:pPr>
              <w:tabs>
                <w:tab w:val="left" w:pos="1635"/>
              </w:tabs>
              <w:jc w:val="both"/>
              <w:rPr>
                <w:rFonts w:ascii="Times New Roman" w:hAnsi="Times New Roman" w:cs="Times New Roman"/>
                <w:sz w:val="18"/>
                <w:szCs w:val="18"/>
              </w:rPr>
            </w:pPr>
            <w:r>
              <w:rPr>
                <w:rFonts w:ascii="Times New Roman" w:hAnsi="Times New Roman" w:cs="Times New Roman"/>
                <w:sz w:val="18"/>
                <w:szCs w:val="18"/>
              </w:rPr>
              <w:t>Morally acceptance</w:t>
            </w:r>
          </w:p>
        </w:tc>
        <w:tc>
          <w:tcPr>
            <w:tcW w:w="2970" w:type="dxa"/>
          </w:tcPr>
          <w:p w14:paraId="52382FFE" w14:textId="1BF88F51" w:rsidR="00435FE0" w:rsidRDefault="00435FE0" w:rsidP="005478A6">
            <w:pPr>
              <w:tabs>
                <w:tab w:val="left" w:pos="1635"/>
              </w:tabs>
              <w:jc w:val="both"/>
              <w:rPr>
                <w:rFonts w:ascii="Times New Roman" w:hAnsi="Times New Roman" w:cs="Times New Roman"/>
                <w:sz w:val="18"/>
                <w:szCs w:val="18"/>
              </w:rPr>
            </w:pPr>
            <w:r>
              <w:rPr>
                <w:rFonts w:ascii="Times New Roman" w:hAnsi="Times New Roman" w:cs="Times New Roman"/>
                <w:sz w:val="18"/>
                <w:szCs w:val="18"/>
              </w:rPr>
              <w:t>Is the intervention morally right or accepted by stakeholders and participants?</w:t>
            </w:r>
          </w:p>
        </w:tc>
        <w:tc>
          <w:tcPr>
            <w:tcW w:w="3690" w:type="dxa"/>
            <w:vMerge/>
          </w:tcPr>
          <w:p w14:paraId="5095F88B" w14:textId="77777777" w:rsidR="00435FE0" w:rsidRDefault="00435FE0" w:rsidP="005478A6">
            <w:pPr>
              <w:tabs>
                <w:tab w:val="left" w:pos="1635"/>
              </w:tabs>
              <w:jc w:val="both"/>
              <w:rPr>
                <w:rFonts w:ascii="Times New Roman" w:hAnsi="Times New Roman" w:cs="Times New Roman"/>
                <w:b/>
                <w:bCs/>
                <w:sz w:val="18"/>
                <w:szCs w:val="18"/>
              </w:rPr>
            </w:pPr>
          </w:p>
        </w:tc>
      </w:tr>
      <w:tr w:rsidR="005478A6" w:rsidRPr="00D808F5" w14:paraId="7F36E823" w14:textId="3F088D80" w:rsidTr="007B6ABD">
        <w:tc>
          <w:tcPr>
            <w:tcW w:w="506" w:type="dxa"/>
          </w:tcPr>
          <w:p w14:paraId="7BF99DB5"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7.</w:t>
            </w:r>
          </w:p>
        </w:tc>
        <w:tc>
          <w:tcPr>
            <w:tcW w:w="2276" w:type="dxa"/>
          </w:tcPr>
          <w:p w14:paraId="32242A4E"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Policy</w:t>
            </w:r>
          </w:p>
        </w:tc>
        <w:tc>
          <w:tcPr>
            <w:tcW w:w="1983" w:type="dxa"/>
          </w:tcPr>
          <w:p w14:paraId="3077CE6D"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 xml:space="preserve">The wider policy framework within which </w:t>
            </w:r>
            <w:r w:rsidRPr="00D808F5">
              <w:rPr>
                <w:rFonts w:ascii="Times New Roman" w:hAnsi="Times New Roman" w:cs="Times New Roman"/>
                <w:sz w:val="18"/>
                <w:szCs w:val="18"/>
              </w:rPr>
              <w:lastRenderedPageBreak/>
              <w:t>a specific intervention is embedded.</w:t>
            </w:r>
          </w:p>
        </w:tc>
        <w:tc>
          <w:tcPr>
            <w:tcW w:w="2430" w:type="dxa"/>
          </w:tcPr>
          <w:p w14:paraId="313354C2" w14:textId="33009A4E" w:rsidR="005478A6" w:rsidRPr="00D808F5" w:rsidRDefault="00BE0C9E" w:rsidP="005478A6">
            <w:pPr>
              <w:jc w:val="both"/>
              <w:rPr>
                <w:rFonts w:ascii="Times New Roman" w:hAnsi="Times New Roman" w:cs="Times New Roman"/>
                <w:sz w:val="18"/>
                <w:szCs w:val="18"/>
              </w:rPr>
            </w:pPr>
            <w:r>
              <w:rPr>
                <w:rFonts w:ascii="Times New Roman" w:hAnsi="Times New Roman" w:cs="Times New Roman"/>
                <w:sz w:val="18"/>
                <w:szCs w:val="18"/>
              </w:rPr>
              <w:lastRenderedPageBreak/>
              <w:t>Existing policy frameworks and their interactions with the intervention.</w:t>
            </w:r>
          </w:p>
        </w:tc>
        <w:tc>
          <w:tcPr>
            <w:tcW w:w="2970" w:type="dxa"/>
          </w:tcPr>
          <w:p w14:paraId="64C98136" w14:textId="3D6DF382" w:rsidR="005478A6" w:rsidRPr="00D808F5" w:rsidRDefault="00482932" w:rsidP="005478A6">
            <w:pPr>
              <w:jc w:val="both"/>
              <w:rPr>
                <w:rFonts w:ascii="Times New Roman" w:hAnsi="Times New Roman" w:cs="Times New Roman"/>
                <w:sz w:val="18"/>
                <w:szCs w:val="18"/>
              </w:rPr>
            </w:pPr>
            <w:r>
              <w:rPr>
                <w:rFonts w:ascii="Times New Roman" w:hAnsi="Times New Roman" w:cs="Times New Roman"/>
                <w:sz w:val="18"/>
                <w:szCs w:val="18"/>
              </w:rPr>
              <w:t>What policies exist in the environment of operation and how do they interact with the intervention?</w:t>
            </w:r>
          </w:p>
        </w:tc>
        <w:tc>
          <w:tcPr>
            <w:tcW w:w="3690" w:type="dxa"/>
          </w:tcPr>
          <w:p w14:paraId="120E2D08" w14:textId="2886E642" w:rsidR="009957E7" w:rsidRPr="009957E7" w:rsidRDefault="009957E7" w:rsidP="009957E7">
            <w:pPr>
              <w:jc w:val="both"/>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Ensure that the intervention does not deviate from existing set of policies.</w:t>
            </w:r>
          </w:p>
          <w:p w14:paraId="34FA178B" w14:textId="77777777" w:rsidR="009957E7" w:rsidRDefault="009957E7" w:rsidP="009957E7">
            <w:pPr>
              <w:jc w:val="both"/>
              <w:rPr>
                <w:rFonts w:ascii="Times New Roman" w:hAnsi="Times New Roman" w:cs="Times New Roman"/>
                <w:b/>
                <w:bCs/>
                <w:sz w:val="18"/>
                <w:szCs w:val="18"/>
              </w:rPr>
            </w:pPr>
          </w:p>
          <w:p w14:paraId="768B9F90" w14:textId="44E23438" w:rsidR="009957E7" w:rsidRPr="009957E7" w:rsidRDefault="009957E7" w:rsidP="009957E7">
            <w:pPr>
              <w:jc w:val="both"/>
              <w:rPr>
                <w:rFonts w:ascii="Times New Roman" w:hAnsi="Times New Roman" w:cs="Times New Roman"/>
                <w:sz w:val="18"/>
                <w:szCs w:val="18"/>
              </w:rPr>
            </w:pPr>
            <w:r w:rsidRPr="00B50DE1">
              <w:rPr>
                <w:rFonts w:ascii="Times New Roman" w:hAnsi="Times New Roman" w:cs="Times New Roman"/>
                <w:b/>
                <w:bCs/>
                <w:sz w:val="18"/>
                <w:szCs w:val="18"/>
              </w:rPr>
              <w:lastRenderedPageBreak/>
              <w:t>Relevance</w:t>
            </w:r>
            <w:r>
              <w:rPr>
                <w:rFonts w:ascii="Times New Roman" w:hAnsi="Times New Roman" w:cs="Times New Roman"/>
                <w:sz w:val="18"/>
                <w:szCs w:val="18"/>
              </w:rPr>
              <w:t>: Does</w:t>
            </w:r>
            <w:r w:rsidRPr="009957E7">
              <w:rPr>
                <w:rFonts w:ascii="Times New Roman" w:hAnsi="Times New Roman" w:cs="Times New Roman"/>
                <w:sz w:val="18"/>
                <w:szCs w:val="18"/>
              </w:rPr>
              <w:t xml:space="preserve"> the intervention</w:t>
            </w:r>
          </w:p>
          <w:p w14:paraId="6575495A" w14:textId="1142C221" w:rsidR="009957E7" w:rsidRPr="009957E7" w:rsidRDefault="009957E7" w:rsidP="009957E7">
            <w:pPr>
              <w:jc w:val="both"/>
              <w:rPr>
                <w:rFonts w:ascii="Times New Roman" w:hAnsi="Times New Roman" w:cs="Times New Roman"/>
                <w:sz w:val="18"/>
                <w:szCs w:val="18"/>
              </w:rPr>
            </w:pPr>
            <w:r w:rsidRPr="009957E7">
              <w:rPr>
                <w:rFonts w:ascii="Times New Roman" w:hAnsi="Times New Roman" w:cs="Times New Roman"/>
                <w:sz w:val="18"/>
                <w:szCs w:val="18"/>
              </w:rPr>
              <w:t>interacts positively</w:t>
            </w:r>
            <w:r>
              <w:rPr>
                <w:rFonts w:ascii="Times New Roman" w:hAnsi="Times New Roman" w:cs="Times New Roman"/>
                <w:sz w:val="18"/>
                <w:szCs w:val="18"/>
              </w:rPr>
              <w:t xml:space="preserve"> or negatively</w:t>
            </w:r>
            <w:r w:rsidRPr="009957E7">
              <w:rPr>
                <w:rFonts w:ascii="Times New Roman" w:hAnsi="Times New Roman" w:cs="Times New Roman"/>
                <w:sz w:val="18"/>
                <w:szCs w:val="18"/>
              </w:rPr>
              <w:t xml:space="preserve"> with other components of a</w:t>
            </w:r>
          </w:p>
          <w:p w14:paraId="46293187" w14:textId="5F8BED37" w:rsidR="005478A6" w:rsidRPr="00D808F5" w:rsidRDefault="009957E7" w:rsidP="009957E7">
            <w:pPr>
              <w:jc w:val="both"/>
              <w:rPr>
                <w:rFonts w:ascii="Times New Roman" w:hAnsi="Times New Roman" w:cs="Times New Roman"/>
                <w:sz w:val="18"/>
                <w:szCs w:val="18"/>
              </w:rPr>
            </w:pPr>
            <w:r w:rsidRPr="009957E7">
              <w:rPr>
                <w:rFonts w:ascii="Times New Roman" w:hAnsi="Times New Roman" w:cs="Times New Roman"/>
                <w:sz w:val="18"/>
                <w:szCs w:val="18"/>
              </w:rPr>
              <w:t>broader set of policies</w:t>
            </w:r>
          </w:p>
        </w:tc>
      </w:tr>
      <w:tr w:rsidR="005478A6" w:rsidRPr="00D808F5" w14:paraId="0ACCC75F" w14:textId="355DF391" w:rsidTr="007B6ABD">
        <w:tc>
          <w:tcPr>
            <w:tcW w:w="506" w:type="dxa"/>
          </w:tcPr>
          <w:p w14:paraId="78747DEC"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8.</w:t>
            </w:r>
          </w:p>
        </w:tc>
        <w:tc>
          <w:tcPr>
            <w:tcW w:w="2276" w:type="dxa"/>
          </w:tcPr>
          <w:p w14:paraId="280FC6A4"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Legal</w:t>
            </w:r>
          </w:p>
        </w:tc>
        <w:tc>
          <w:tcPr>
            <w:tcW w:w="1983" w:type="dxa"/>
          </w:tcPr>
          <w:p w14:paraId="00443775"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Legal rules, regulations, and mandates that constrain or enable implementation of</w:t>
            </w:r>
          </w:p>
          <w:p w14:paraId="5410279E"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the intervention.</w:t>
            </w:r>
          </w:p>
        </w:tc>
        <w:tc>
          <w:tcPr>
            <w:tcW w:w="2430" w:type="dxa"/>
          </w:tcPr>
          <w:p w14:paraId="6502E137" w14:textId="31B6F1DE" w:rsidR="005478A6" w:rsidRPr="00D808F5" w:rsidRDefault="006D77A7" w:rsidP="005478A6">
            <w:pPr>
              <w:jc w:val="both"/>
              <w:rPr>
                <w:rFonts w:ascii="Times New Roman" w:hAnsi="Times New Roman" w:cs="Times New Roman"/>
                <w:sz w:val="18"/>
                <w:szCs w:val="18"/>
              </w:rPr>
            </w:pPr>
            <w:r>
              <w:rPr>
                <w:rFonts w:ascii="Times New Roman" w:hAnsi="Times New Roman" w:cs="Times New Roman"/>
                <w:sz w:val="18"/>
                <w:szCs w:val="18"/>
              </w:rPr>
              <w:t>Regulatory processes and their interactions with the intervention.</w:t>
            </w:r>
          </w:p>
        </w:tc>
        <w:tc>
          <w:tcPr>
            <w:tcW w:w="2970" w:type="dxa"/>
          </w:tcPr>
          <w:p w14:paraId="36B0651C" w14:textId="0EDFA00A" w:rsidR="005478A6" w:rsidRPr="00D808F5" w:rsidRDefault="00E22F6D" w:rsidP="005478A6">
            <w:pPr>
              <w:jc w:val="both"/>
              <w:rPr>
                <w:rFonts w:ascii="Times New Roman" w:hAnsi="Times New Roman" w:cs="Times New Roman"/>
                <w:sz w:val="18"/>
                <w:szCs w:val="18"/>
              </w:rPr>
            </w:pPr>
            <w:r>
              <w:rPr>
                <w:rFonts w:ascii="Times New Roman" w:hAnsi="Times New Roman" w:cs="Times New Roman"/>
                <w:sz w:val="18"/>
                <w:szCs w:val="18"/>
              </w:rPr>
              <w:t>What regulatory processes exist in the environment of operation and how do they affect the intervention?</w:t>
            </w:r>
          </w:p>
        </w:tc>
        <w:tc>
          <w:tcPr>
            <w:tcW w:w="3690" w:type="dxa"/>
          </w:tcPr>
          <w:p w14:paraId="005C4F3D" w14:textId="2DEC923E" w:rsidR="00493E53" w:rsidRPr="00493E53" w:rsidRDefault="00493E53" w:rsidP="00493E53">
            <w:pPr>
              <w:jc w:val="both"/>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 xml:space="preserve">Adopt and adjust timelines that takes regulatory processes into consideration. </w:t>
            </w:r>
          </w:p>
          <w:p w14:paraId="0D307EE5" w14:textId="77777777" w:rsidR="00493E53" w:rsidRDefault="00493E53" w:rsidP="00493E53">
            <w:pPr>
              <w:jc w:val="both"/>
              <w:rPr>
                <w:rFonts w:ascii="Times New Roman" w:hAnsi="Times New Roman" w:cs="Times New Roman"/>
                <w:sz w:val="18"/>
                <w:szCs w:val="18"/>
              </w:rPr>
            </w:pPr>
          </w:p>
          <w:p w14:paraId="33AC79A2" w14:textId="16F951A8" w:rsidR="00493E53" w:rsidRPr="00493E53" w:rsidRDefault="00493E53" w:rsidP="00493E53">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xml:space="preserve">: Do </w:t>
            </w:r>
            <w:r w:rsidRPr="00493E53">
              <w:rPr>
                <w:rFonts w:ascii="Times New Roman" w:hAnsi="Times New Roman" w:cs="Times New Roman"/>
                <w:sz w:val="18"/>
                <w:szCs w:val="18"/>
              </w:rPr>
              <w:t>Supranational judicial or regulatory processes</w:t>
            </w:r>
          </w:p>
          <w:p w14:paraId="7AC315B0" w14:textId="75BE597E" w:rsidR="00493E53" w:rsidRPr="00493E53" w:rsidRDefault="00493E53" w:rsidP="00493E53">
            <w:pPr>
              <w:jc w:val="both"/>
              <w:rPr>
                <w:rFonts w:ascii="Times New Roman" w:hAnsi="Times New Roman" w:cs="Times New Roman"/>
                <w:sz w:val="18"/>
                <w:szCs w:val="18"/>
              </w:rPr>
            </w:pPr>
            <w:r w:rsidRPr="00493E53">
              <w:rPr>
                <w:rFonts w:ascii="Times New Roman" w:hAnsi="Times New Roman" w:cs="Times New Roman"/>
                <w:sz w:val="18"/>
                <w:szCs w:val="18"/>
              </w:rPr>
              <w:t>prevent or delay implementation of</w:t>
            </w:r>
          </w:p>
          <w:p w14:paraId="7055CE40" w14:textId="432735B6" w:rsidR="005478A6" w:rsidRPr="00D808F5" w:rsidRDefault="00493E53" w:rsidP="00493E53">
            <w:pPr>
              <w:jc w:val="both"/>
              <w:rPr>
                <w:rFonts w:ascii="Times New Roman" w:hAnsi="Times New Roman" w:cs="Times New Roman"/>
                <w:sz w:val="18"/>
                <w:szCs w:val="18"/>
              </w:rPr>
            </w:pPr>
            <w:r w:rsidRPr="00493E53">
              <w:rPr>
                <w:rFonts w:ascii="Times New Roman" w:hAnsi="Times New Roman" w:cs="Times New Roman"/>
                <w:sz w:val="18"/>
                <w:szCs w:val="18"/>
              </w:rPr>
              <w:t>national policies</w:t>
            </w:r>
            <w:r>
              <w:rPr>
                <w:rFonts w:ascii="Times New Roman" w:hAnsi="Times New Roman" w:cs="Times New Roman"/>
                <w:sz w:val="18"/>
                <w:szCs w:val="18"/>
              </w:rPr>
              <w:t xml:space="preserve"> and hence the intervention?</w:t>
            </w:r>
          </w:p>
        </w:tc>
      </w:tr>
      <w:tr w:rsidR="00142702" w:rsidRPr="00D808F5" w14:paraId="31B4A25C" w14:textId="26D65F84" w:rsidTr="007B6ABD">
        <w:tc>
          <w:tcPr>
            <w:tcW w:w="506" w:type="dxa"/>
            <w:vMerge w:val="restart"/>
          </w:tcPr>
          <w:p w14:paraId="6D0949BF" w14:textId="77777777" w:rsidR="00142702" w:rsidRPr="00D808F5" w:rsidRDefault="00142702" w:rsidP="005478A6">
            <w:pPr>
              <w:jc w:val="both"/>
              <w:rPr>
                <w:rFonts w:ascii="Times New Roman" w:hAnsi="Times New Roman" w:cs="Times New Roman"/>
                <w:sz w:val="18"/>
                <w:szCs w:val="18"/>
              </w:rPr>
            </w:pPr>
            <w:r w:rsidRPr="00D808F5">
              <w:rPr>
                <w:rFonts w:ascii="Times New Roman" w:hAnsi="Times New Roman" w:cs="Times New Roman"/>
                <w:sz w:val="18"/>
                <w:szCs w:val="18"/>
              </w:rPr>
              <w:t>9.</w:t>
            </w:r>
          </w:p>
        </w:tc>
        <w:tc>
          <w:tcPr>
            <w:tcW w:w="2276" w:type="dxa"/>
            <w:vMerge w:val="restart"/>
          </w:tcPr>
          <w:p w14:paraId="185F141C" w14:textId="77777777" w:rsidR="00142702" w:rsidRPr="00D808F5" w:rsidRDefault="00142702" w:rsidP="005478A6">
            <w:pPr>
              <w:jc w:val="both"/>
              <w:rPr>
                <w:rFonts w:ascii="Times New Roman" w:hAnsi="Times New Roman" w:cs="Times New Roman"/>
                <w:sz w:val="18"/>
                <w:szCs w:val="18"/>
              </w:rPr>
            </w:pPr>
            <w:r w:rsidRPr="00D808F5">
              <w:rPr>
                <w:rFonts w:ascii="Times New Roman" w:hAnsi="Times New Roman" w:cs="Times New Roman"/>
                <w:sz w:val="18"/>
                <w:szCs w:val="18"/>
              </w:rPr>
              <w:t>Financial</w:t>
            </w:r>
          </w:p>
        </w:tc>
        <w:tc>
          <w:tcPr>
            <w:tcW w:w="1983" w:type="dxa"/>
            <w:vMerge w:val="restart"/>
          </w:tcPr>
          <w:p w14:paraId="1293230F" w14:textId="77777777" w:rsidR="00142702" w:rsidRPr="00D808F5" w:rsidRDefault="00142702" w:rsidP="005478A6">
            <w:pPr>
              <w:jc w:val="both"/>
              <w:rPr>
                <w:rFonts w:ascii="Times New Roman" w:hAnsi="Times New Roman" w:cs="Times New Roman"/>
                <w:sz w:val="18"/>
                <w:szCs w:val="18"/>
              </w:rPr>
            </w:pPr>
            <w:r w:rsidRPr="00D808F5">
              <w:rPr>
                <w:rFonts w:ascii="Times New Roman" w:hAnsi="Times New Roman" w:cs="Times New Roman"/>
                <w:sz w:val="18"/>
                <w:szCs w:val="18"/>
              </w:rPr>
              <w:t>Sources and mechanisms of funding for the intervention and the wider payment, reward, incentive or charging structures in which they are embedded.</w:t>
            </w:r>
          </w:p>
        </w:tc>
        <w:tc>
          <w:tcPr>
            <w:tcW w:w="2430" w:type="dxa"/>
          </w:tcPr>
          <w:p w14:paraId="66061B43" w14:textId="6B399D94" w:rsidR="00142702" w:rsidRPr="00D808F5" w:rsidRDefault="00142702" w:rsidP="005478A6">
            <w:pPr>
              <w:jc w:val="both"/>
              <w:rPr>
                <w:rFonts w:ascii="Times New Roman" w:hAnsi="Times New Roman" w:cs="Times New Roman"/>
                <w:sz w:val="18"/>
                <w:szCs w:val="18"/>
              </w:rPr>
            </w:pPr>
            <w:r>
              <w:rPr>
                <w:rFonts w:ascii="Times New Roman" w:hAnsi="Times New Roman" w:cs="Times New Roman"/>
                <w:sz w:val="18"/>
                <w:szCs w:val="18"/>
              </w:rPr>
              <w:t>Funding source and beneficiaries identification</w:t>
            </w:r>
          </w:p>
        </w:tc>
        <w:tc>
          <w:tcPr>
            <w:tcW w:w="2970" w:type="dxa"/>
          </w:tcPr>
          <w:p w14:paraId="038A5B1E" w14:textId="3E531EAC" w:rsidR="00142702" w:rsidRDefault="00142702" w:rsidP="005478A6">
            <w:pPr>
              <w:jc w:val="both"/>
              <w:rPr>
                <w:rFonts w:ascii="Times New Roman" w:hAnsi="Times New Roman" w:cs="Times New Roman"/>
                <w:sz w:val="18"/>
                <w:szCs w:val="18"/>
              </w:rPr>
            </w:pPr>
            <w:r>
              <w:rPr>
                <w:rFonts w:ascii="Times New Roman" w:hAnsi="Times New Roman" w:cs="Times New Roman"/>
                <w:sz w:val="18"/>
                <w:szCs w:val="18"/>
              </w:rPr>
              <w:t>Who are the organizations providing funding of the intervention and the beneficiaries of the intervention?</w:t>
            </w:r>
          </w:p>
          <w:p w14:paraId="4E57BFE7" w14:textId="77777777" w:rsidR="00142702" w:rsidRDefault="00142702" w:rsidP="005478A6">
            <w:pPr>
              <w:jc w:val="both"/>
              <w:rPr>
                <w:rFonts w:ascii="Times New Roman" w:hAnsi="Times New Roman" w:cs="Times New Roman"/>
                <w:sz w:val="18"/>
                <w:szCs w:val="18"/>
              </w:rPr>
            </w:pPr>
          </w:p>
          <w:p w14:paraId="7F55FF67" w14:textId="2B2554E0" w:rsidR="00142702" w:rsidRPr="00D808F5" w:rsidRDefault="00142702" w:rsidP="005478A6">
            <w:pPr>
              <w:jc w:val="both"/>
              <w:rPr>
                <w:rFonts w:ascii="Times New Roman" w:hAnsi="Times New Roman" w:cs="Times New Roman"/>
                <w:sz w:val="18"/>
                <w:szCs w:val="18"/>
              </w:rPr>
            </w:pPr>
          </w:p>
        </w:tc>
        <w:tc>
          <w:tcPr>
            <w:tcW w:w="3690" w:type="dxa"/>
            <w:vMerge w:val="restart"/>
          </w:tcPr>
          <w:p w14:paraId="237004E9" w14:textId="7961A52F" w:rsidR="00142702" w:rsidRPr="00343258" w:rsidRDefault="00142702" w:rsidP="005C5430">
            <w:pPr>
              <w:jc w:val="both"/>
              <w:rPr>
                <w:rFonts w:ascii="Times New Roman" w:hAnsi="Times New Roman" w:cs="Times New Roman"/>
                <w:sz w:val="18"/>
                <w:szCs w:val="18"/>
              </w:rPr>
            </w:pPr>
            <w:r>
              <w:rPr>
                <w:rFonts w:ascii="Times New Roman" w:hAnsi="Times New Roman" w:cs="Times New Roman"/>
                <w:b/>
                <w:bCs/>
                <w:sz w:val="18"/>
                <w:szCs w:val="18"/>
              </w:rPr>
              <w:t xml:space="preserve">CCT: </w:t>
            </w:r>
            <w:r>
              <w:rPr>
                <w:rFonts w:ascii="Times New Roman" w:hAnsi="Times New Roman" w:cs="Times New Roman"/>
                <w:sz w:val="18"/>
                <w:szCs w:val="18"/>
              </w:rPr>
              <w:t>Ensure that the costs and benefits of the intervention are aligned. Thus, some benefits should be directed to the organization that provides the funding or channeled to their area of operation.</w:t>
            </w:r>
          </w:p>
          <w:p w14:paraId="1125E501" w14:textId="77777777" w:rsidR="00142702" w:rsidRDefault="00142702" w:rsidP="005C5430">
            <w:pPr>
              <w:jc w:val="both"/>
              <w:rPr>
                <w:rFonts w:ascii="Times New Roman" w:hAnsi="Times New Roman" w:cs="Times New Roman"/>
                <w:sz w:val="18"/>
                <w:szCs w:val="18"/>
              </w:rPr>
            </w:pPr>
          </w:p>
          <w:p w14:paraId="75120EE4" w14:textId="62428F93" w:rsidR="00142702" w:rsidRPr="005C5430" w:rsidRDefault="00142702" w:rsidP="005C5430">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How aligned are the d</w:t>
            </w:r>
            <w:r w:rsidRPr="005C5430">
              <w:rPr>
                <w:rFonts w:ascii="Times New Roman" w:hAnsi="Times New Roman" w:cs="Times New Roman"/>
                <w:sz w:val="18"/>
                <w:szCs w:val="18"/>
              </w:rPr>
              <w:t>istribution of costs and benefits</w:t>
            </w:r>
            <w:r>
              <w:rPr>
                <w:rFonts w:ascii="Times New Roman" w:hAnsi="Times New Roman" w:cs="Times New Roman"/>
                <w:sz w:val="18"/>
                <w:szCs w:val="18"/>
              </w:rPr>
              <w:t>? E</w:t>
            </w:r>
            <w:r w:rsidRPr="005C5430">
              <w:rPr>
                <w:rFonts w:ascii="Times New Roman" w:hAnsi="Times New Roman" w:cs="Times New Roman"/>
                <w:sz w:val="18"/>
                <w:szCs w:val="18"/>
              </w:rPr>
              <w:t>.g.</w:t>
            </w:r>
            <w:r>
              <w:rPr>
                <w:rFonts w:ascii="Times New Roman" w:hAnsi="Times New Roman" w:cs="Times New Roman"/>
                <w:sz w:val="18"/>
                <w:szCs w:val="18"/>
              </w:rPr>
              <w:t>,</w:t>
            </w:r>
            <w:r w:rsidRPr="005C5430">
              <w:rPr>
                <w:rFonts w:ascii="Times New Roman" w:hAnsi="Times New Roman" w:cs="Times New Roman"/>
                <w:sz w:val="18"/>
                <w:szCs w:val="18"/>
              </w:rPr>
              <w:t xml:space="preserve"> local government (prevention)</w:t>
            </w:r>
            <w:r>
              <w:rPr>
                <w:rFonts w:ascii="Times New Roman" w:hAnsi="Times New Roman" w:cs="Times New Roman"/>
                <w:sz w:val="18"/>
                <w:szCs w:val="18"/>
              </w:rPr>
              <w:t xml:space="preserve"> </w:t>
            </w:r>
            <w:r w:rsidRPr="005C5430">
              <w:rPr>
                <w:rFonts w:ascii="Times New Roman" w:hAnsi="Times New Roman" w:cs="Times New Roman"/>
                <w:sz w:val="18"/>
                <w:szCs w:val="18"/>
              </w:rPr>
              <w:t>vs. health sector (reductions in morbidity)</w:t>
            </w:r>
            <w:r>
              <w:rPr>
                <w:rFonts w:ascii="Times New Roman" w:hAnsi="Times New Roman" w:cs="Times New Roman"/>
                <w:sz w:val="18"/>
                <w:szCs w:val="18"/>
              </w:rPr>
              <w:t>.</w:t>
            </w:r>
          </w:p>
          <w:p w14:paraId="091B24F2" w14:textId="15CC7A1D" w:rsidR="00142702" w:rsidRPr="00D808F5" w:rsidRDefault="00142702" w:rsidP="005C5430">
            <w:pPr>
              <w:jc w:val="both"/>
              <w:rPr>
                <w:rFonts w:ascii="Times New Roman" w:hAnsi="Times New Roman" w:cs="Times New Roman"/>
                <w:sz w:val="18"/>
                <w:szCs w:val="18"/>
              </w:rPr>
            </w:pPr>
          </w:p>
        </w:tc>
      </w:tr>
      <w:tr w:rsidR="00142702" w:rsidRPr="00D808F5" w14:paraId="6947FCC8" w14:textId="77777777" w:rsidTr="007B6ABD">
        <w:tc>
          <w:tcPr>
            <w:tcW w:w="506" w:type="dxa"/>
            <w:vMerge/>
          </w:tcPr>
          <w:p w14:paraId="4DEC2CCD" w14:textId="77777777" w:rsidR="00142702" w:rsidRPr="00D808F5" w:rsidRDefault="00142702" w:rsidP="005478A6">
            <w:pPr>
              <w:jc w:val="both"/>
              <w:rPr>
                <w:rFonts w:ascii="Times New Roman" w:hAnsi="Times New Roman" w:cs="Times New Roman"/>
                <w:sz w:val="18"/>
                <w:szCs w:val="18"/>
              </w:rPr>
            </w:pPr>
          </w:p>
        </w:tc>
        <w:tc>
          <w:tcPr>
            <w:tcW w:w="2276" w:type="dxa"/>
            <w:vMerge/>
          </w:tcPr>
          <w:p w14:paraId="787F877D" w14:textId="77777777" w:rsidR="00142702" w:rsidRPr="00D808F5" w:rsidRDefault="00142702" w:rsidP="005478A6">
            <w:pPr>
              <w:jc w:val="both"/>
              <w:rPr>
                <w:rFonts w:ascii="Times New Roman" w:hAnsi="Times New Roman" w:cs="Times New Roman"/>
                <w:sz w:val="18"/>
                <w:szCs w:val="18"/>
              </w:rPr>
            </w:pPr>
          </w:p>
        </w:tc>
        <w:tc>
          <w:tcPr>
            <w:tcW w:w="1983" w:type="dxa"/>
            <w:vMerge/>
          </w:tcPr>
          <w:p w14:paraId="4F7DD081" w14:textId="77777777" w:rsidR="00142702" w:rsidRPr="00D808F5" w:rsidRDefault="00142702" w:rsidP="005478A6">
            <w:pPr>
              <w:jc w:val="both"/>
              <w:rPr>
                <w:rFonts w:ascii="Times New Roman" w:hAnsi="Times New Roman" w:cs="Times New Roman"/>
                <w:sz w:val="18"/>
                <w:szCs w:val="18"/>
              </w:rPr>
            </w:pPr>
          </w:p>
        </w:tc>
        <w:tc>
          <w:tcPr>
            <w:tcW w:w="2430" w:type="dxa"/>
          </w:tcPr>
          <w:p w14:paraId="28B4B5B6" w14:textId="56DA1955" w:rsidR="00142702" w:rsidRPr="00D808F5" w:rsidRDefault="00142702" w:rsidP="005478A6">
            <w:pPr>
              <w:jc w:val="both"/>
              <w:rPr>
                <w:rFonts w:ascii="Times New Roman" w:hAnsi="Times New Roman" w:cs="Times New Roman"/>
                <w:sz w:val="18"/>
                <w:szCs w:val="18"/>
              </w:rPr>
            </w:pPr>
            <w:r>
              <w:rPr>
                <w:rFonts w:ascii="Times New Roman" w:hAnsi="Times New Roman" w:cs="Times New Roman"/>
                <w:sz w:val="18"/>
                <w:szCs w:val="18"/>
              </w:rPr>
              <w:t>Alignment of costs and benefits</w:t>
            </w:r>
          </w:p>
        </w:tc>
        <w:tc>
          <w:tcPr>
            <w:tcW w:w="2970" w:type="dxa"/>
          </w:tcPr>
          <w:p w14:paraId="37ABE095" w14:textId="5235D54A" w:rsidR="00142702" w:rsidRDefault="00142702" w:rsidP="005478A6">
            <w:pPr>
              <w:jc w:val="both"/>
              <w:rPr>
                <w:rFonts w:ascii="Times New Roman" w:hAnsi="Times New Roman" w:cs="Times New Roman"/>
                <w:sz w:val="18"/>
                <w:szCs w:val="18"/>
              </w:rPr>
            </w:pPr>
            <w:r>
              <w:rPr>
                <w:rFonts w:ascii="Times New Roman" w:hAnsi="Times New Roman" w:cs="Times New Roman"/>
                <w:sz w:val="18"/>
                <w:szCs w:val="18"/>
              </w:rPr>
              <w:t>What are the directions of the costs and benefits from the intervention and how are they aligned?</w:t>
            </w:r>
          </w:p>
        </w:tc>
        <w:tc>
          <w:tcPr>
            <w:tcW w:w="3690" w:type="dxa"/>
            <w:vMerge/>
          </w:tcPr>
          <w:p w14:paraId="57D38952" w14:textId="77777777" w:rsidR="00142702" w:rsidRDefault="00142702" w:rsidP="005C5430">
            <w:pPr>
              <w:jc w:val="both"/>
              <w:rPr>
                <w:rFonts w:ascii="Times New Roman" w:hAnsi="Times New Roman" w:cs="Times New Roman"/>
                <w:b/>
                <w:bCs/>
                <w:sz w:val="18"/>
                <w:szCs w:val="18"/>
              </w:rPr>
            </w:pPr>
          </w:p>
        </w:tc>
      </w:tr>
      <w:tr w:rsidR="00FB4789" w:rsidRPr="00D808F5" w14:paraId="2A24EBDE" w14:textId="71651128" w:rsidTr="00EC270D">
        <w:trPr>
          <w:trHeight w:val="1079"/>
        </w:trPr>
        <w:tc>
          <w:tcPr>
            <w:tcW w:w="506" w:type="dxa"/>
            <w:vMerge w:val="restart"/>
          </w:tcPr>
          <w:p w14:paraId="79C567D4" w14:textId="77777777" w:rsidR="00FB4789" w:rsidRPr="00D808F5" w:rsidRDefault="00FB4789" w:rsidP="005478A6">
            <w:pPr>
              <w:jc w:val="both"/>
              <w:rPr>
                <w:rFonts w:ascii="Times New Roman" w:hAnsi="Times New Roman" w:cs="Times New Roman"/>
                <w:sz w:val="18"/>
                <w:szCs w:val="18"/>
              </w:rPr>
            </w:pPr>
            <w:r w:rsidRPr="00D808F5">
              <w:rPr>
                <w:rFonts w:ascii="Times New Roman" w:hAnsi="Times New Roman" w:cs="Times New Roman"/>
                <w:sz w:val="18"/>
                <w:szCs w:val="18"/>
              </w:rPr>
              <w:t>10.</w:t>
            </w:r>
          </w:p>
        </w:tc>
        <w:tc>
          <w:tcPr>
            <w:tcW w:w="2276" w:type="dxa"/>
            <w:vMerge w:val="restart"/>
          </w:tcPr>
          <w:p w14:paraId="252D2A00" w14:textId="77777777" w:rsidR="00FB4789" w:rsidRPr="00D808F5" w:rsidRDefault="00FB4789" w:rsidP="005478A6">
            <w:pPr>
              <w:jc w:val="both"/>
              <w:rPr>
                <w:rFonts w:ascii="Times New Roman" w:hAnsi="Times New Roman" w:cs="Times New Roman"/>
                <w:sz w:val="18"/>
                <w:szCs w:val="18"/>
              </w:rPr>
            </w:pPr>
            <w:r w:rsidRPr="00D808F5">
              <w:rPr>
                <w:rFonts w:ascii="Times New Roman" w:hAnsi="Times New Roman" w:cs="Times New Roman"/>
                <w:sz w:val="18"/>
                <w:szCs w:val="18"/>
              </w:rPr>
              <w:t>Political</w:t>
            </w:r>
          </w:p>
        </w:tc>
        <w:tc>
          <w:tcPr>
            <w:tcW w:w="1983" w:type="dxa"/>
            <w:vMerge w:val="restart"/>
          </w:tcPr>
          <w:p w14:paraId="50B110C0" w14:textId="77777777" w:rsidR="00FB4789" w:rsidRPr="00D808F5" w:rsidRDefault="00FB4789" w:rsidP="005478A6">
            <w:pPr>
              <w:jc w:val="both"/>
              <w:rPr>
                <w:rFonts w:ascii="Times New Roman" w:hAnsi="Times New Roman" w:cs="Times New Roman"/>
                <w:sz w:val="18"/>
                <w:szCs w:val="18"/>
              </w:rPr>
            </w:pPr>
            <w:r w:rsidRPr="00D808F5">
              <w:rPr>
                <w:rFonts w:ascii="Times New Roman" w:hAnsi="Times New Roman" w:cs="Times New Roman"/>
                <w:sz w:val="18"/>
                <w:szCs w:val="18"/>
              </w:rPr>
              <w:t>Distribution of power among stakeholders and others with an interest in promoting</w:t>
            </w:r>
          </w:p>
          <w:p w14:paraId="33DC6BEB" w14:textId="77777777" w:rsidR="00FB4789" w:rsidRPr="00D808F5" w:rsidRDefault="00FB4789" w:rsidP="005478A6">
            <w:pPr>
              <w:jc w:val="both"/>
              <w:rPr>
                <w:rFonts w:ascii="Times New Roman" w:hAnsi="Times New Roman" w:cs="Times New Roman"/>
                <w:sz w:val="18"/>
                <w:szCs w:val="18"/>
              </w:rPr>
            </w:pPr>
            <w:r w:rsidRPr="00D808F5">
              <w:rPr>
                <w:rFonts w:ascii="Times New Roman" w:hAnsi="Times New Roman" w:cs="Times New Roman"/>
                <w:sz w:val="18"/>
                <w:szCs w:val="18"/>
              </w:rPr>
              <w:t>or obstructing the optimum design or implementation of the intervention.</w:t>
            </w:r>
          </w:p>
        </w:tc>
        <w:tc>
          <w:tcPr>
            <w:tcW w:w="2430" w:type="dxa"/>
          </w:tcPr>
          <w:p w14:paraId="1F044330" w14:textId="3FC20610" w:rsidR="00FB4789" w:rsidRPr="00D808F5" w:rsidRDefault="00FB4789" w:rsidP="005478A6">
            <w:pPr>
              <w:jc w:val="both"/>
              <w:rPr>
                <w:rFonts w:ascii="Times New Roman" w:hAnsi="Times New Roman" w:cs="Times New Roman"/>
                <w:sz w:val="18"/>
                <w:szCs w:val="18"/>
              </w:rPr>
            </w:pPr>
            <w:r>
              <w:rPr>
                <w:rFonts w:ascii="Times New Roman" w:hAnsi="Times New Roman" w:cs="Times New Roman"/>
                <w:sz w:val="18"/>
                <w:szCs w:val="18"/>
              </w:rPr>
              <w:t>Existing power relations and commercial interests</w:t>
            </w:r>
          </w:p>
        </w:tc>
        <w:tc>
          <w:tcPr>
            <w:tcW w:w="2970" w:type="dxa"/>
          </w:tcPr>
          <w:p w14:paraId="7A21F919" w14:textId="77777777" w:rsidR="00FB4789" w:rsidRDefault="00FB4789" w:rsidP="005478A6">
            <w:pPr>
              <w:jc w:val="both"/>
              <w:rPr>
                <w:rFonts w:ascii="Times New Roman" w:hAnsi="Times New Roman" w:cs="Times New Roman"/>
                <w:sz w:val="18"/>
                <w:szCs w:val="18"/>
              </w:rPr>
            </w:pPr>
            <w:r>
              <w:rPr>
                <w:rFonts w:ascii="Times New Roman" w:hAnsi="Times New Roman" w:cs="Times New Roman"/>
                <w:sz w:val="18"/>
                <w:szCs w:val="18"/>
              </w:rPr>
              <w:t>What power relations/commercial interests exist in the environment of operation and how do they affect the intervention?</w:t>
            </w:r>
          </w:p>
          <w:p w14:paraId="29C70BC6" w14:textId="77777777" w:rsidR="00FB4789" w:rsidRDefault="00FB4789" w:rsidP="005478A6">
            <w:pPr>
              <w:jc w:val="both"/>
              <w:rPr>
                <w:rFonts w:ascii="Times New Roman" w:hAnsi="Times New Roman" w:cs="Times New Roman"/>
                <w:sz w:val="18"/>
                <w:szCs w:val="18"/>
              </w:rPr>
            </w:pPr>
          </w:p>
          <w:p w14:paraId="661A0B2A" w14:textId="71872481" w:rsidR="00FB4789" w:rsidRPr="00D808F5" w:rsidRDefault="00FB4789" w:rsidP="005478A6">
            <w:pPr>
              <w:jc w:val="both"/>
              <w:rPr>
                <w:rFonts w:ascii="Times New Roman" w:hAnsi="Times New Roman" w:cs="Times New Roman"/>
                <w:sz w:val="18"/>
                <w:szCs w:val="18"/>
              </w:rPr>
            </w:pPr>
          </w:p>
        </w:tc>
        <w:tc>
          <w:tcPr>
            <w:tcW w:w="3690" w:type="dxa"/>
            <w:vMerge w:val="restart"/>
          </w:tcPr>
          <w:p w14:paraId="2955ACCB" w14:textId="6103EFDD" w:rsidR="00FB4789" w:rsidRDefault="00FB4789" w:rsidP="000F329F">
            <w:pPr>
              <w:jc w:val="both"/>
              <w:rPr>
                <w:rFonts w:ascii="Times New Roman" w:hAnsi="Times New Roman" w:cs="Times New Roman"/>
                <w:sz w:val="18"/>
                <w:szCs w:val="18"/>
              </w:rPr>
            </w:pPr>
            <w:r w:rsidRPr="000F329F">
              <w:rPr>
                <w:rFonts w:ascii="Times New Roman" w:hAnsi="Times New Roman" w:cs="Times New Roman"/>
                <w:b/>
                <w:bCs/>
                <w:sz w:val="18"/>
                <w:szCs w:val="18"/>
              </w:rPr>
              <w:t>CCT</w:t>
            </w:r>
            <w:r>
              <w:rPr>
                <w:rFonts w:ascii="Times New Roman" w:hAnsi="Times New Roman" w:cs="Times New Roman"/>
                <w:sz w:val="18"/>
                <w:szCs w:val="18"/>
              </w:rPr>
              <w:t>: Find out about existing power relations and commercial interests that may threaten the intervention and resolve them or work around them by re-evaluating the objectives of the intervention.</w:t>
            </w:r>
          </w:p>
          <w:p w14:paraId="6B206E47" w14:textId="77777777" w:rsidR="00FB4789" w:rsidRDefault="00FB4789" w:rsidP="000F329F">
            <w:pPr>
              <w:jc w:val="both"/>
              <w:rPr>
                <w:rFonts w:ascii="Times New Roman" w:hAnsi="Times New Roman" w:cs="Times New Roman"/>
                <w:sz w:val="18"/>
                <w:szCs w:val="18"/>
              </w:rPr>
            </w:pPr>
          </w:p>
          <w:p w14:paraId="3856CCA0" w14:textId="4B440AE9" w:rsidR="00FB4789" w:rsidRDefault="00FB4789" w:rsidP="0010334A">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Does the intervention</w:t>
            </w:r>
            <w:r w:rsidRPr="000F329F">
              <w:rPr>
                <w:rFonts w:ascii="Times New Roman" w:hAnsi="Times New Roman" w:cs="Times New Roman"/>
                <w:sz w:val="18"/>
                <w:szCs w:val="18"/>
              </w:rPr>
              <w:t xml:space="preserve"> undermine existing power</w:t>
            </w:r>
            <w:r>
              <w:rPr>
                <w:rFonts w:ascii="Times New Roman" w:hAnsi="Times New Roman" w:cs="Times New Roman"/>
                <w:sz w:val="18"/>
                <w:szCs w:val="18"/>
              </w:rPr>
              <w:t xml:space="preserve"> </w:t>
            </w:r>
            <w:r w:rsidRPr="000F329F">
              <w:rPr>
                <w:rFonts w:ascii="Times New Roman" w:hAnsi="Times New Roman" w:cs="Times New Roman"/>
                <w:sz w:val="18"/>
                <w:szCs w:val="18"/>
              </w:rPr>
              <w:t>relations/commercial interests</w:t>
            </w:r>
            <w:r>
              <w:rPr>
                <w:rFonts w:ascii="Times New Roman" w:hAnsi="Times New Roman" w:cs="Times New Roman"/>
                <w:sz w:val="18"/>
                <w:szCs w:val="18"/>
              </w:rPr>
              <w:t>?</w:t>
            </w:r>
          </w:p>
          <w:p w14:paraId="724DB7EB" w14:textId="77777777" w:rsidR="00FB4789" w:rsidRDefault="00FB4789" w:rsidP="0010334A">
            <w:pPr>
              <w:jc w:val="both"/>
              <w:rPr>
                <w:rFonts w:ascii="Times New Roman" w:hAnsi="Times New Roman" w:cs="Times New Roman"/>
                <w:sz w:val="18"/>
                <w:szCs w:val="18"/>
              </w:rPr>
            </w:pPr>
          </w:p>
          <w:p w14:paraId="4D50230B" w14:textId="21E67CE7" w:rsidR="00FB4789" w:rsidRPr="00D808F5" w:rsidRDefault="00FB4789" w:rsidP="000F329F">
            <w:pPr>
              <w:jc w:val="both"/>
              <w:rPr>
                <w:rFonts w:ascii="Times New Roman" w:hAnsi="Times New Roman" w:cs="Times New Roman"/>
                <w:sz w:val="18"/>
                <w:szCs w:val="18"/>
              </w:rPr>
            </w:pPr>
          </w:p>
        </w:tc>
      </w:tr>
      <w:tr w:rsidR="00FB4789" w:rsidRPr="00D808F5" w14:paraId="05489F0A" w14:textId="77777777" w:rsidTr="007B6ABD">
        <w:tc>
          <w:tcPr>
            <w:tcW w:w="506" w:type="dxa"/>
            <w:vMerge/>
          </w:tcPr>
          <w:p w14:paraId="5B54E3C2" w14:textId="77777777" w:rsidR="00FB4789" w:rsidRPr="00D808F5" w:rsidRDefault="00FB4789" w:rsidP="005478A6">
            <w:pPr>
              <w:jc w:val="both"/>
              <w:rPr>
                <w:rFonts w:ascii="Times New Roman" w:hAnsi="Times New Roman" w:cs="Times New Roman"/>
                <w:sz w:val="18"/>
                <w:szCs w:val="18"/>
              </w:rPr>
            </w:pPr>
          </w:p>
        </w:tc>
        <w:tc>
          <w:tcPr>
            <w:tcW w:w="2276" w:type="dxa"/>
            <w:vMerge/>
          </w:tcPr>
          <w:p w14:paraId="62B280E9" w14:textId="77777777" w:rsidR="00FB4789" w:rsidRPr="00D808F5" w:rsidRDefault="00FB4789" w:rsidP="005478A6">
            <w:pPr>
              <w:jc w:val="both"/>
              <w:rPr>
                <w:rFonts w:ascii="Times New Roman" w:hAnsi="Times New Roman" w:cs="Times New Roman"/>
                <w:sz w:val="18"/>
                <w:szCs w:val="18"/>
              </w:rPr>
            </w:pPr>
          </w:p>
        </w:tc>
        <w:tc>
          <w:tcPr>
            <w:tcW w:w="1983" w:type="dxa"/>
            <w:vMerge/>
          </w:tcPr>
          <w:p w14:paraId="75085903" w14:textId="77777777" w:rsidR="00FB4789" w:rsidRPr="00D808F5" w:rsidRDefault="00FB4789" w:rsidP="005478A6">
            <w:pPr>
              <w:jc w:val="both"/>
              <w:rPr>
                <w:rFonts w:ascii="Times New Roman" w:hAnsi="Times New Roman" w:cs="Times New Roman"/>
                <w:sz w:val="18"/>
                <w:szCs w:val="18"/>
              </w:rPr>
            </w:pPr>
          </w:p>
        </w:tc>
        <w:tc>
          <w:tcPr>
            <w:tcW w:w="2430" w:type="dxa"/>
          </w:tcPr>
          <w:p w14:paraId="5C4BB748" w14:textId="133E5690" w:rsidR="00FB4789" w:rsidRDefault="00FB4789" w:rsidP="005478A6">
            <w:pPr>
              <w:jc w:val="both"/>
              <w:rPr>
                <w:rFonts w:ascii="Times New Roman" w:hAnsi="Times New Roman" w:cs="Times New Roman"/>
                <w:sz w:val="18"/>
                <w:szCs w:val="18"/>
              </w:rPr>
            </w:pPr>
            <w:r>
              <w:rPr>
                <w:rFonts w:ascii="Times New Roman" w:hAnsi="Times New Roman" w:cs="Times New Roman"/>
                <w:sz w:val="18"/>
                <w:szCs w:val="18"/>
              </w:rPr>
              <w:t>Lessons from alternative interventions on power relations and commercial interests preservation.</w:t>
            </w:r>
          </w:p>
        </w:tc>
        <w:tc>
          <w:tcPr>
            <w:tcW w:w="2970" w:type="dxa"/>
          </w:tcPr>
          <w:p w14:paraId="5FC33446" w14:textId="68906B29" w:rsidR="00FB4789" w:rsidRDefault="00FB4789" w:rsidP="005478A6">
            <w:pPr>
              <w:jc w:val="both"/>
              <w:rPr>
                <w:rFonts w:ascii="Times New Roman" w:hAnsi="Times New Roman" w:cs="Times New Roman"/>
                <w:sz w:val="18"/>
                <w:szCs w:val="18"/>
              </w:rPr>
            </w:pPr>
            <w:r>
              <w:rPr>
                <w:rFonts w:ascii="Times New Roman" w:hAnsi="Times New Roman" w:cs="Times New Roman"/>
                <w:sz w:val="18"/>
                <w:szCs w:val="18"/>
              </w:rPr>
              <w:t>What alternative interventions exist and preserve the existing power relations/commercial interests and what can be learned from them?</w:t>
            </w:r>
          </w:p>
        </w:tc>
        <w:tc>
          <w:tcPr>
            <w:tcW w:w="3690" w:type="dxa"/>
            <w:vMerge/>
          </w:tcPr>
          <w:p w14:paraId="5EB94994" w14:textId="77777777" w:rsidR="00FB4789" w:rsidRPr="000F329F" w:rsidRDefault="00FB4789" w:rsidP="000F329F">
            <w:pPr>
              <w:jc w:val="both"/>
              <w:rPr>
                <w:rFonts w:ascii="Times New Roman" w:hAnsi="Times New Roman" w:cs="Times New Roman"/>
                <w:b/>
                <w:bCs/>
                <w:sz w:val="18"/>
                <w:szCs w:val="18"/>
              </w:rPr>
            </w:pPr>
          </w:p>
        </w:tc>
      </w:tr>
      <w:tr w:rsidR="00182428" w:rsidRPr="00D808F5" w14:paraId="1584962B" w14:textId="165D2C0C" w:rsidTr="007B6ABD">
        <w:tc>
          <w:tcPr>
            <w:tcW w:w="506" w:type="dxa"/>
            <w:vMerge w:val="restart"/>
          </w:tcPr>
          <w:p w14:paraId="657960CA" w14:textId="77777777" w:rsidR="00182428" w:rsidRPr="00D808F5" w:rsidRDefault="00182428" w:rsidP="005478A6">
            <w:pPr>
              <w:jc w:val="both"/>
              <w:rPr>
                <w:rFonts w:ascii="Times New Roman" w:hAnsi="Times New Roman" w:cs="Times New Roman"/>
                <w:sz w:val="18"/>
                <w:szCs w:val="18"/>
              </w:rPr>
            </w:pPr>
            <w:r w:rsidRPr="00D808F5">
              <w:rPr>
                <w:rFonts w:ascii="Times New Roman" w:hAnsi="Times New Roman" w:cs="Times New Roman"/>
                <w:sz w:val="18"/>
                <w:szCs w:val="18"/>
              </w:rPr>
              <w:t>11.</w:t>
            </w:r>
          </w:p>
        </w:tc>
        <w:tc>
          <w:tcPr>
            <w:tcW w:w="2276" w:type="dxa"/>
            <w:vMerge w:val="restart"/>
          </w:tcPr>
          <w:p w14:paraId="7C83079C" w14:textId="77777777" w:rsidR="00182428" w:rsidRPr="00D808F5" w:rsidRDefault="00182428" w:rsidP="005478A6">
            <w:pPr>
              <w:jc w:val="both"/>
              <w:rPr>
                <w:rFonts w:ascii="Times New Roman" w:hAnsi="Times New Roman" w:cs="Times New Roman"/>
                <w:sz w:val="18"/>
                <w:szCs w:val="18"/>
              </w:rPr>
            </w:pPr>
            <w:r w:rsidRPr="00D808F5">
              <w:rPr>
                <w:rFonts w:ascii="Times New Roman" w:hAnsi="Times New Roman" w:cs="Times New Roman"/>
                <w:sz w:val="18"/>
                <w:szCs w:val="18"/>
              </w:rPr>
              <w:t>Historical</w:t>
            </w:r>
          </w:p>
        </w:tc>
        <w:tc>
          <w:tcPr>
            <w:tcW w:w="1983" w:type="dxa"/>
            <w:vMerge w:val="restart"/>
          </w:tcPr>
          <w:p w14:paraId="49C7F0E5" w14:textId="77777777" w:rsidR="00182428" w:rsidRPr="00D808F5" w:rsidRDefault="00182428" w:rsidP="005478A6">
            <w:pPr>
              <w:jc w:val="both"/>
              <w:rPr>
                <w:rFonts w:ascii="Times New Roman" w:hAnsi="Times New Roman" w:cs="Times New Roman"/>
                <w:sz w:val="18"/>
                <w:szCs w:val="18"/>
              </w:rPr>
            </w:pPr>
            <w:r w:rsidRPr="00D808F5">
              <w:rPr>
                <w:rFonts w:ascii="Times New Roman" w:hAnsi="Times New Roman" w:cs="Times New Roman"/>
                <w:sz w:val="18"/>
                <w:szCs w:val="18"/>
              </w:rPr>
              <w:t>Continuing influence of past conditions, sociopolitical relationships, policies and</w:t>
            </w:r>
          </w:p>
          <w:p w14:paraId="16715989" w14:textId="77777777" w:rsidR="00182428" w:rsidRPr="00D808F5" w:rsidRDefault="00182428" w:rsidP="005478A6">
            <w:pPr>
              <w:jc w:val="both"/>
              <w:rPr>
                <w:rFonts w:ascii="Times New Roman" w:hAnsi="Times New Roman" w:cs="Times New Roman"/>
                <w:sz w:val="18"/>
                <w:szCs w:val="18"/>
              </w:rPr>
            </w:pPr>
            <w:r w:rsidRPr="00D808F5">
              <w:rPr>
                <w:rFonts w:ascii="Times New Roman" w:hAnsi="Times New Roman" w:cs="Times New Roman"/>
                <w:sz w:val="18"/>
                <w:szCs w:val="18"/>
              </w:rPr>
              <w:t>legal frameworks.</w:t>
            </w:r>
          </w:p>
        </w:tc>
        <w:tc>
          <w:tcPr>
            <w:tcW w:w="2430" w:type="dxa"/>
          </w:tcPr>
          <w:p w14:paraId="65CBA6BE" w14:textId="36C18673" w:rsidR="00182428" w:rsidRPr="00D808F5" w:rsidRDefault="00182428" w:rsidP="005478A6">
            <w:pPr>
              <w:jc w:val="both"/>
              <w:rPr>
                <w:rFonts w:ascii="Times New Roman" w:hAnsi="Times New Roman" w:cs="Times New Roman"/>
                <w:sz w:val="18"/>
                <w:szCs w:val="18"/>
              </w:rPr>
            </w:pPr>
            <w:r>
              <w:rPr>
                <w:rFonts w:ascii="Times New Roman" w:hAnsi="Times New Roman" w:cs="Times New Roman"/>
                <w:sz w:val="18"/>
                <w:szCs w:val="18"/>
              </w:rPr>
              <w:t>Existing sociopolitical relationship</w:t>
            </w:r>
          </w:p>
        </w:tc>
        <w:tc>
          <w:tcPr>
            <w:tcW w:w="2970" w:type="dxa"/>
          </w:tcPr>
          <w:p w14:paraId="686BECA9" w14:textId="7029D6B3" w:rsidR="00182428" w:rsidRDefault="00182428" w:rsidP="005478A6">
            <w:pPr>
              <w:jc w:val="both"/>
              <w:rPr>
                <w:rFonts w:ascii="Times New Roman" w:hAnsi="Times New Roman" w:cs="Times New Roman"/>
                <w:sz w:val="18"/>
                <w:szCs w:val="18"/>
              </w:rPr>
            </w:pPr>
            <w:r>
              <w:rPr>
                <w:rFonts w:ascii="Times New Roman" w:hAnsi="Times New Roman" w:cs="Times New Roman"/>
                <w:sz w:val="18"/>
                <w:szCs w:val="18"/>
              </w:rPr>
              <w:t>What kind of sociopolitical relationship exists in the environment of operation? E.g., community mobilization or segregation.</w:t>
            </w:r>
          </w:p>
          <w:p w14:paraId="64CD8419" w14:textId="77777777" w:rsidR="00182428" w:rsidRDefault="00182428" w:rsidP="005478A6">
            <w:pPr>
              <w:jc w:val="both"/>
              <w:rPr>
                <w:rFonts w:ascii="Times New Roman" w:hAnsi="Times New Roman" w:cs="Times New Roman"/>
                <w:sz w:val="18"/>
                <w:szCs w:val="18"/>
              </w:rPr>
            </w:pPr>
          </w:p>
          <w:p w14:paraId="3DD1FB9D" w14:textId="77777777" w:rsidR="00182428" w:rsidRDefault="00182428" w:rsidP="005478A6">
            <w:pPr>
              <w:jc w:val="both"/>
              <w:rPr>
                <w:rFonts w:ascii="Times New Roman" w:hAnsi="Times New Roman" w:cs="Times New Roman"/>
                <w:sz w:val="18"/>
                <w:szCs w:val="18"/>
              </w:rPr>
            </w:pPr>
          </w:p>
          <w:p w14:paraId="64A12765" w14:textId="3F77AD9F" w:rsidR="00182428" w:rsidRPr="00D808F5" w:rsidRDefault="00182428" w:rsidP="005478A6">
            <w:pPr>
              <w:jc w:val="both"/>
              <w:rPr>
                <w:rFonts w:ascii="Times New Roman" w:hAnsi="Times New Roman" w:cs="Times New Roman"/>
                <w:sz w:val="18"/>
                <w:szCs w:val="18"/>
              </w:rPr>
            </w:pPr>
          </w:p>
        </w:tc>
        <w:tc>
          <w:tcPr>
            <w:tcW w:w="3690" w:type="dxa"/>
            <w:vMerge w:val="restart"/>
          </w:tcPr>
          <w:p w14:paraId="68AAE8D0" w14:textId="44BF4B86" w:rsidR="00182428" w:rsidRPr="00EF1F63" w:rsidRDefault="00182428" w:rsidP="00EF1F63">
            <w:pPr>
              <w:jc w:val="both"/>
              <w:rPr>
                <w:rFonts w:ascii="Times New Roman" w:hAnsi="Times New Roman" w:cs="Times New Roman"/>
                <w:sz w:val="18"/>
                <w:szCs w:val="18"/>
              </w:rPr>
            </w:pPr>
            <w:r w:rsidRPr="000F329F">
              <w:rPr>
                <w:rFonts w:ascii="Times New Roman" w:hAnsi="Times New Roman" w:cs="Times New Roman"/>
                <w:b/>
                <w:bCs/>
                <w:sz w:val="18"/>
                <w:szCs w:val="18"/>
              </w:rPr>
              <w:t>CCT</w:t>
            </w:r>
            <w:r>
              <w:rPr>
                <w:rFonts w:ascii="Times New Roman" w:hAnsi="Times New Roman" w:cs="Times New Roman"/>
                <w:sz w:val="18"/>
                <w:szCs w:val="18"/>
              </w:rPr>
              <w:t>: It is worth noting that a</w:t>
            </w:r>
            <w:r w:rsidRPr="00EF1F63">
              <w:rPr>
                <w:rFonts w:ascii="Times New Roman" w:hAnsi="Times New Roman" w:cs="Times New Roman"/>
                <w:sz w:val="18"/>
                <w:szCs w:val="18"/>
              </w:rPr>
              <w:t xml:space="preserve"> tradition of community mobili</w:t>
            </w:r>
            <w:r>
              <w:rPr>
                <w:rFonts w:ascii="Times New Roman" w:hAnsi="Times New Roman" w:cs="Times New Roman"/>
                <w:sz w:val="18"/>
                <w:szCs w:val="18"/>
              </w:rPr>
              <w:t>z</w:t>
            </w:r>
            <w:r w:rsidRPr="00EF1F63">
              <w:rPr>
                <w:rFonts w:ascii="Times New Roman" w:hAnsi="Times New Roman" w:cs="Times New Roman"/>
                <w:sz w:val="18"/>
                <w:szCs w:val="18"/>
              </w:rPr>
              <w:t>ation may</w:t>
            </w:r>
          </w:p>
          <w:p w14:paraId="7FB25929" w14:textId="77777777" w:rsidR="00182428" w:rsidRPr="00EF1F63" w:rsidRDefault="00182428" w:rsidP="00EF1F63">
            <w:pPr>
              <w:jc w:val="both"/>
              <w:rPr>
                <w:rFonts w:ascii="Times New Roman" w:hAnsi="Times New Roman" w:cs="Times New Roman"/>
                <w:sz w:val="18"/>
                <w:szCs w:val="18"/>
              </w:rPr>
            </w:pPr>
            <w:r w:rsidRPr="00EF1F63">
              <w:rPr>
                <w:rFonts w:ascii="Times New Roman" w:hAnsi="Times New Roman" w:cs="Times New Roman"/>
                <w:sz w:val="18"/>
                <w:szCs w:val="18"/>
              </w:rPr>
              <w:t>encourage participation in community-led</w:t>
            </w:r>
          </w:p>
          <w:p w14:paraId="781385C8" w14:textId="77777777" w:rsidR="00182428" w:rsidRPr="00EF1F63" w:rsidRDefault="00182428" w:rsidP="00EF1F63">
            <w:pPr>
              <w:jc w:val="both"/>
              <w:rPr>
                <w:rFonts w:ascii="Times New Roman" w:hAnsi="Times New Roman" w:cs="Times New Roman"/>
                <w:sz w:val="18"/>
                <w:szCs w:val="18"/>
              </w:rPr>
            </w:pPr>
            <w:r w:rsidRPr="00EF1F63">
              <w:rPr>
                <w:rFonts w:ascii="Times New Roman" w:hAnsi="Times New Roman" w:cs="Times New Roman"/>
                <w:sz w:val="18"/>
                <w:szCs w:val="18"/>
              </w:rPr>
              <w:t>interventions; alternatively, a history of</w:t>
            </w:r>
          </w:p>
          <w:p w14:paraId="20004EA8" w14:textId="77777777" w:rsidR="00182428" w:rsidRPr="00EF1F63" w:rsidRDefault="00182428" w:rsidP="00EF1F63">
            <w:pPr>
              <w:jc w:val="both"/>
              <w:rPr>
                <w:rFonts w:ascii="Times New Roman" w:hAnsi="Times New Roman" w:cs="Times New Roman"/>
                <w:sz w:val="18"/>
                <w:szCs w:val="18"/>
              </w:rPr>
            </w:pPr>
            <w:r w:rsidRPr="00EF1F63">
              <w:rPr>
                <w:rFonts w:ascii="Times New Roman" w:hAnsi="Times New Roman" w:cs="Times New Roman"/>
                <w:sz w:val="18"/>
                <w:szCs w:val="18"/>
              </w:rPr>
              <w:t>segregation may undermine the implementation</w:t>
            </w:r>
          </w:p>
          <w:p w14:paraId="46D64664" w14:textId="77777777" w:rsidR="00182428" w:rsidRPr="00EF1F63" w:rsidRDefault="00182428" w:rsidP="00EF1F63">
            <w:pPr>
              <w:jc w:val="both"/>
              <w:rPr>
                <w:rFonts w:ascii="Times New Roman" w:hAnsi="Times New Roman" w:cs="Times New Roman"/>
                <w:sz w:val="18"/>
                <w:szCs w:val="18"/>
              </w:rPr>
            </w:pPr>
            <w:r w:rsidRPr="00EF1F63">
              <w:rPr>
                <w:rFonts w:ascii="Times New Roman" w:hAnsi="Times New Roman" w:cs="Times New Roman"/>
                <w:sz w:val="18"/>
                <w:szCs w:val="18"/>
              </w:rPr>
              <w:t>of interventions associated with a dominant</w:t>
            </w:r>
          </w:p>
          <w:p w14:paraId="4D8822B2" w14:textId="3AEE2EA2" w:rsidR="00182428" w:rsidRPr="00EF1F63" w:rsidRDefault="00182428" w:rsidP="00EF1F63">
            <w:pPr>
              <w:jc w:val="both"/>
              <w:rPr>
                <w:rFonts w:ascii="Times New Roman" w:hAnsi="Times New Roman" w:cs="Times New Roman"/>
                <w:b/>
                <w:bCs/>
                <w:sz w:val="18"/>
                <w:szCs w:val="18"/>
              </w:rPr>
            </w:pPr>
            <w:r w:rsidRPr="00EF1F63">
              <w:rPr>
                <w:rFonts w:ascii="Times New Roman" w:hAnsi="Times New Roman" w:cs="Times New Roman"/>
                <w:sz w:val="18"/>
                <w:szCs w:val="18"/>
              </w:rPr>
              <w:t>group or institution</w:t>
            </w:r>
            <w:r>
              <w:rPr>
                <w:rFonts w:ascii="Times New Roman" w:hAnsi="Times New Roman" w:cs="Times New Roman"/>
                <w:sz w:val="18"/>
                <w:szCs w:val="18"/>
              </w:rPr>
              <w:t>. Hence, align the nature of intervention with the existing sociopolitical relationship in the environment of operation.</w:t>
            </w:r>
          </w:p>
          <w:p w14:paraId="142054C4" w14:textId="77777777" w:rsidR="00182428" w:rsidRDefault="00182428" w:rsidP="00EF1F63">
            <w:pPr>
              <w:jc w:val="both"/>
              <w:rPr>
                <w:rFonts w:ascii="Times New Roman" w:hAnsi="Times New Roman" w:cs="Times New Roman"/>
                <w:sz w:val="18"/>
                <w:szCs w:val="18"/>
              </w:rPr>
            </w:pPr>
          </w:p>
          <w:p w14:paraId="5E39F46C" w14:textId="592BAF67" w:rsidR="00182428" w:rsidRDefault="00182428" w:rsidP="00EF1F63">
            <w:pPr>
              <w:jc w:val="both"/>
              <w:rPr>
                <w:rFonts w:ascii="Times New Roman" w:hAnsi="Times New Roman" w:cs="Times New Roman"/>
                <w:sz w:val="18"/>
                <w:szCs w:val="18"/>
              </w:rPr>
            </w:pPr>
            <w:r w:rsidRPr="00B50DE1">
              <w:rPr>
                <w:rFonts w:ascii="Times New Roman" w:hAnsi="Times New Roman" w:cs="Times New Roman"/>
                <w:b/>
                <w:bCs/>
                <w:sz w:val="18"/>
                <w:szCs w:val="18"/>
              </w:rPr>
              <w:lastRenderedPageBreak/>
              <w:t>Relevance</w:t>
            </w:r>
            <w:r>
              <w:rPr>
                <w:rFonts w:ascii="Times New Roman" w:hAnsi="Times New Roman" w:cs="Times New Roman"/>
                <w:sz w:val="18"/>
                <w:szCs w:val="18"/>
              </w:rPr>
              <w:t>: Given the nature of the intervention, would existing sociopolitical relationship serve as a facilitator or barrier to the intervention?</w:t>
            </w:r>
          </w:p>
          <w:p w14:paraId="18BB33DB" w14:textId="77777777" w:rsidR="00182428" w:rsidRDefault="00182428" w:rsidP="00EF1F63">
            <w:pPr>
              <w:jc w:val="both"/>
              <w:rPr>
                <w:rFonts w:ascii="Times New Roman" w:hAnsi="Times New Roman" w:cs="Times New Roman"/>
                <w:sz w:val="18"/>
                <w:szCs w:val="18"/>
              </w:rPr>
            </w:pPr>
          </w:p>
          <w:p w14:paraId="0F6F940A" w14:textId="289EA19E" w:rsidR="00182428" w:rsidRPr="00D808F5" w:rsidRDefault="00182428" w:rsidP="00EF1F63">
            <w:pPr>
              <w:jc w:val="both"/>
              <w:rPr>
                <w:rFonts w:ascii="Times New Roman" w:hAnsi="Times New Roman" w:cs="Times New Roman"/>
                <w:sz w:val="18"/>
                <w:szCs w:val="18"/>
              </w:rPr>
            </w:pPr>
          </w:p>
        </w:tc>
      </w:tr>
      <w:tr w:rsidR="00182428" w:rsidRPr="00D808F5" w14:paraId="15246FB5" w14:textId="77777777" w:rsidTr="007B6ABD">
        <w:tc>
          <w:tcPr>
            <w:tcW w:w="506" w:type="dxa"/>
            <w:vMerge/>
          </w:tcPr>
          <w:p w14:paraId="2455837A" w14:textId="77777777" w:rsidR="00182428" w:rsidRPr="00D808F5" w:rsidRDefault="00182428" w:rsidP="005478A6">
            <w:pPr>
              <w:jc w:val="both"/>
              <w:rPr>
                <w:rFonts w:ascii="Times New Roman" w:hAnsi="Times New Roman" w:cs="Times New Roman"/>
                <w:sz w:val="18"/>
                <w:szCs w:val="18"/>
              </w:rPr>
            </w:pPr>
          </w:p>
        </w:tc>
        <w:tc>
          <w:tcPr>
            <w:tcW w:w="2276" w:type="dxa"/>
            <w:vMerge/>
          </w:tcPr>
          <w:p w14:paraId="7FA1A4C6" w14:textId="77777777" w:rsidR="00182428" w:rsidRPr="00D808F5" w:rsidRDefault="00182428" w:rsidP="005478A6">
            <w:pPr>
              <w:jc w:val="both"/>
              <w:rPr>
                <w:rFonts w:ascii="Times New Roman" w:hAnsi="Times New Roman" w:cs="Times New Roman"/>
                <w:sz w:val="18"/>
                <w:szCs w:val="18"/>
              </w:rPr>
            </w:pPr>
          </w:p>
        </w:tc>
        <w:tc>
          <w:tcPr>
            <w:tcW w:w="1983" w:type="dxa"/>
            <w:vMerge/>
          </w:tcPr>
          <w:p w14:paraId="773B4EBD" w14:textId="77777777" w:rsidR="00182428" w:rsidRPr="00D808F5" w:rsidRDefault="00182428" w:rsidP="005478A6">
            <w:pPr>
              <w:jc w:val="both"/>
              <w:rPr>
                <w:rFonts w:ascii="Times New Roman" w:hAnsi="Times New Roman" w:cs="Times New Roman"/>
                <w:sz w:val="18"/>
                <w:szCs w:val="18"/>
              </w:rPr>
            </w:pPr>
          </w:p>
        </w:tc>
        <w:tc>
          <w:tcPr>
            <w:tcW w:w="2430" w:type="dxa"/>
          </w:tcPr>
          <w:p w14:paraId="3948B0F5" w14:textId="3BCB0A1A" w:rsidR="00182428" w:rsidRPr="00D808F5" w:rsidRDefault="00182428" w:rsidP="005478A6">
            <w:pPr>
              <w:jc w:val="both"/>
              <w:rPr>
                <w:rFonts w:ascii="Times New Roman" w:hAnsi="Times New Roman" w:cs="Times New Roman"/>
                <w:sz w:val="18"/>
                <w:szCs w:val="18"/>
              </w:rPr>
            </w:pPr>
            <w:r>
              <w:rPr>
                <w:rFonts w:ascii="Times New Roman" w:hAnsi="Times New Roman" w:cs="Times New Roman"/>
                <w:sz w:val="18"/>
                <w:szCs w:val="18"/>
              </w:rPr>
              <w:t>The nature of the intervention</w:t>
            </w:r>
          </w:p>
        </w:tc>
        <w:tc>
          <w:tcPr>
            <w:tcW w:w="2970" w:type="dxa"/>
          </w:tcPr>
          <w:p w14:paraId="4D4D0E80" w14:textId="0390B26A" w:rsidR="00182428" w:rsidRDefault="00182428" w:rsidP="00A6288F">
            <w:pPr>
              <w:jc w:val="both"/>
              <w:rPr>
                <w:rFonts w:ascii="Times New Roman" w:hAnsi="Times New Roman" w:cs="Times New Roman"/>
                <w:sz w:val="18"/>
                <w:szCs w:val="18"/>
              </w:rPr>
            </w:pPr>
            <w:r>
              <w:rPr>
                <w:rFonts w:ascii="Times New Roman" w:hAnsi="Times New Roman" w:cs="Times New Roman"/>
                <w:sz w:val="18"/>
                <w:szCs w:val="18"/>
              </w:rPr>
              <w:t>What is the nature of the intervention as far as its objectives are concerned?</w:t>
            </w:r>
          </w:p>
          <w:p w14:paraId="34B96A11" w14:textId="77777777" w:rsidR="00182428" w:rsidRPr="00D808F5" w:rsidRDefault="00182428" w:rsidP="005478A6">
            <w:pPr>
              <w:jc w:val="both"/>
              <w:rPr>
                <w:rFonts w:ascii="Times New Roman" w:hAnsi="Times New Roman" w:cs="Times New Roman"/>
                <w:sz w:val="18"/>
                <w:szCs w:val="18"/>
              </w:rPr>
            </w:pPr>
          </w:p>
        </w:tc>
        <w:tc>
          <w:tcPr>
            <w:tcW w:w="3690" w:type="dxa"/>
            <w:vMerge/>
          </w:tcPr>
          <w:p w14:paraId="4826D775" w14:textId="77777777" w:rsidR="00182428" w:rsidRPr="00D808F5" w:rsidRDefault="00182428" w:rsidP="005478A6">
            <w:pPr>
              <w:jc w:val="both"/>
              <w:rPr>
                <w:rFonts w:ascii="Times New Roman" w:hAnsi="Times New Roman" w:cs="Times New Roman"/>
                <w:sz w:val="18"/>
                <w:szCs w:val="18"/>
              </w:rPr>
            </w:pPr>
          </w:p>
        </w:tc>
      </w:tr>
      <w:tr w:rsidR="00182428" w:rsidRPr="00D808F5" w14:paraId="326300D0" w14:textId="77777777" w:rsidTr="007B6ABD">
        <w:tc>
          <w:tcPr>
            <w:tcW w:w="506" w:type="dxa"/>
            <w:vMerge/>
          </w:tcPr>
          <w:p w14:paraId="6B3A691D" w14:textId="77777777" w:rsidR="00182428" w:rsidRPr="00D808F5" w:rsidRDefault="00182428" w:rsidP="005478A6">
            <w:pPr>
              <w:jc w:val="both"/>
              <w:rPr>
                <w:rFonts w:ascii="Times New Roman" w:hAnsi="Times New Roman" w:cs="Times New Roman"/>
                <w:sz w:val="18"/>
                <w:szCs w:val="18"/>
              </w:rPr>
            </w:pPr>
          </w:p>
        </w:tc>
        <w:tc>
          <w:tcPr>
            <w:tcW w:w="2276" w:type="dxa"/>
            <w:vMerge/>
          </w:tcPr>
          <w:p w14:paraId="3ADF708D" w14:textId="77777777" w:rsidR="00182428" w:rsidRPr="00D808F5" w:rsidRDefault="00182428" w:rsidP="005478A6">
            <w:pPr>
              <w:jc w:val="both"/>
              <w:rPr>
                <w:rFonts w:ascii="Times New Roman" w:hAnsi="Times New Roman" w:cs="Times New Roman"/>
                <w:sz w:val="18"/>
                <w:szCs w:val="18"/>
              </w:rPr>
            </w:pPr>
          </w:p>
        </w:tc>
        <w:tc>
          <w:tcPr>
            <w:tcW w:w="1983" w:type="dxa"/>
            <w:vMerge/>
          </w:tcPr>
          <w:p w14:paraId="28EDA42C" w14:textId="77777777" w:rsidR="00182428" w:rsidRPr="00D808F5" w:rsidRDefault="00182428" w:rsidP="005478A6">
            <w:pPr>
              <w:jc w:val="both"/>
              <w:rPr>
                <w:rFonts w:ascii="Times New Roman" w:hAnsi="Times New Roman" w:cs="Times New Roman"/>
                <w:sz w:val="18"/>
                <w:szCs w:val="18"/>
              </w:rPr>
            </w:pPr>
          </w:p>
        </w:tc>
        <w:tc>
          <w:tcPr>
            <w:tcW w:w="2430" w:type="dxa"/>
          </w:tcPr>
          <w:p w14:paraId="3FBFE262" w14:textId="1C835124" w:rsidR="00182428" w:rsidRPr="00D808F5" w:rsidRDefault="00182428" w:rsidP="005478A6">
            <w:pPr>
              <w:jc w:val="both"/>
              <w:rPr>
                <w:rFonts w:ascii="Times New Roman" w:hAnsi="Times New Roman" w:cs="Times New Roman"/>
                <w:sz w:val="18"/>
                <w:szCs w:val="18"/>
              </w:rPr>
            </w:pPr>
            <w:r>
              <w:rPr>
                <w:rFonts w:ascii="Times New Roman" w:hAnsi="Times New Roman" w:cs="Times New Roman"/>
                <w:sz w:val="18"/>
                <w:szCs w:val="18"/>
              </w:rPr>
              <w:t xml:space="preserve">Sociopolitical relationship and </w:t>
            </w:r>
            <w:r w:rsidR="008E6098">
              <w:rPr>
                <w:rFonts w:ascii="Times New Roman" w:hAnsi="Times New Roman" w:cs="Times New Roman"/>
                <w:sz w:val="18"/>
                <w:szCs w:val="18"/>
              </w:rPr>
              <w:t xml:space="preserve">its alignment with </w:t>
            </w:r>
            <w:r>
              <w:rPr>
                <w:rFonts w:ascii="Times New Roman" w:hAnsi="Times New Roman" w:cs="Times New Roman"/>
                <w:sz w:val="18"/>
                <w:szCs w:val="18"/>
              </w:rPr>
              <w:t xml:space="preserve">the nature of the intervention. </w:t>
            </w:r>
          </w:p>
        </w:tc>
        <w:tc>
          <w:tcPr>
            <w:tcW w:w="2970" w:type="dxa"/>
          </w:tcPr>
          <w:p w14:paraId="3F5C9E7F" w14:textId="6D4C7990" w:rsidR="00182428" w:rsidRPr="00D808F5" w:rsidRDefault="00182428" w:rsidP="005478A6">
            <w:pPr>
              <w:jc w:val="both"/>
              <w:rPr>
                <w:rFonts w:ascii="Times New Roman" w:hAnsi="Times New Roman" w:cs="Times New Roman"/>
                <w:sz w:val="18"/>
                <w:szCs w:val="18"/>
              </w:rPr>
            </w:pPr>
            <w:r>
              <w:rPr>
                <w:rFonts w:ascii="Times New Roman" w:hAnsi="Times New Roman" w:cs="Times New Roman"/>
                <w:sz w:val="18"/>
                <w:szCs w:val="18"/>
              </w:rPr>
              <w:t>How does it align with the sociopolitical relationship in the environment of operation?</w:t>
            </w:r>
          </w:p>
        </w:tc>
        <w:tc>
          <w:tcPr>
            <w:tcW w:w="3690" w:type="dxa"/>
            <w:vMerge/>
          </w:tcPr>
          <w:p w14:paraId="5F394042" w14:textId="77777777" w:rsidR="00182428" w:rsidRPr="00D808F5" w:rsidRDefault="00182428" w:rsidP="005478A6">
            <w:pPr>
              <w:jc w:val="both"/>
              <w:rPr>
                <w:rFonts w:ascii="Times New Roman" w:hAnsi="Times New Roman" w:cs="Times New Roman"/>
                <w:sz w:val="18"/>
                <w:szCs w:val="18"/>
              </w:rPr>
            </w:pPr>
          </w:p>
        </w:tc>
      </w:tr>
      <w:tr w:rsidR="005478A6" w:rsidRPr="00D808F5" w14:paraId="2299E15C" w14:textId="468F08A4" w:rsidTr="007B6ABD">
        <w:tc>
          <w:tcPr>
            <w:tcW w:w="506" w:type="dxa"/>
          </w:tcPr>
          <w:p w14:paraId="1A81A858"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12.</w:t>
            </w:r>
          </w:p>
        </w:tc>
        <w:tc>
          <w:tcPr>
            <w:tcW w:w="2276" w:type="dxa"/>
          </w:tcPr>
          <w:p w14:paraId="7B23FEB3"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External shocks and catalytic events</w:t>
            </w:r>
          </w:p>
        </w:tc>
        <w:tc>
          <w:tcPr>
            <w:tcW w:w="1983" w:type="dxa"/>
          </w:tcPr>
          <w:p w14:paraId="2EEF04DA" w14:textId="77777777"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Extreme weather events, economic crises, regime changes, onset of armed conflict, etc., that affect implementation, sustainability or uptake of the intervention or impact directly on outcomes targeted by the interventions.</w:t>
            </w:r>
          </w:p>
        </w:tc>
        <w:tc>
          <w:tcPr>
            <w:tcW w:w="2430" w:type="dxa"/>
          </w:tcPr>
          <w:p w14:paraId="3DAD45F4" w14:textId="781BF4A9" w:rsidR="005478A6" w:rsidRPr="00D808F5" w:rsidRDefault="000807E0" w:rsidP="005478A6">
            <w:pPr>
              <w:jc w:val="both"/>
              <w:rPr>
                <w:rFonts w:ascii="Times New Roman" w:hAnsi="Times New Roman" w:cs="Times New Roman"/>
                <w:sz w:val="18"/>
                <w:szCs w:val="18"/>
              </w:rPr>
            </w:pPr>
            <w:r>
              <w:rPr>
                <w:rFonts w:ascii="Times New Roman" w:hAnsi="Times New Roman" w:cs="Times New Roman"/>
                <w:sz w:val="18"/>
                <w:szCs w:val="18"/>
              </w:rPr>
              <w:t>Anticipation of external shocks and trends of events.</w:t>
            </w:r>
          </w:p>
        </w:tc>
        <w:tc>
          <w:tcPr>
            <w:tcW w:w="2970" w:type="dxa"/>
          </w:tcPr>
          <w:p w14:paraId="00BA2C5A" w14:textId="7E4C31FD" w:rsidR="00DE0B56" w:rsidRDefault="00DE0B56" w:rsidP="00DE0B56">
            <w:pPr>
              <w:jc w:val="both"/>
              <w:rPr>
                <w:rFonts w:ascii="Times New Roman" w:hAnsi="Times New Roman" w:cs="Times New Roman"/>
                <w:sz w:val="18"/>
                <w:szCs w:val="18"/>
              </w:rPr>
            </w:pPr>
            <w:r>
              <w:rPr>
                <w:rFonts w:ascii="Times New Roman" w:hAnsi="Times New Roman" w:cs="Times New Roman"/>
                <w:sz w:val="18"/>
                <w:szCs w:val="18"/>
              </w:rPr>
              <w:t>What external shocks or trends of events should be anticipated?</w:t>
            </w:r>
          </w:p>
          <w:p w14:paraId="347E961E" w14:textId="77777777" w:rsidR="005478A6" w:rsidRPr="00D808F5" w:rsidRDefault="005478A6" w:rsidP="005478A6">
            <w:pPr>
              <w:jc w:val="both"/>
              <w:rPr>
                <w:rFonts w:ascii="Times New Roman" w:hAnsi="Times New Roman" w:cs="Times New Roman"/>
                <w:sz w:val="18"/>
                <w:szCs w:val="18"/>
              </w:rPr>
            </w:pPr>
          </w:p>
        </w:tc>
        <w:tc>
          <w:tcPr>
            <w:tcW w:w="3690" w:type="dxa"/>
          </w:tcPr>
          <w:p w14:paraId="373BB98F" w14:textId="5FA21335" w:rsidR="00DE0B56" w:rsidRDefault="000807E0" w:rsidP="007C576E">
            <w:pPr>
              <w:jc w:val="both"/>
              <w:rPr>
                <w:rFonts w:ascii="Times New Roman" w:hAnsi="Times New Roman" w:cs="Times New Roman"/>
                <w:sz w:val="18"/>
                <w:szCs w:val="18"/>
              </w:rPr>
            </w:pPr>
            <w:r w:rsidRPr="000807E0">
              <w:rPr>
                <w:rFonts w:ascii="Times New Roman" w:hAnsi="Times New Roman" w:cs="Times New Roman"/>
                <w:b/>
                <w:bCs/>
                <w:sz w:val="18"/>
                <w:szCs w:val="18"/>
              </w:rPr>
              <w:t>CCT</w:t>
            </w:r>
            <w:r>
              <w:rPr>
                <w:rFonts w:ascii="Times New Roman" w:hAnsi="Times New Roman" w:cs="Times New Roman"/>
                <w:sz w:val="18"/>
                <w:szCs w:val="18"/>
              </w:rPr>
              <w:t>: Research on previous external shocks and potential future shocks and trends of events that may impact the intervention negatively.</w:t>
            </w:r>
          </w:p>
          <w:p w14:paraId="085386C9" w14:textId="076674F6" w:rsidR="000807E0" w:rsidRDefault="000807E0" w:rsidP="007C576E">
            <w:pPr>
              <w:jc w:val="both"/>
              <w:rPr>
                <w:rFonts w:ascii="Times New Roman" w:hAnsi="Times New Roman" w:cs="Times New Roman"/>
                <w:sz w:val="18"/>
                <w:szCs w:val="18"/>
              </w:rPr>
            </w:pPr>
          </w:p>
          <w:p w14:paraId="00A1ADBB" w14:textId="77777777" w:rsidR="000807E0" w:rsidRDefault="000807E0" w:rsidP="007C576E">
            <w:pPr>
              <w:jc w:val="both"/>
              <w:rPr>
                <w:rFonts w:ascii="Times New Roman" w:hAnsi="Times New Roman" w:cs="Times New Roman"/>
                <w:sz w:val="18"/>
                <w:szCs w:val="18"/>
              </w:rPr>
            </w:pPr>
          </w:p>
          <w:p w14:paraId="784B6094" w14:textId="3313A56F" w:rsidR="005478A6" w:rsidRPr="00D808F5" w:rsidRDefault="000807E0" w:rsidP="000807E0">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Is the intervention susceptible to a</w:t>
            </w:r>
            <w:r w:rsidR="007C576E" w:rsidRPr="007C576E">
              <w:rPr>
                <w:rFonts w:ascii="Times New Roman" w:hAnsi="Times New Roman" w:cs="Times New Roman"/>
                <w:sz w:val="18"/>
                <w:szCs w:val="18"/>
              </w:rPr>
              <w:t xml:space="preserve">dverse trends </w:t>
            </w:r>
            <w:r>
              <w:rPr>
                <w:rFonts w:ascii="Times New Roman" w:hAnsi="Times New Roman" w:cs="Times New Roman"/>
                <w:sz w:val="18"/>
                <w:szCs w:val="18"/>
              </w:rPr>
              <w:t>of events or</w:t>
            </w:r>
            <w:r w:rsidR="007C576E" w:rsidRPr="007C576E">
              <w:rPr>
                <w:rFonts w:ascii="Times New Roman" w:hAnsi="Times New Roman" w:cs="Times New Roman"/>
                <w:sz w:val="18"/>
                <w:szCs w:val="18"/>
              </w:rPr>
              <w:t xml:space="preserve"> change </w:t>
            </w:r>
            <w:r>
              <w:rPr>
                <w:rFonts w:ascii="Times New Roman" w:hAnsi="Times New Roman" w:cs="Times New Roman"/>
                <w:sz w:val="18"/>
                <w:szCs w:val="18"/>
              </w:rPr>
              <w:t xml:space="preserve">in </w:t>
            </w:r>
            <w:r w:rsidR="007C576E" w:rsidRPr="007C576E">
              <w:rPr>
                <w:rFonts w:ascii="Times New Roman" w:hAnsi="Times New Roman" w:cs="Times New Roman"/>
                <w:sz w:val="18"/>
                <w:szCs w:val="18"/>
              </w:rPr>
              <w:t>the social patterning of health</w:t>
            </w:r>
            <w:r>
              <w:rPr>
                <w:rFonts w:ascii="Times New Roman" w:hAnsi="Times New Roman" w:cs="Times New Roman"/>
                <w:sz w:val="18"/>
                <w:szCs w:val="18"/>
              </w:rPr>
              <w:t xml:space="preserve"> </w:t>
            </w:r>
            <w:r w:rsidR="00473092" w:rsidRPr="007C576E">
              <w:rPr>
                <w:rFonts w:ascii="Times New Roman" w:hAnsi="Times New Roman" w:cs="Times New Roman"/>
                <w:sz w:val="18"/>
                <w:szCs w:val="18"/>
              </w:rPr>
              <w:t>behaviors</w:t>
            </w:r>
            <w:r w:rsidR="00473092">
              <w:rPr>
                <w:rFonts w:ascii="Times New Roman" w:hAnsi="Times New Roman" w:cs="Times New Roman"/>
                <w:sz w:val="18"/>
                <w:szCs w:val="18"/>
              </w:rPr>
              <w:t>?</w:t>
            </w:r>
          </w:p>
        </w:tc>
      </w:tr>
      <w:tr w:rsidR="005478A6" w:rsidRPr="00D808F5" w14:paraId="393DE17E" w14:textId="7EC50845" w:rsidTr="007B6ABD">
        <w:tc>
          <w:tcPr>
            <w:tcW w:w="506" w:type="dxa"/>
          </w:tcPr>
          <w:p w14:paraId="419B837B" w14:textId="5C7E8C1E"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13.</w:t>
            </w:r>
          </w:p>
        </w:tc>
        <w:tc>
          <w:tcPr>
            <w:tcW w:w="2276" w:type="dxa"/>
          </w:tcPr>
          <w:p w14:paraId="060FDDE1" w14:textId="6072430D"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Demographic factors</w:t>
            </w:r>
          </w:p>
        </w:tc>
        <w:tc>
          <w:tcPr>
            <w:tcW w:w="1983" w:type="dxa"/>
          </w:tcPr>
          <w:p w14:paraId="29BFAC33" w14:textId="3FBBB121" w:rsidR="005478A6" w:rsidRPr="00D808F5" w:rsidRDefault="005478A6" w:rsidP="005478A6">
            <w:pPr>
              <w:jc w:val="both"/>
              <w:rPr>
                <w:rFonts w:ascii="Times New Roman" w:hAnsi="Times New Roman" w:cs="Times New Roman"/>
                <w:sz w:val="18"/>
                <w:szCs w:val="18"/>
              </w:rPr>
            </w:pPr>
            <w:r w:rsidRPr="00D808F5">
              <w:rPr>
                <w:rFonts w:ascii="Times New Roman" w:hAnsi="Times New Roman" w:cs="Times New Roman"/>
                <w:sz w:val="18"/>
                <w:szCs w:val="18"/>
              </w:rPr>
              <w:t>Distribution of demographic factors</w:t>
            </w:r>
          </w:p>
        </w:tc>
        <w:tc>
          <w:tcPr>
            <w:tcW w:w="2430" w:type="dxa"/>
          </w:tcPr>
          <w:p w14:paraId="257D52D9" w14:textId="282FEF7B" w:rsidR="005478A6" w:rsidRPr="00D808F5" w:rsidRDefault="002B117F" w:rsidP="005478A6">
            <w:pPr>
              <w:jc w:val="both"/>
              <w:rPr>
                <w:rFonts w:ascii="Times New Roman" w:hAnsi="Times New Roman" w:cs="Times New Roman"/>
                <w:sz w:val="18"/>
                <w:szCs w:val="18"/>
              </w:rPr>
            </w:pPr>
            <w:r>
              <w:rPr>
                <w:rFonts w:ascii="Times New Roman" w:hAnsi="Times New Roman" w:cs="Times New Roman"/>
                <w:sz w:val="18"/>
                <w:szCs w:val="18"/>
              </w:rPr>
              <w:t xml:space="preserve">Change in demography </w:t>
            </w:r>
          </w:p>
        </w:tc>
        <w:tc>
          <w:tcPr>
            <w:tcW w:w="2970" w:type="dxa"/>
          </w:tcPr>
          <w:p w14:paraId="187A0FEA" w14:textId="3040699E" w:rsidR="005478A6" w:rsidRPr="00D808F5" w:rsidRDefault="007C576E" w:rsidP="005478A6">
            <w:pPr>
              <w:jc w:val="both"/>
              <w:rPr>
                <w:rFonts w:ascii="Times New Roman" w:hAnsi="Times New Roman" w:cs="Times New Roman"/>
                <w:sz w:val="18"/>
                <w:szCs w:val="18"/>
              </w:rPr>
            </w:pPr>
            <w:r>
              <w:rPr>
                <w:rFonts w:ascii="Times New Roman" w:hAnsi="Times New Roman" w:cs="Times New Roman"/>
                <w:sz w:val="18"/>
                <w:szCs w:val="18"/>
              </w:rPr>
              <w:t>What is the demography of the target population and how</w:t>
            </w:r>
            <w:r w:rsidR="00A7470D">
              <w:rPr>
                <w:rFonts w:ascii="Times New Roman" w:hAnsi="Times New Roman" w:cs="Times New Roman"/>
                <w:sz w:val="18"/>
                <w:szCs w:val="18"/>
              </w:rPr>
              <w:t xml:space="preserve"> is it changing and how</w:t>
            </w:r>
            <w:r>
              <w:rPr>
                <w:rFonts w:ascii="Times New Roman" w:hAnsi="Times New Roman" w:cs="Times New Roman"/>
                <w:sz w:val="18"/>
                <w:szCs w:val="18"/>
              </w:rPr>
              <w:t xml:space="preserve"> does that affect the intervention?</w:t>
            </w:r>
          </w:p>
        </w:tc>
        <w:tc>
          <w:tcPr>
            <w:tcW w:w="3690" w:type="dxa"/>
          </w:tcPr>
          <w:p w14:paraId="03E60D04" w14:textId="240BD4F7" w:rsidR="005478A6" w:rsidRDefault="00A7470D" w:rsidP="005478A6">
            <w:pPr>
              <w:jc w:val="both"/>
              <w:rPr>
                <w:rFonts w:ascii="Times New Roman" w:hAnsi="Times New Roman" w:cs="Times New Roman"/>
                <w:sz w:val="18"/>
                <w:szCs w:val="18"/>
              </w:rPr>
            </w:pPr>
            <w:r w:rsidRPr="000807E0">
              <w:rPr>
                <w:rFonts w:ascii="Times New Roman" w:hAnsi="Times New Roman" w:cs="Times New Roman"/>
                <w:b/>
                <w:bCs/>
                <w:sz w:val="18"/>
                <w:szCs w:val="18"/>
              </w:rPr>
              <w:t>CCT</w:t>
            </w:r>
            <w:r>
              <w:rPr>
                <w:rFonts w:ascii="Times New Roman" w:hAnsi="Times New Roman" w:cs="Times New Roman"/>
                <w:sz w:val="18"/>
                <w:szCs w:val="18"/>
              </w:rPr>
              <w:t xml:space="preserve">: </w:t>
            </w:r>
            <w:r w:rsidR="001977FC">
              <w:rPr>
                <w:rFonts w:ascii="Times New Roman" w:hAnsi="Times New Roman" w:cs="Times New Roman"/>
                <w:sz w:val="18"/>
                <w:szCs w:val="18"/>
              </w:rPr>
              <w:t>Ensure that intervention is adjustable to accommodate changes in demography of the target population.</w:t>
            </w:r>
          </w:p>
          <w:p w14:paraId="02A8CB96" w14:textId="77777777" w:rsidR="00A7470D" w:rsidRDefault="00A7470D" w:rsidP="005478A6">
            <w:pPr>
              <w:jc w:val="both"/>
              <w:rPr>
                <w:rFonts w:ascii="Times New Roman" w:hAnsi="Times New Roman" w:cs="Times New Roman"/>
                <w:sz w:val="18"/>
                <w:szCs w:val="18"/>
              </w:rPr>
            </w:pPr>
          </w:p>
          <w:p w14:paraId="67DB3EAB" w14:textId="6CC5867E" w:rsidR="00A7470D" w:rsidRPr="00D808F5" w:rsidRDefault="00A7470D" w:rsidP="005478A6">
            <w:pPr>
              <w:jc w:val="both"/>
              <w:rPr>
                <w:rFonts w:ascii="Times New Roman" w:hAnsi="Times New Roman" w:cs="Times New Roman"/>
                <w:sz w:val="18"/>
                <w:szCs w:val="18"/>
              </w:rPr>
            </w:pPr>
            <w:r w:rsidRPr="00B50DE1">
              <w:rPr>
                <w:rFonts w:ascii="Times New Roman" w:hAnsi="Times New Roman" w:cs="Times New Roman"/>
                <w:b/>
                <w:bCs/>
                <w:sz w:val="18"/>
                <w:szCs w:val="18"/>
              </w:rPr>
              <w:t>Relevance</w:t>
            </w:r>
            <w:r>
              <w:rPr>
                <w:rFonts w:ascii="Times New Roman" w:hAnsi="Times New Roman" w:cs="Times New Roman"/>
                <w:sz w:val="18"/>
                <w:szCs w:val="18"/>
              </w:rPr>
              <w:t>: Does a change in demography affect the intervention?</w:t>
            </w:r>
          </w:p>
        </w:tc>
      </w:tr>
    </w:tbl>
    <w:p w14:paraId="411158F2" w14:textId="4EE04042" w:rsidR="009868D5" w:rsidRDefault="00A022C0" w:rsidP="00A022C0">
      <w:pPr>
        <w:spacing w:line="480" w:lineRule="auto"/>
        <w:jc w:val="both"/>
        <w:rPr>
          <w:rFonts w:ascii="Times New Roman" w:hAnsi="Times New Roman" w:cs="Times New Roman"/>
          <w:sz w:val="24"/>
          <w:szCs w:val="24"/>
        </w:rPr>
        <w:sectPr w:rsidR="009868D5" w:rsidSect="007F314A">
          <w:pgSz w:w="15840" w:h="12240" w:orient="landscape"/>
          <w:pgMar w:top="1440" w:right="1440" w:bottom="1440" w:left="1440" w:header="720" w:footer="720" w:gutter="0"/>
          <w:cols w:space="720"/>
          <w:docGrid w:linePitch="360"/>
        </w:sectPr>
      </w:pPr>
      <w:r w:rsidRPr="007A28AF">
        <w:rPr>
          <w:rFonts w:ascii="Times New Roman" w:hAnsi="Times New Roman" w:cs="Times New Roman"/>
          <w:sz w:val="24"/>
          <w:szCs w:val="24"/>
        </w:rPr>
        <w:t xml:space="preserve">Source: </w:t>
      </w:r>
      <w:r w:rsidRPr="007A28AF">
        <w:rPr>
          <w:rFonts w:ascii="Times New Roman" w:hAnsi="Times New Roman" w:cs="Times New Roman"/>
          <w:sz w:val="24"/>
          <w:szCs w:val="24"/>
        </w:rPr>
        <w:fldChar w:fldCharType="begin" w:fldLock="1"/>
      </w:r>
      <w:r w:rsidRPr="007A28AF">
        <w:rPr>
          <w:rFonts w:ascii="Times New Roman" w:hAnsi="Times New Roman" w:cs="Times New Roman"/>
          <w:sz w:val="24"/>
          <w:szCs w:val="24"/>
        </w:rPr>
        <w:instrText>ADDIN CSL_CITATION {"citationItems":[{"id":"ITEM-1","itemData":{"DOI":"10.3310/CIHR-NIHR-01","abstract":"Population health intervention research (PHIR) seeks to develop and evaluate policies, programmes and other types of interventions that may affect population health and health equity. Such interventions are strongly influenced by context – taken to refer to any feature of the circumstances in which an intervention is conceived, developed, implemented and evaluated. Understanding how interventions relate to context is critical to understanding how they work; why they sometimes fail; whether they can be successfully adapted, scaled up or translated from one context to another; why their impacts vary; and how far effects observed in one context can be generalised to others. Concerns that context has been neglected in research to develop and evaluate population health interventions have been expressed for at least 20 years. Over this period, an increasingly comprehensive body of guidance has been developed to help with the design, conduct, reporting and appraisal of PHIR. References to context have become more frequent in recent years, as interest has grown in complex and upstream interventions, systems thinking and realist approaches to evaluation, but there remains a lack of systematic guidance for producers, users and funders of PHIR on how context should be taken into account. This document draws together recent thinking and practical experience of addressing context within PHIR. It provides a broad, working definition of context and explains why and how context is important to PHIR. It identifies the dimensions of context that are likely to shape how interventions are conceptualised, the impacts that they have and how they can be implemented, translated and scaled up. It suggests how context should be taken into account throughout the PHIR process, from priority setting and intervention development to the design and conduct of evaluations and reporting, synthesis and knowledge exchange. It concludes by summarising the key messages for producers, users and funders of PHIR and suggesting priorities for future research. The document is meant to be used alongside existing guidance for the development, evaluation and reporting of population health interventions. We expect the guidance to evolve over time, as practice changes in the light of the guidance and experience accumulates on useful approaches.","author":[{"dropping-particle":"","family":"Craig","given":"Peter","non-dropping-particle":"","parse-names":false,"suffix":""},{"dropping-particle":"Di","family":"Ruggiero","given":"Erica","non-dropping-particle":"","parse-names":false,"suffix":""},{"dropping-particle":"","family":"Frohlich","given":"Katherine L","non-dropping-particle":"","parse-names":false,"suffix":""},{"dropping-particle":"","family":"Mykhalovskiy","given":"Eric","non-dropping-particle":"","parse-names":false,"suffix":""},{"dropping-particle":"","family":"White","given":"Martin","non-dropping-particle":"","parse-names":false,"suffix":""},{"dropping-particle":"","family":"Campbell","given":"Rona","non-dropping-particle":"","parse-names":false,"suffix":""},{"dropping-particle":"","family":"Cummins","given":"Steven","non-dropping-particle":"","parse-names":false,"suffix":""},{"dropping-particle":"","family":"Edwards","given":"Nancy","non-dropping-particle":"","parse-names":false,"suffix":""},{"dropping-particle":"","family":"Hunt","given":"Kate","non-dropping-particle":"","parse-names":false,"suffix":""},{"dropping-particle":"","family":"Kee","given":"Frank","non-dropping-particle":"","parse-names":false,"suffix":""},{"dropping-particle":"","family":"Loppie","given":"Charlotte","non-dropping-particle":"","parse-names":false,"suffix":""},{"dropping-particle":"","family":"Moore","given":"Laurence","non-dropping-particle":"","parse-names":false,"suffix":""},{"dropping-particle":"","family":"Ogilvie","given":"David","non-dropping-particle":"","parse-names":false,"suffix":""},{"dropping-particle":"","family":"Petticrew","given":"Mark","non-dropping-particle":"","parse-names":false,"suffix":""},{"dropping-particle":"","family":"Poland","given":"Blake","non-dropping-particle":"","parse-names":false,"suffix":""},{"dropping-particle":"","family":"Ridde","given":"Valéry","non-dropping-particle":"","parse-names":false,"suffix":""},{"dropping-particle":"","family":"Shoveller","given":"Jeannie","non-dropping-particle":"","parse-names":false,"suffix":""},{"dropping-particle":"","family":"Viehbeck","given":"Sarah","non-dropping-particle":"","parse-names":false,"suffix":""},{"dropping-particle":"","family":"Wight","given":"Daniel","non-dropping-particle":"","parse-names":false,"suffix":""}],"id":"ITEM-1","issued":{"date-parts":[["2018"]]},"title":"Taking account of context in population health intervention research: guidance for producers, users and funders of research","type":"article-journal"},"uris":["http://www.mendeley.com/documents/?uuid=05f15f3c-b5a7-43aa-ac9f-2b3353046082"]}],"mendeley":{"formattedCitation":"(Craig et al., 2018)","manualFormatting":"Craig et al. (2018)","plainTextFormattedCitation":"(Craig et al., 2018)","previouslyFormattedCitation":"(Craig et al., 2018)"},"properties":{"noteIndex":0},"schema":"https://github.com/citation-style-language/schema/raw/master/csl-citation.json"}</w:instrText>
      </w:r>
      <w:r w:rsidRPr="007A28AF">
        <w:rPr>
          <w:rFonts w:ascii="Times New Roman" w:hAnsi="Times New Roman" w:cs="Times New Roman"/>
          <w:sz w:val="24"/>
          <w:szCs w:val="24"/>
        </w:rPr>
        <w:fldChar w:fldCharType="separate"/>
      </w:r>
      <w:r w:rsidRPr="007A28AF">
        <w:rPr>
          <w:rFonts w:ascii="Times New Roman" w:hAnsi="Times New Roman" w:cs="Times New Roman"/>
          <w:noProof/>
          <w:sz w:val="24"/>
          <w:szCs w:val="24"/>
        </w:rPr>
        <w:t>Craig et al. (2018)</w:t>
      </w:r>
      <w:r w:rsidRPr="007A28AF">
        <w:rPr>
          <w:rFonts w:ascii="Times New Roman" w:hAnsi="Times New Roman" w:cs="Times New Roman"/>
          <w:sz w:val="24"/>
          <w:szCs w:val="24"/>
        </w:rPr>
        <w:fldChar w:fldCharType="end"/>
      </w:r>
      <w:r w:rsidR="00561F23">
        <w:rPr>
          <w:rFonts w:ascii="Times New Roman" w:hAnsi="Times New Roman" w:cs="Times New Roman"/>
          <w:sz w:val="24"/>
          <w:szCs w:val="24"/>
        </w:rPr>
        <w:t xml:space="preserve"> and  Author’s.</w:t>
      </w:r>
    </w:p>
    <w:p w14:paraId="331DFBA4" w14:textId="5B34F882" w:rsidR="007C2510" w:rsidRPr="007A28AF" w:rsidRDefault="007C2510" w:rsidP="007C2510">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lastRenderedPageBreak/>
        <w:t xml:space="preserve">Table </w:t>
      </w:r>
      <w:r w:rsidR="006F6577">
        <w:rPr>
          <w:rFonts w:ascii="Times New Roman" w:hAnsi="Times New Roman" w:cs="Times New Roman"/>
          <w:sz w:val="24"/>
          <w:szCs w:val="24"/>
        </w:rPr>
        <w:t>2</w:t>
      </w:r>
      <w:r w:rsidRPr="007A28AF">
        <w:rPr>
          <w:rFonts w:ascii="Times New Roman" w:hAnsi="Times New Roman" w:cs="Times New Roman"/>
          <w:sz w:val="24"/>
          <w:szCs w:val="24"/>
        </w:rPr>
        <w:t>. Action Domains of UHC</w:t>
      </w:r>
    </w:p>
    <w:tbl>
      <w:tblPr>
        <w:tblStyle w:val="TableGrid"/>
        <w:tblW w:w="0" w:type="auto"/>
        <w:tblLook w:val="04A0" w:firstRow="1" w:lastRow="0" w:firstColumn="1" w:lastColumn="0" w:noHBand="0" w:noVBand="1"/>
      </w:tblPr>
      <w:tblGrid>
        <w:gridCol w:w="673"/>
        <w:gridCol w:w="3352"/>
        <w:gridCol w:w="5325"/>
      </w:tblGrid>
      <w:tr w:rsidR="007C2510" w:rsidRPr="007A28AF" w14:paraId="114D4BC7" w14:textId="77777777" w:rsidTr="00B84CA7">
        <w:tc>
          <w:tcPr>
            <w:tcW w:w="895" w:type="dxa"/>
          </w:tcPr>
          <w:p w14:paraId="204B8E68" w14:textId="77777777" w:rsidR="007C2510" w:rsidRPr="00D80248" w:rsidRDefault="007C2510" w:rsidP="00B84CA7">
            <w:pPr>
              <w:spacing w:line="276" w:lineRule="auto"/>
              <w:jc w:val="both"/>
              <w:rPr>
                <w:rFonts w:ascii="Times New Roman" w:hAnsi="Times New Roman" w:cs="Times New Roman"/>
                <w:b/>
                <w:bCs/>
                <w:sz w:val="18"/>
                <w:szCs w:val="18"/>
              </w:rPr>
            </w:pPr>
          </w:p>
        </w:tc>
        <w:tc>
          <w:tcPr>
            <w:tcW w:w="4410" w:type="dxa"/>
          </w:tcPr>
          <w:p w14:paraId="0DA2FEBB" w14:textId="77777777" w:rsidR="007C2510" w:rsidRPr="00D80248" w:rsidRDefault="007C2510" w:rsidP="00B84CA7">
            <w:pPr>
              <w:spacing w:line="276" w:lineRule="auto"/>
              <w:jc w:val="both"/>
              <w:rPr>
                <w:rFonts w:ascii="Times New Roman" w:hAnsi="Times New Roman" w:cs="Times New Roman"/>
                <w:b/>
                <w:bCs/>
                <w:sz w:val="18"/>
                <w:szCs w:val="18"/>
                <w:u w:val="single"/>
              </w:rPr>
            </w:pPr>
            <w:r w:rsidRPr="00D80248">
              <w:rPr>
                <w:rFonts w:ascii="Times New Roman" w:hAnsi="Times New Roman" w:cs="Times New Roman"/>
                <w:b/>
                <w:bCs/>
                <w:sz w:val="18"/>
                <w:szCs w:val="18"/>
              </w:rPr>
              <w:t>Health System Attributes</w:t>
            </w:r>
          </w:p>
        </w:tc>
        <w:tc>
          <w:tcPr>
            <w:tcW w:w="7645" w:type="dxa"/>
          </w:tcPr>
          <w:p w14:paraId="41130255" w14:textId="77777777" w:rsidR="007C2510" w:rsidRPr="00D80248" w:rsidRDefault="007C2510" w:rsidP="00B84CA7">
            <w:pPr>
              <w:spacing w:line="276" w:lineRule="auto"/>
              <w:jc w:val="both"/>
              <w:rPr>
                <w:rFonts w:ascii="Times New Roman" w:hAnsi="Times New Roman" w:cs="Times New Roman"/>
                <w:b/>
                <w:bCs/>
                <w:sz w:val="18"/>
                <w:szCs w:val="18"/>
              </w:rPr>
            </w:pPr>
            <w:r w:rsidRPr="00D80248">
              <w:rPr>
                <w:rFonts w:ascii="Times New Roman" w:hAnsi="Times New Roman" w:cs="Times New Roman"/>
                <w:b/>
                <w:bCs/>
                <w:sz w:val="18"/>
                <w:szCs w:val="18"/>
              </w:rPr>
              <w:t>Relevance and Recommendation</w:t>
            </w:r>
          </w:p>
        </w:tc>
      </w:tr>
      <w:tr w:rsidR="007C2510" w:rsidRPr="007A28AF" w14:paraId="5975B690" w14:textId="77777777" w:rsidTr="00B84CA7">
        <w:tc>
          <w:tcPr>
            <w:tcW w:w="895" w:type="dxa"/>
          </w:tcPr>
          <w:p w14:paraId="5D60BD0D"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1</w:t>
            </w:r>
          </w:p>
        </w:tc>
        <w:tc>
          <w:tcPr>
            <w:tcW w:w="4410" w:type="dxa"/>
          </w:tcPr>
          <w:p w14:paraId="6341788F"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QUALITY</w:t>
            </w:r>
          </w:p>
        </w:tc>
        <w:tc>
          <w:tcPr>
            <w:tcW w:w="7645" w:type="dxa"/>
          </w:tcPr>
          <w:p w14:paraId="61BAE1CF" w14:textId="77777777" w:rsidR="007C2510" w:rsidRPr="00056157"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Improvement in population health largely depends on the quality and safety of health services delivered at individual and population levels. Barriers to quality and safety of can be addressed by strengthening regulations and the regulatory environment, developing effective and responsive individual and population-based systems and services, and engaging individuals, families, and communities (</w:t>
            </w:r>
            <w:r w:rsidRPr="00D80248">
              <w:rPr>
                <w:rFonts w:ascii="Times New Roman" w:hAnsi="Times New Roman" w:cs="Times New Roman"/>
                <w:b/>
                <w:bCs/>
                <w:sz w:val="18"/>
                <w:szCs w:val="18"/>
                <w:u w:val="single"/>
              </w:rPr>
              <w:fldChar w:fldCharType="begin" w:fldLock="1"/>
            </w:r>
            <w:r w:rsidRPr="00D80248">
              <w:rPr>
                <w:rFonts w:ascii="Times New Roman" w:hAnsi="Times New Roman" w:cs="Times New Roman"/>
                <w:b/>
                <w:bCs/>
                <w:sz w:val="18"/>
                <w:szCs w:val="18"/>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Pr="00D80248">
              <w:rPr>
                <w:rFonts w:ascii="Times New Roman" w:hAnsi="Times New Roman" w:cs="Times New Roman"/>
                <w:b/>
                <w:bCs/>
                <w:sz w:val="18"/>
                <w:szCs w:val="18"/>
                <w:u w:val="single"/>
              </w:rPr>
              <w:fldChar w:fldCharType="separate"/>
            </w:r>
            <w:r w:rsidRPr="00D80248">
              <w:rPr>
                <w:rFonts w:ascii="Times New Roman" w:hAnsi="Times New Roman" w:cs="Times New Roman"/>
                <w:bCs/>
                <w:noProof/>
                <w:sz w:val="18"/>
                <w:szCs w:val="18"/>
              </w:rPr>
              <w:t>World Health Organization, 2016)</w:t>
            </w:r>
            <w:r w:rsidRPr="00D80248">
              <w:rPr>
                <w:rFonts w:ascii="Times New Roman" w:hAnsi="Times New Roman" w:cs="Times New Roman"/>
                <w:b/>
                <w:bCs/>
                <w:sz w:val="18"/>
                <w:szCs w:val="18"/>
                <w:u w:val="single"/>
              </w:rPr>
              <w:fldChar w:fldCharType="end"/>
            </w:r>
            <w:r w:rsidRPr="00D80248">
              <w:rPr>
                <w:rFonts w:ascii="Times New Roman" w:hAnsi="Times New Roman" w:cs="Times New Roman"/>
                <w:sz w:val="18"/>
                <w:szCs w:val="18"/>
              </w:rPr>
              <w:t xml:space="preserve">. </w:t>
            </w:r>
          </w:p>
        </w:tc>
      </w:tr>
      <w:tr w:rsidR="007C2510" w:rsidRPr="007A28AF" w14:paraId="1BCA897E" w14:textId="77777777" w:rsidTr="00B84CA7">
        <w:tc>
          <w:tcPr>
            <w:tcW w:w="895" w:type="dxa"/>
          </w:tcPr>
          <w:p w14:paraId="13E98F87"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2</w:t>
            </w:r>
          </w:p>
        </w:tc>
        <w:tc>
          <w:tcPr>
            <w:tcW w:w="4410" w:type="dxa"/>
          </w:tcPr>
          <w:p w14:paraId="0233E006"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EFFICIENCY</w:t>
            </w:r>
          </w:p>
        </w:tc>
        <w:tc>
          <w:tcPr>
            <w:tcW w:w="7645" w:type="dxa"/>
          </w:tcPr>
          <w:p w14:paraId="1B25FF94"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Maximizing (health) output from a given level of (scarce) resources, termed as efficiency, is fundamental to improving population health. Efforts to improve health system efficiency could include ensuring health system design meets population needs, incentivizing appropriate provision and use of services, and enhancing managerial efficiency and effectiveness (</w:t>
            </w:r>
            <w:r w:rsidRPr="00D80248">
              <w:rPr>
                <w:rFonts w:ascii="Times New Roman" w:hAnsi="Times New Roman" w:cs="Times New Roman"/>
                <w:b/>
                <w:bCs/>
                <w:sz w:val="18"/>
                <w:szCs w:val="18"/>
                <w:u w:val="single"/>
              </w:rPr>
              <w:fldChar w:fldCharType="begin" w:fldLock="1"/>
            </w:r>
            <w:r w:rsidRPr="00D80248">
              <w:rPr>
                <w:rFonts w:ascii="Times New Roman" w:hAnsi="Times New Roman" w:cs="Times New Roman"/>
                <w:b/>
                <w:bCs/>
                <w:sz w:val="18"/>
                <w:szCs w:val="18"/>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Pr="00D80248">
              <w:rPr>
                <w:rFonts w:ascii="Times New Roman" w:hAnsi="Times New Roman" w:cs="Times New Roman"/>
                <w:b/>
                <w:bCs/>
                <w:sz w:val="18"/>
                <w:szCs w:val="18"/>
                <w:u w:val="single"/>
              </w:rPr>
              <w:fldChar w:fldCharType="separate"/>
            </w:r>
            <w:r w:rsidRPr="00D80248">
              <w:rPr>
                <w:rFonts w:ascii="Times New Roman" w:hAnsi="Times New Roman" w:cs="Times New Roman"/>
                <w:bCs/>
                <w:noProof/>
                <w:sz w:val="18"/>
                <w:szCs w:val="18"/>
              </w:rPr>
              <w:t>World Health Organization, 2016)</w:t>
            </w:r>
            <w:r w:rsidRPr="00D80248">
              <w:rPr>
                <w:rFonts w:ascii="Times New Roman" w:hAnsi="Times New Roman" w:cs="Times New Roman"/>
                <w:b/>
                <w:bCs/>
                <w:sz w:val="18"/>
                <w:szCs w:val="18"/>
                <w:u w:val="single"/>
              </w:rPr>
              <w:fldChar w:fldCharType="end"/>
            </w:r>
            <w:r w:rsidRPr="00D80248">
              <w:rPr>
                <w:rFonts w:ascii="Times New Roman" w:hAnsi="Times New Roman" w:cs="Times New Roman"/>
                <w:sz w:val="18"/>
                <w:szCs w:val="18"/>
              </w:rPr>
              <w:t>.</w:t>
            </w:r>
          </w:p>
        </w:tc>
      </w:tr>
      <w:tr w:rsidR="007C2510" w:rsidRPr="007A28AF" w14:paraId="071E4966" w14:textId="77777777" w:rsidTr="00B84CA7">
        <w:tc>
          <w:tcPr>
            <w:tcW w:w="895" w:type="dxa"/>
          </w:tcPr>
          <w:p w14:paraId="44095E25"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3</w:t>
            </w:r>
          </w:p>
        </w:tc>
        <w:tc>
          <w:tcPr>
            <w:tcW w:w="4410" w:type="dxa"/>
          </w:tcPr>
          <w:p w14:paraId="366D9433"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ACCOUNTABILITY</w:t>
            </w:r>
          </w:p>
        </w:tc>
        <w:tc>
          <w:tcPr>
            <w:tcW w:w="7645" w:type="dxa"/>
          </w:tcPr>
          <w:p w14:paraId="24DB2B71" w14:textId="77777777" w:rsidR="007C2510" w:rsidRPr="00D80248" w:rsidRDefault="007C2510" w:rsidP="00B84CA7">
            <w:pPr>
              <w:spacing w:line="276" w:lineRule="auto"/>
              <w:jc w:val="both"/>
              <w:rPr>
                <w:rFonts w:ascii="Times New Roman" w:hAnsi="Times New Roman" w:cs="Times New Roman"/>
                <w:sz w:val="18"/>
                <w:szCs w:val="18"/>
              </w:rPr>
            </w:pPr>
            <w:r w:rsidRPr="00C43B2A">
              <w:rPr>
                <w:rFonts w:ascii="Times New Roman" w:hAnsi="Times New Roman" w:cs="Times New Roman"/>
                <w:sz w:val="18"/>
                <w:szCs w:val="18"/>
              </w:rPr>
              <w:t>Good govern</w:t>
            </w:r>
            <w:r w:rsidRPr="00C43B2A">
              <w:rPr>
                <w:rFonts w:ascii="Times New Roman" w:hAnsi="Times New Roman" w:cs="Times New Roman"/>
                <w:sz w:val="18"/>
                <w:szCs w:val="18"/>
              </w:rPr>
              <w:softHyphen/>
              <w:t>ance and maintaining feedback</w:t>
            </w:r>
            <w:r>
              <w:rPr>
                <w:rFonts w:ascii="Times New Roman" w:hAnsi="Times New Roman" w:cs="Times New Roman"/>
                <w:sz w:val="18"/>
                <w:szCs w:val="18"/>
              </w:rPr>
              <w:t>/accountability</w:t>
            </w:r>
            <w:r w:rsidRPr="00C43B2A">
              <w:rPr>
                <w:rFonts w:ascii="Times New Roman" w:hAnsi="Times New Roman" w:cs="Times New Roman"/>
                <w:sz w:val="18"/>
                <w:szCs w:val="18"/>
              </w:rPr>
              <w:t xml:space="preserve"> mechanisms to obtain information for improving performance entail strengthening management and institutional processes. Priority actions for improving accountability include strengthening government leadership and rule of law for health, engaging in partnerships for public policy, and ensuring mechanisms for transparent monitoring and evaluation</w:t>
            </w:r>
            <w:r>
              <w:rPr>
                <w:rFonts w:ascii="Times New Roman" w:hAnsi="Times New Roman" w:cs="Times New Roman"/>
                <w:sz w:val="18"/>
                <w:szCs w:val="18"/>
              </w:rPr>
              <w:t xml:space="preserve"> </w:t>
            </w:r>
            <w:r w:rsidRPr="00D80248">
              <w:rPr>
                <w:rFonts w:ascii="Times New Roman" w:hAnsi="Times New Roman" w:cs="Times New Roman"/>
                <w:sz w:val="18"/>
                <w:szCs w:val="18"/>
              </w:rPr>
              <w:t>(</w:t>
            </w:r>
            <w:r w:rsidRPr="00D80248">
              <w:rPr>
                <w:rFonts w:ascii="Times New Roman" w:hAnsi="Times New Roman" w:cs="Times New Roman"/>
                <w:b/>
                <w:bCs/>
                <w:sz w:val="18"/>
                <w:szCs w:val="18"/>
                <w:u w:val="single"/>
              </w:rPr>
              <w:fldChar w:fldCharType="begin" w:fldLock="1"/>
            </w:r>
            <w:r w:rsidRPr="00D80248">
              <w:rPr>
                <w:rFonts w:ascii="Times New Roman" w:hAnsi="Times New Roman" w:cs="Times New Roman"/>
                <w:b/>
                <w:bCs/>
                <w:sz w:val="18"/>
                <w:szCs w:val="18"/>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Pr="00D80248">
              <w:rPr>
                <w:rFonts w:ascii="Times New Roman" w:hAnsi="Times New Roman" w:cs="Times New Roman"/>
                <w:b/>
                <w:bCs/>
                <w:sz w:val="18"/>
                <w:szCs w:val="18"/>
                <w:u w:val="single"/>
              </w:rPr>
              <w:fldChar w:fldCharType="separate"/>
            </w:r>
            <w:r w:rsidRPr="00D80248">
              <w:rPr>
                <w:rFonts w:ascii="Times New Roman" w:hAnsi="Times New Roman" w:cs="Times New Roman"/>
                <w:bCs/>
                <w:noProof/>
                <w:sz w:val="18"/>
                <w:szCs w:val="18"/>
              </w:rPr>
              <w:t>World Health Organization, 2016)</w:t>
            </w:r>
            <w:r w:rsidRPr="00D80248">
              <w:rPr>
                <w:rFonts w:ascii="Times New Roman" w:hAnsi="Times New Roman" w:cs="Times New Roman"/>
                <w:b/>
                <w:bCs/>
                <w:sz w:val="18"/>
                <w:szCs w:val="18"/>
                <w:u w:val="single"/>
              </w:rPr>
              <w:fldChar w:fldCharType="end"/>
            </w:r>
            <w:r w:rsidRPr="00D80248">
              <w:rPr>
                <w:rFonts w:ascii="Times New Roman" w:hAnsi="Times New Roman" w:cs="Times New Roman"/>
                <w:sz w:val="18"/>
                <w:szCs w:val="18"/>
              </w:rPr>
              <w:t>.</w:t>
            </w:r>
          </w:p>
        </w:tc>
      </w:tr>
      <w:tr w:rsidR="007C2510" w:rsidRPr="007A28AF" w14:paraId="70BD74A8" w14:textId="77777777" w:rsidTr="00B84CA7">
        <w:tc>
          <w:tcPr>
            <w:tcW w:w="895" w:type="dxa"/>
          </w:tcPr>
          <w:p w14:paraId="2FF27C23"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4.</w:t>
            </w:r>
          </w:p>
        </w:tc>
        <w:tc>
          <w:tcPr>
            <w:tcW w:w="4410" w:type="dxa"/>
          </w:tcPr>
          <w:p w14:paraId="04911965"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SUSTAINABILITY</w:t>
            </w:r>
          </w:p>
        </w:tc>
        <w:tc>
          <w:tcPr>
            <w:tcW w:w="7645" w:type="dxa"/>
          </w:tcPr>
          <w:p w14:paraId="4D87E087" w14:textId="77777777" w:rsidR="007C2510" w:rsidRPr="00D80248" w:rsidRDefault="007C2510" w:rsidP="00B84CA7">
            <w:pPr>
              <w:spacing w:line="276" w:lineRule="auto"/>
              <w:jc w:val="both"/>
              <w:rPr>
                <w:rFonts w:ascii="Times New Roman" w:hAnsi="Times New Roman" w:cs="Times New Roman"/>
                <w:sz w:val="18"/>
                <w:szCs w:val="18"/>
              </w:rPr>
            </w:pPr>
            <w:r w:rsidRPr="00BC53BF">
              <w:rPr>
                <w:rFonts w:ascii="Times New Roman" w:hAnsi="Times New Roman" w:cs="Times New Roman"/>
                <w:sz w:val="18"/>
                <w:szCs w:val="18"/>
              </w:rPr>
              <w:t xml:space="preserve">Disasters, emerging diseases, and economic volatility pose serious threats to public health security and the ability of health systems to respond to such events. To ensure resilience for combating shocks and sustaining progress, </w:t>
            </w:r>
            <w:r>
              <w:rPr>
                <w:rFonts w:ascii="Times New Roman" w:hAnsi="Times New Roman" w:cs="Times New Roman"/>
                <w:sz w:val="18"/>
                <w:szCs w:val="18"/>
              </w:rPr>
              <w:t>countries</w:t>
            </w:r>
            <w:r w:rsidRPr="00BC53BF">
              <w:rPr>
                <w:rFonts w:ascii="Times New Roman" w:hAnsi="Times New Roman" w:cs="Times New Roman"/>
                <w:sz w:val="18"/>
                <w:szCs w:val="18"/>
              </w:rPr>
              <w:t xml:space="preserve"> need to enhance public health preparedness, develop community capacity for health protection and promotion, and ensure health system adaptability and sustainability</w:t>
            </w:r>
            <w:r>
              <w:rPr>
                <w:rFonts w:ascii="Times New Roman" w:hAnsi="Times New Roman" w:cs="Times New Roman"/>
                <w:sz w:val="18"/>
                <w:szCs w:val="18"/>
              </w:rPr>
              <w:t>.</w:t>
            </w:r>
          </w:p>
        </w:tc>
      </w:tr>
      <w:tr w:rsidR="007C2510" w:rsidRPr="007A28AF" w14:paraId="7CAB8CFC" w14:textId="77777777" w:rsidTr="00B84CA7">
        <w:tc>
          <w:tcPr>
            <w:tcW w:w="895" w:type="dxa"/>
          </w:tcPr>
          <w:p w14:paraId="2F31342A"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5.</w:t>
            </w:r>
          </w:p>
        </w:tc>
        <w:tc>
          <w:tcPr>
            <w:tcW w:w="4410" w:type="dxa"/>
          </w:tcPr>
          <w:p w14:paraId="0DAAEEBA" w14:textId="77777777" w:rsidR="007C2510" w:rsidRPr="00D80248" w:rsidRDefault="007C2510" w:rsidP="00B84CA7">
            <w:pPr>
              <w:spacing w:line="276" w:lineRule="auto"/>
              <w:jc w:val="both"/>
              <w:rPr>
                <w:rFonts w:ascii="Times New Roman" w:hAnsi="Times New Roman" w:cs="Times New Roman"/>
                <w:sz w:val="18"/>
                <w:szCs w:val="18"/>
              </w:rPr>
            </w:pPr>
            <w:r w:rsidRPr="00D80248">
              <w:rPr>
                <w:rFonts w:ascii="Times New Roman" w:hAnsi="Times New Roman" w:cs="Times New Roman"/>
                <w:sz w:val="18"/>
                <w:szCs w:val="18"/>
              </w:rPr>
              <w:t>EQUITY</w:t>
            </w:r>
          </w:p>
        </w:tc>
        <w:tc>
          <w:tcPr>
            <w:tcW w:w="7645" w:type="dxa"/>
          </w:tcPr>
          <w:p w14:paraId="71950346" w14:textId="77777777" w:rsidR="007C2510" w:rsidRPr="00D80248" w:rsidRDefault="007C2510" w:rsidP="00B84CA7">
            <w:pPr>
              <w:spacing w:line="276" w:lineRule="auto"/>
              <w:jc w:val="both"/>
              <w:rPr>
                <w:rFonts w:ascii="Times New Roman" w:hAnsi="Times New Roman" w:cs="Times New Roman"/>
                <w:sz w:val="18"/>
                <w:szCs w:val="18"/>
              </w:rPr>
            </w:pPr>
            <w:r w:rsidRPr="00416382">
              <w:rPr>
                <w:rFonts w:ascii="Times New Roman" w:hAnsi="Times New Roman" w:cs="Times New Roman"/>
                <w:sz w:val="18"/>
                <w:szCs w:val="18"/>
              </w:rPr>
              <w:t>Reducing health inequities is challenging, but necessary to ensure social justice along with improved overall health outcomes.</w:t>
            </w:r>
            <w:r>
              <w:rPr>
                <w:rFonts w:ascii="Times New Roman" w:hAnsi="Times New Roman" w:cs="Times New Roman"/>
                <w:sz w:val="18"/>
                <w:szCs w:val="18"/>
              </w:rPr>
              <w:t xml:space="preserve"> </w:t>
            </w:r>
            <w:r w:rsidRPr="004B0690">
              <w:rPr>
                <w:rFonts w:ascii="Times New Roman" w:hAnsi="Times New Roman" w:cs="Times New Roman"/>
                <w:sz w:val="18"/>
                <w:szCs w:val="18"/>
              </w:rPr>
              <w:t>Key actions to achieve health equity include implementing financial protection mechanisms to reduce any economic barriers to accessing health services, promoting connectivity between health and social protection, ensuring access to quality services by disadvantaged groups, and applying non-discrimination as a broader social policy</w:t>
            </w:r>
            <w:r>
              <w:rPr>
                <w:rFonts w:ascii="Times New Roman" w:hAnsi="Times New Roman" w:cs="Times New Roman"/>
                <w:sz w:val="18"/>
                <w:szCs w:val="18"/>
              </w:rPr>
              <w:t xml:space="preserve"> </w:t>
            </w:r>
            <w:r w:rsidRPr="00D80248">
              <w:rPr>
                <w:rFonts w:ascii="Times New Roman" w:hAnsi="Times New Roman" w:cs="Times New Roman"/>
                <w:sz w:val="18"/>
                <w:szCs w:val="18"/>
              </w:rPr>
              <w:t>(</w:t>
            </w:r>
            <w:r w:rsidRPr="00D80248">
              <w:rPr>
                <w:rFonts w:ascii="Times New Roman" w:hAnsi="Times New Roman" w:cs="Times New Roman"/>
                <w:b/>
                <w:bCs/>
                <w:sz w:val="18"/>
                <w:szCs w:val="18"/>
                <w:u w:val="single"/>
              </w:rPr>
              <w:fldChar w:fldCharType="begin" w:fldLock="1"/>
            </w:r>
            <w:r w:rsidRPr="00D80248">
              <w:rPr>
                <w:rFonts w:ascii="Times New Roman" w:hAnsi="Times New Roman" w:cs="Times New Roman"/>
                <w:b/>
                <w:bCs/>
                <w:sz w:val="18"/>
                <w:szCs w:val="18"/>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Pr="00D80248">
              <w:rPr>
                <w:rFonts w:ascii="Times New Roman" w:hAnsi="Times New Roman" w:cs="Times New Roman"/>
                <w:b/>
                <w:bCs/>
                <w:sz w:val="18"/>
                <w:szCs w:val="18"/>
                <w:u w:val="single"/>
              </w:rPr>
              <w:fldChar w:fldCharType="separate"/>
            </w:r>
            <w:r w:rsidRPr="00D80248">
              <w:rPr>
                <w:rFonts w:ascii="Times New Roman" w:hAnsi="Times New Roman" w:cs="Times New Roman"/>
                <w:bCs/>
                <w:noProof/>
                <w:sz w:val="18"/>
                <w:szCs w:val="18"/>
              </w:rPr>
              <w:t>World Health Organization, 2016)</w:t>
            </w:r>
            <w:r w:rsidRPr="00D80248">
              <w:rPr>
                <w:rFonts w:ascii="Times New Roman" w:hAnsi="Times New Roman" w:cs="Times New Roman"/>
                <w:b/>
                <w:bCs/>
                <w:sz w:val="18"/>
                <w:szCs w:val="18"/>
                <w:u w:val="single"/>
              </w:rPr>
              <w:fldChar w:fldCharType="end"/>
            </w:r>
            <w:r w:rsidRPr="00D80248">
              <w:rPr>
                <w:rFonts w:ascii="Times New Roman" w:hAnsi="Times New Roman" w:cs="Times New Roman"/>
                <w:sz w:val="18"/>
                <w:szCs w:val="18"/>
              </w:rPr>
              <w:t>.</w:t>
            </w:r>
          </w:p>
        </w:tc>
      </w:tr>
    </w:tbl>
    <w:p w14:paraId="5C4CA9CA" w14:textId="77777777" w:rsidR="007C2510" w:rsidRPr="007A28AF" w:rsidRDefault="007C2510" w:rsidP="007C2510">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Source: (</w:t>
      </w:r>
      <w:r w:rsidRPr="007A28AF">
        <w:rPr>
          <w:rFonts w:ascii="Times New Roman" w:hAnsi="Times New Roman" w:cs="Times New Roman"/>
          <w:b/>
          <w:bCs/>
          <w:sz w:val="24"/>
          <w:szCs w:val="24"/>
          <w:u w:val="single"/>
        </w:rPr>
        <w:fldChar w:fldCharType="begin" w:fldLock="1"/>
      </w:r>
      <w:r w:rsidRPr="007A28AF">
        <w:rPr>
          <w:rFonts w:ascii="Times New Roman" w:hAnsi="Times New Roman" w:cs="Times New Roman"/>
          <w:b/>
          <w:bCs/>
          <w:sz w:val="24"/>
          <w:szCs w:val="24"/>
          <w:u w:val="single"/>
        </w:rPr>
        <w:instrText>ADDIN CSL_CITATION {"citationItems":[{"id":"ITEM-1","itemData":{"author":[{"dropping-particle":"","family":"World Health Organization","given":"","non-dropping-particle":"","parse-names":false,"suffix":""}],"id":"ITEM-1","issued":{"date-parts":[["2016"]]},"title":"Universal health coverage: moving towards better health: action framework for the Western Pacific Region.","type":"article-journal"},"uris":["http://www.mendeley.com/documents/?uuid=3e6dabe0-a02c-4f6b-906d-b19aab05a465"]}],"mendeley":{"formattedCitation":"(World Health Organization, 2016)","manualFormatting":"World Health Organization, 2016)","plainTextFormattedCitation":"(World Health Organization, 2016)","previouslyFormattedCitation":"(World Health Organization, 2016)"},"properties":{"noteIndex":0},"schema":"https://github.com/citation-style-language/schema/raw/master/csl-citation.json"}</w:instrText>
      </w:r>
      <w:r w:rsidRPr="007A28AF">
        <w:rPr>
          <w:rFonts w:ascii="Times New Roman" w:hAnsi="Times New Roman" w:cs="Times New Roman"/>
          <w:b/>
          <w:bCs/>
          <w:sz w:val="24"/>
          <w:szCs w:val="24"/>
          <w:u w:val="single"/>
        </w:rPr>
        <w:fldChar w:fldCharType="separate"/>
      </w:r>
      <w:r w:rsidRPr="007A28AF">
        <w:rPr>
          <w:rFonts w:ascii="Times New Roman" w:hAnsi="Times New Roman" w:cs="Times New Roman"/>
          <w:bCs/>
          <w:noProof/>
          <w:sz w:val="24"/>
          <w:szCs w:val="24"/>
        </w:rPr>
        <w:t>World Health Organization, 2016)</w:t>
      </w:r>
      <w:r w:rsidRPr="007A28AF">
        <w:rPr>
          <w:rFonts w:ascii="Times New Roman" w:hAnsi="Times New Roman" w:cs="Times New Roman"/>
          <w:b/>
          <w:bCs/>
          <w:sz w:val="24"/>
          <w:szCs w:val="24"/>
          <w:u w:val="single"/>
        </w:rPr>
        <w:fldChar w:fldCharType="end"/>
      </w:r>
    </w:p>
    <w:p w14:paraId="090D07D9" w14:textId="77777777" w:rsidR="007C2510" w:rsidRDefault="007C2510" w:rsidP="007F3700">
      <w:pPr>
        <w:spacing w:line="480" w:lineRule="auto"/>
        <w:jc w:val="both"/>
        <w:rPr>
          <w:rFonts w:ascii="Times New Roman" w:hAnsi="Times New Roman" w:cs="Times New Roman"/>
          <w:sz w:val="24"/>
          <w:szCs w:val="24"/>
        </w:rPr>
      </w:pPr>
    </w:p>
    <w:p w14:paraId="22A60619" w14:textId="77777777" w:rsidR="007C2510" w:rsidRDefault="007C2510" w:rsidP="007F3700">
      <w:pPr>
        <w:spacing w:line="480" w:lineRule="auto"/>
        <w:jc w:val="both"/>
        <w:rPr>
          <w:rFonts w:ascii="Times New Roman" w:hAnsi="Times New Roman" w:cs="Times New Roman"/>
          <w:sz w:val="24"/>
          <w:szCs w:val="24"/>
        </w:rPr>
      </w:pPr>
    </w:p>
    <w:p w14:paraId="251D799A" w14:textId="77777777" w:rsidR="007C2510" w:rsidRDefault="007C2510" w:rsidP="007F3700">
      <w:pPr>
        <w:spacing w:line="480" w:lineRule="auto"/>
        <w:jc w:val="both"/>
        <w:rPr>
          <w:rFonts w:ascii="Times New Roman" w:hAnsi="Times New Roman" w:cs="Times New Roman"/>
          <w:sz w:val="24"/>
          <w:szCs w:val="24"/>
        </w:rPr>
      </w:pPr>
    </w:p>
    <w:p w14:paraId="76753201" w14:textId="77777777" w:rsidR="007C2510" w:rsidRDefault="007C2510" w:rsidP="007F3700">
      <w:pPr>
        <w:spacing w:line="480" w:lineRule="auto"/>
        <w:jc w:val="both"/>
        <w:rPr>
          <w:rFonts w:ascii="Times New Roman" w:hAnsi="Times New Roman" w:cs="Times New Roman"/>
          <w:sz w:val="24"/>
          <w:szCs w:val="24"/>
        </w:rPr>
      </w:pPr>
    </w:p>
    <w:p w14:paraId="367633B4" w14:textId="77777777" w:rsidR="007C2510" w:rsidRDefault="007C2510" w:rsidP="007F3700">
      <w:pPr>
        <w:spacing w:line="480" w:lineRule="auto"/>
        <w:jc w:val="both"/>
        <w:rPr>
          <w:rFonts w:ascii="Times New Roman" w:hAnsi="Times New Roman" w:cs="Times New Roman"/>
          <w:sz w:val="24"/>
          <w:szCs w:val="24"/>
        </w:rPr>
      </w:pPr>
    </w:p>
    <w:p w14:paraId="12BA2BA0" w14:textId="727D1BD2" w:rsidR="007F3700" w:rsidRPr="007A28AF" w:rsidRDefault="007F3700" w:rsidP="007F3700">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lastRenderedPageBreak/>
        <w:t xml:space="preserve">Table </w:t>
      </w:r>
      <w:r w:rsidR="007C2510">
        <w:rPr>
          <w:rFonts w:ascii="Times New Roman" w:hAnsi="Times New Roman" w:cs="Times New Roman"/>
          <w:sz w:val="24"/>
          <w:szCs w:val="24"/>
        </w:rPr>
        <w:t>3</w:t>
      </w:r>
      <w:r w:rsidRPr="007A28AF">
        <w:rPr>
          <w:rFonts w:ascii="Times New Roman" w:hAnsi="Times New Roman" w:cs="Times New Roman"/>
          <w:sz w:val="24"/>
          <w:szCs w:val="24"/>
        </w:rPr>
        <w:t>. Features of PROGRESS-PLUS</w:t>
      </w:r>
    </w:p>
    <w:tbl>
      <w:tblPr>
        <w:tblStyle w:val="TableGrid"/>
        <w:tblW w:w="0" w:type="auto"/>
        <w:tblLook w:val="04A0" w:firstRow="1" w:lastRow="0" w:firstColumn="1" w:lastColumn="0" w:noHBand="0" w:noVBand="1"/>
      </w:tblPr>
      <w:tblGrid>
        <w:gridCol w:w="551"/>
        <w:gridCol w:w="1604"/>
        <w:gridCol w:w="7195"/>
      </w:tblGrid>
      <w:tr w:rsidR="007F3700" w:rsidRPr="007A28AF" w14:paraId="6A5F01C7" w14:textId="77777777" w:rsidTr="00B84CA7">
        <w:tc>
          <w:tcPr>
            <w:tcW w:w="551" w:type="dxa"/>
          </w:tcPr>
          <w:p w14:paraId="0B2866E7" w14:textId="77777777" w:rsidR="007F3700" w:rsidRPr="00D80248" w:rsidRDefault="007F3700" w:rsidP="00B84CA7">
            <w:pPr>
              <w:spacing w:line="480" w:lineRule="auto"/>
              <w:jc w:val="both"/>
              <w:rPr>
                <w:rFonts w:ascii="Times New Roman" w:hAnsi="Times New Roman" w:cs="Times New Roman"/>
                <w:sz w:val="18"/>
                <w:szCs w:val="18"/>
              </w:rPr>
            </w:pPr>
          </w:p>
        </w:tc>
        <w:tc>
          <w:tcPr>
            <w:tcW w:w="1604" w:type="dxa"/>
          </w:tcPr>
          <w:p w14:paraId="2800743A"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FRAMEWORK</w:t>
            </w:r>
          </w:p>
        </w:tc>
        <w:tc>
          <w:tcPr>
            <w:tcW w:w="7195" w:type="dxa"/>
          </w:tcPr>
          <w:p w14:paraId="34779369"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DESCRIPTION</w:t>
            </w:r>
          </w:p>
        </w:tc>
      </w:tr>
      <w:tr w:rsidR="007F3700" w:rsidRPr="007A28AF" w14:paraId="1560140D" w14:textId="77777777" w:rsidTr="00B84CA7">
        <w:tc>
          <w:tcPr>
            <w:tcW w:w="551" w:type="dxa"/>
          </w:tcPr>
          <w:p w14:paraId="59D418F1"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1.</w:t>
            </w:r>
          </w:p>
        </w:tc>
        <w:tc>
          <w:tcPr>
            <w:tcW w:w="1604" w:type="dxa"/>
          </w:tcPr>
          <w:p w14:paraId="38CDB3BD"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Place of residence</w:t>
            </w:r>
          </w:p>
        </w:tc>
        <w:tc>
          <w:tcPr>
            <w:tcW w:w="7195" w:type="dxa"/>
          </w:tcPr>
          <w:p w14:paraId="46751980"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This includes rural/urban, high-middle-or low-income countries, particular region, town, or community, country/state, housing characteristics.</w:t>
            </w:r>
          </w:p>
        </w:tc>
      </w:tr>
      <w:tr w:rsidR="007F3700" w:rsidRPr="007A28AF" w14:paraId="0811F1F9" w14:textId="77777777" w:rsidTr="00B84CA7">
        <w:tc>
          <w:tcPr>
            <w:tcW w:w="551" w:type="dxa"/>
          </w:tcPr>
          <w:p w14:paraId="21EDF451"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2.</w:t>
            </w:r>
          </w:p>
        </w:tc>
        <w:tc>
          <w:tcPr>
            <w:tcW w:w="1604" w:type="dxa"/>
          </w:tcPr>
          <w:p w14:paraId="40C286BE"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Race, ethnicity, culture, and language</w:t>
            </w:r>
          </w:p>
        </w:tc>
        <w:tc>
          <w:tcPr>
            <w:tcW w:w="7195" w:type="dxa"/>
          </w:tcPr>
          <w:p w14:paraId="01B7ED29"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Differences in health outcomes across different races, ethnic backgrounds, cultures, and languages</w:t>
            </w:r>
          </w:p>
        </w:tc>
      </w:tr>
      <w:tr w:rsidR="007F3700" w:rsidRPr="007A28AF" w14:paraId="1826DC5B" w14:textId="77777777" w:rsidTr="00B84CA7">
        <w:tc>
          <w:tcPr>
            <w:tcW w:w="551" w:type="dxa"/>
          </w:tcPr>
          <w:p w14:paraId="337C9A27"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3.</w:t>
            </w:r>
          </w:p>
        </w:tc>
        <w:tc>
          <w:tcPr>
            <w:tcW w:w="1604" w:type="dxa"/>
          </w:tcPr>
          <w:p w14:paraId="4E329995"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Occupation</w:t>
            </w:r>
          </w:p>
        </w:tc>
        <w:tc>
          <w:tcPr>
            <w:tcW w:w="7195" w:type="dxa"/>
          </w:tcPr>
          <w:p w14:paraId="063AC867"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Unemployed/underemployed, informal/formal workers, unsafe working environments, professional, skilled/unskilled.</w:t>
            </w:r>
          </w:p>
        </w:tc>
      </w:tr>
      <w:tr w:rsidR="007F3700" w:rsidRPr="007A28AF" w14:paraId="43261BA2" w14:textId="77777777" w:rsidTr="00B84CA7">
        <w:tc>
          <w:tcPr>
            <w:tcW w:w="551" w:type="dxa"/>
          </w:tcPr>
          <w:p w14:paraId="25E046BB"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4.</w:t>
            </w:r>
          </w:p>
        </w:tc>
        <w:tc>
          <w:tcPr>
            <w:tcW w:w="1604" w:type="dxa"/>
          </w:tcPr>
          <w:p w14:paraId="28064C33"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Gender/sex</w:t>
            </w:r>
          </w:p>
        </w:tc>
        <w:tc>
          <w:tcPr>
            <w:tcW w:w="7195" w:type="dxa"/>
          </w:tcPr>
          <w:p w14:paraId="14A61952"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Differences in health outcomes between males and females.</w:t>
            </w:r>
          </w:p>
        </w:tc>
      </w:tr>
      <w:tr w:rsidR="007F3700" w:rsidRPr="007A28AF" w14:paraId="4ACBBD6A" w14:textId="77777777" w:rsidTr="00B84CA7">
        <w:tc>
          <w:tcPr>
            <w:tcW w:w="551" w:type="dxa"/>
          </w:tcPr>
          <w:p w14:paraId="27FEDC36"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5.</w:t>
            </w:r>
          </w:p>
        </w:tc>
        <w:tc>
          <w:tcPr>
            <w:tcW w:w="1604" w:type="dxa"/>
          </w:tcPr>
          <w:p w14:paraId="7752CC98"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Religion</w:t>
            </w:r>
          </w:p>
        </w:tc>
        <w:tc>
          <w:tcPr>
            <w:tcW w:w="7195" w:type="dxa"/>
          </w:tcPr>
          <w:p w14:paraId="3E7FE046"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Differences in health outcomes across religious affiliations/backgrounds based on beliefs towards healthcare access etc.</w:t>
            </w:r>
          </w:p>
        </w:tc>
      </w:tr>
      <w:tr w:rsidR="007F3700" w:rsidRPr="007A28AF" w14:paraId="4A06AD4A" w14:textId="77777777" w:rsidTr="00B84CA7">
        <w:tc>
          <w:tcPr>
            <w:tcW w:w="551" w:type="dxa"/>
          </w:tcPr>
          <w:p w14:paraId="052E5923"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6.</w:t>
            </w:r>
          </w:p>
        </w:tc>
        <w:tc>
          <w:tcPr>
            <w:tcW w:w="1604" w:type="dxa"/>
          </w:tcPr>
          <w:p w14:paraId="5E1E4E15"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 xml:space="preserve">Education </w:t>
            </w:r>
          </w:p>
        </w:tc>
        <w:tc>
          <w:tcPr>
            <w:tcW w:w="7195" w:type="dxa"/>
          </w:tcPr>
          <w:p w14:paraId="4BA66893"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Differences in health outcomes stratified by the years in and/or level of education (no education/primary/secondary/tertiary and above) attained, school type.</w:t>
            </w:r>
          </w:p>
        </w:tc>
      </w:tr>
      <w:tr w:rsidR="007F3700" w:rsidRPr="007A28AF" w14:paraId="3A8CBA1D" w14:textId="77777777" w:rsidTr="00B84CA7">
        <w:tc>
          <w:tcPr>
            <w:tcW w:w="551" w:type="dxa"/>
          </w:tcPr>
          <w:p w14:paraId="7D32BA35"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7.</w:t>
            </w:r>
          </w:p>
        </w:tc>
        <w:tc>
          <w:tcPr>
            <w:tcW w:w="1604" w:type="dxa"/>
          </w:tcPr>
          <w:p w14:paraId="1E1E8AA7"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Socioeconomic status (SES)</w:t>
            </w:r>
          </w:p>
        </w:tc>
        <w:tc>
          <w:tcPr>
            <w:tcW w:w="7195" w:type="dxa"/>
          </w:tcPr>
          <w:p w14:paraId="14B9E4D7" w14:textId="47C288C9"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Differences in health outcomes stratified by SES or income quintile (poorest, poorer, middle, richer, and richest), means tested benefits/welfare, affluence measures.</w:t>
            </w:r>
          </w:p>
        </w:tc>
      </w:tr>
      <w:tr w:rsidR="007F3700" w:rsidRPr="007A28AF" w14:paraId="5F944067" w14:textId="77777777" w:rsidTr="00B84CA7">
        <w:tc>
          <w:tcPr>
            <w:tcW w:w="551" w:type="dxa"/>
          </w:tcPr>
          <w:p w14:paraId="43CCB23E"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8.</w:t>
            </w:r>
          </w:p>
        </w:tc>
        <w:tc>
          <w:tcPr>
            <w:tcW w:w="1604" w:type="dxa"/>
          </w:tcPr>
          <w:p w14:paraId="1EDEC7D9"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Social capital</w:t>
            </w:r>
          </w:p>
        </w:tc>
        <w:tc>
          <w:tcPr>
            <w:tcW w:w="7195" w:type="dxa"/>
          </w:tcPr>
          <w:p w14:paraId="63A582B5" w14:textId="77777777" w:rsidR="007F3700" w:rsidRPr="00D80248" w:rsidRDefault="007F3700" w:rsidP="00B84CA7">
            <w:pPr>
              <w:spacing w:line="480" w:lineRule="auto"/>
              <w:jc w:val="both"/>
              <w:rPr>
                <w:rFonts w:ascii="Times New Roman" w:hAnsi="Times New Roman" w:cs="Times New Roman"/>
                <w:sz w:val="18"/>
                <w:szCs w:val="18"/>
              </w:rPr>
            </w:pPr>
            <w:r w:rsidRPr="00D80248">
              <w:rPr>
                <w:rFonts w:ascii="Times New Roman" w:hAnsi="Times New Roman" w:cs="Times New Roman"/>
                <w:sz w:val="18"/>
                <w:szCs w:val="18"/>
              </w:rPr>
              <w:t>Differences in health outcomes stratified by social capital. It includes social relationships and networks, interpersonal trusts between members, civic participation, family support/community/neighborhood.</w:t>
            </w:r>
          </w:p>
        </w:tc>
      </w:tr>
    </w:tbl>
    <w:p w14:paraId="046748D0" w14:textId="2884092E" w:rsidR="00A022C0" w:rsidRDefault="007F3700" w:rsidP="00A022C0">
      <w:pPr>
        <w:spacing w:line="480" w:lineRule="auto"/>
        <w:jc w:val="both"/>
        <w:rPr>
          <w:rFonts w:ascii="Times New Roman" w:hAnsi="Times New Roman" w:cs="Times New Roman"/>
          <w:sz w:val="24"/>
          <w:szCs w:val="24"/>
        </w:rPr>
      </w:pPr>
      <w:r w:rsidRPr="007A28AF">
        <w:rPr>
          <w:rFonts w:ascii="Times New Roman" w:hAnsi="Times New Roman" w:cs="Times New Roman"/>
          <w:sz w:val="24"/>
          <w:szCs w:val="24"/>
        </w:rPr>
        <w:t xml:space="preserve">Source: </w:t>
      </w:r>
      <w:r w:rsidRPr="007A28AF">
        <w:rPr>
          <w:rFonts w:ascii="Times New Roman" w:hAnsi="Times New Roman" w:cs="Times New Roman"/>
          <w:sz w:val="24"/>
          <w:szCs w:val="24"/>
        </w:rPr>
        <w:fldChar w:fldCharType="begin" w:fldLock="1"/>
      </w:r>
      <w:r w:rsidRPr="007A28AF">
        <w:rPr>
          <w:rFonts w:ascii="Times New Roman" w:hAnsi="Times New Roman" w:cs="Times New Roman"/>
          <w:sz w:val="24"/>
          <w:szCs w:val="24"/>
        </w:rPr>
        <w:instrText>ADDIN CSL_CITATION {"citationItems":[{"id":"ITEM-1","itemData":{"DOI":"10.1016/j.jclinepi.2013.08.005","ISSN":"08954356","abstract":"Objectives To assess the utility of an acronym, place of residence, race/ethnicity/culture/language, occupation, gender/sex, religion, education, socioeconomic status, and social capital (\"PROGRESS\"), in identifying factors that stratify health opportunities and outcomes. We explored the value of PROGRESS as an equity lens to assess effects of interventions on health equity. Study Design and Setting We assessed the utility of PROGRESS by using it in 11 systematic reviews and methodological studies published between 2008 and 2013. To develop the justification for each of the PROGRESS elements, we consulted experts to identify examples of unfair differences in disease burden and an intervention that can effectively address these health inequities. Results Each PROGRESS factor can be justified on the basis of unfair differences in disease burden and the potential for interventions to reduce these differential effects. We have not provided a rationale for why the difference exists but have attempted to explain why these differences may contribute to disadvantage and argue for their consideration in new evaluations, systematic reviews, and intervention implementation. Conclusion The acronym PROGRESS is a framework and aide-memoire that is useful in ensuring that an equity lens is applied in the conduct, reporting, and use of research. © 2014 Elsevier Inc. All rights reserved.","author":[{"dropping-particle":"","family":"O'Neill","given":"Jennifer","non-dropping-particle":"","parse-names":false,"suffix":""},{"dropping-particle":"","family":"Tabish","given":"Hilary","non-dropping-particle":"","parse-names":false,"suffix":""},{"dropping-particle":"","family":"Welch","given":"Vivian","non-dropping-particle":"","parse-names":false,"suffix":""},{"dropping-particle":"","family":"Petticrew","given":"Mark","non-dropping-particle":"","parse-names":false,"suffix":""},{"dropping-particle":"","family":"Pottie","given":"Kevin","non-dropping-particle":"","parse-names":false,"suffix":""},{"dropping-particle":"","family":"Clarke","given":"Mike","non-dropping-particle":"","parse-names":false,"suffix":""},{"dropping-particle":"","family":"Evans","given":"Tim","non-dropping-particle":"","parse-names":false,"suffix":""},{"dropping-particle":"","family":"Pardo Pardo","given":"Jordi","non-dropping-particle":"","parse-names":false,"suffix":""},{"dropping-particle":"","family":"Waters","given":"Elizabeth","non-dropping-particle":"","parse-names":false,"suffix":""},{"dropping-particle":"","family":"White","given":"Howard","non-dropping-particle":"","parse-names":false,"suffix":""},{"dropping-particle":"","family":"Tugwell","given":"Peter","non-dropping-particle":"","parse-names":false,"suffix":""}],"container-title":"Journal of Clinical Epidemiology","id":"ITEM-1","issue":"1","issued":{"date-parts":[["2014"]]},"page":"56-64","publisher":"Elsevier Inc","title":"Applying an equity lens to interventions: Using PROGRESS ensures consideration of socially stratifying factors to illuminate inequities in health","type":"article-journal","volume":"67"},"uris":["http://www.mendeley.com/documents/?uuid=98608ffb-ff9a-490f-a80a-15acd12d6600"]}],"mendeley":{"formattedCitation":"(O’Neill et al., 2014)","manualFormatting":"O’Neill et al. (2014)","plainTextFormattedCitation":"(O’Neill et al., 2014)","previouslyFormattedCitation":"(O’Neill et al., 2014)"},"properties":{"noteIndex":0},"schema":"https://github.com/citation-style-language/schema/raw/master/csl-citation.json"}</w:instrText>
      </w:r>
      <w:r w:rsidRPr="007A28AF">
        <w:rPr>
          <w:rFonts w:ascii="Times New Roman" w:hAnsi="Times New Roman" w:cs="Times New Roman"/>
          <w:sz w:val="24"/>
          <w:szCs w:val="24"/>
        </w:rPr>
        <w:fldChar w:fldCharType="separate"/>
      </w:r>
      <w:r w:rsidRPr="007A28AF">
        <w:rPr>
          <w:rFonts w:ascii="Times New Roman" w:hAnsi="Times New Roman" w:cs="Times New Roman"/>
          <w:noProof/>
          <w:sz w:val="24"/>
          <w:szCs w:val="24"/>
        </w:rPr>
        <w:t>O’Neill et al. (2014)</w:t>
      </w:r>
      <w:r w:rsidRPr="007A28AF">
        <w:rPr>
          <w:rFonts w:ascii="Times New Roman" w:hAnsi="Times New Roman" w:cs="Times New Roman"/>
          <w:sz w:val="24"/>
          <w:szCs w:val="24"/>
        </w:rPr>
        <w:fldChar w:fldCharType="end"/>
      </w:r>
      <w:r w:rsidRPr="007A28AF">
        <w:rPr>
          <w:rFonts w:ascii="Times New Roman" w:hAnsi="Times New Roman" w:cs="Times New Roman"/>
          <w:sz w:val="24"/>
          <w:szCs w:val="24"/>
        </w:rPr>
        <w:t xml:space="preserve"> and Author’s.</w:t>
      </w:r>
    </w:p>
    <w:p w14:paraId="6C60DFF5" w14:textId="77777777" w:rsidR="006F31C5" w:rsidRPr="007A28AF" w:rsidRDefault="006F31C5" w:rsidP="00A022C0">
      <w:pPr>
        <w:spacing w:line="480" w:lineRule="auto"/>
        <w:jc w:val="both"/>
        <w:rPr>
          <w:rFonts w:ascii="Times New Roman" w:hAnsi="Times New Roman" w:cs="Times New Roman"/>
          <w:sz w:val="24"/>
          <w:szCs w:val="24"/>
        </w:rPr>
      </w:pPr>
    </w:p>
    <w:p w14:paraId="51EE9DE6" w14:textId="26DE8640" w:rsidR="00773BB6" w:rsidRDefault="00773BB6" w:rsidP="006F31C5">
      <w:pPr>
        <w:spacing w:line="480" w:lineRule="auto"/>
        <w:jc w:val="both"/>
        <w:rPr>
          <w:rFonts w:ascii="Times New Roman" w:hAnsi="Times New Roman" w:cs="Times New Roman"/>
          <w:sz w:val="24"/>
          <w:szCs w:val="24"/>
        </w:rPr>
      </w:pPr>
    </w:p>
    <w:p w14:paraId="41D11FD7" w14:textId="0EBF45BD" w:rsidR="00853D48" w:rsidRDefault="00853D48" w:rsidP="006F31C5">
      <w:pPr>
        <w:spacing w:line="480" w:lineRule="auto"/>
        <w:jc w:val="both"/>
        <w:rPr>
          <w:rFonts w:ascii="Times New Roman" w:hAnsi="Times New Roman" w:cs="Times New Roman"/>
          <w:sz w:val="24"/>
          <w:szCs w:val="24"/>
        </w:rPr>
      </w:pPr>
    </w:p>
    <w:p w14:paraId="5AE313D6" w14:textId="547CF113" w:rsidR="00853D48" w:rsidRDefault="00853D48" w:rsidP="006F31C5">
      <w:pPr>
        <w:spacing w:line="480" w:lineRule="auto"/>
        <w:jc w:val="both"/>
        <w:rPr>
          <w:rFonts w:ascii="Times New Roman" w:hAnsi="Times New Roman" w:cs="Times New Roman"/>
          <w:sz w:val="24"/>
          <w:szCs w:val="24"/>
        </w:rPr>
      </w:pPr>
    </w:p>
    <w:p w14:paraId="58395B2A" w14:textId="2B6B3E5D" w:rsidR="00853D48" w:rsidRDefault="00853D48" w:rsidP="006F31C5">
      <w:pPr>
        <w:spacing w:line="480" w:lineRule="auto"/>
        <w:jc w:val="both"/>
        <w:rPr>
          <w:rFonts w:ascii="Times New Roman" w:hAnsi="Times New Roman" w:cs="Times New Roman"/>
          <w:sz w:val="24"/>
          <w:szCs w:val="24"/>
        </w:rPr>
      </w:pPr>
    </w:p>
    <w:p w14:paraId="4C444309" w14:textId="77777777" w:rsidR="00853D48" w:rsidRDefault="00853D48" w:rsidP="006F31C5">
      <w:pPr>
        <w:spacing w:line="480" w:lineRule="auto"/>
        <w:jc w:val="both"/>
        <w:rPr>
          <w:rFonts w:ascii="Times New Roman" w:hAnsi="Times New Roman" w:cs="Times New Roman"/>
          <w:sz w:val="24"/>
          <w:szCs w:val="24"/>
        </w:rPr>
      </w:pPr>
    </w:p>
    <w:p w14:paraId="265E8160" w14:textId="5B91CA78" w:rsidR="005057A2" w:rsidRDefault="006F31C5" w:rsidP="006F31C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381146">
        <w:rPr>
          <w:rFonts w:ascii="Times New Roman" w:hAnsi="Times New Roman" w:cs="Times New Roman"/>
          <w:sz w:val="24"/>
          <w:szCs w:val="24"/>
        </w:rPr>
        <w:t>1</w:t>
      </w:r>
      <w:r>
        <w:rPr>
          <w:rFonts w:ascii="Times New Roman" w:hAnsi="Times New Roman" w:cs="Times New Roman"/>
          <w:sz w:val="24"/>
          <w:szCs w:val="24"/>
        </w:rPr>
        <w:t xml:space="preserve">: Eco-social for Public Health Action </w:t>
      </w:r>
    </w:p>
    <w:p w14:paraId="516EF399" w14:textId="12961093" w:rsidR="005057A2" w:rsidRDefault="005057A2" w:rsidP="006F31C5">
      <w:pPr>
        <w:spacing w:line="480" w:lineRule="auto"/>
        <w:jc w:val="both"/>
        <w:rPr>
          <w:rFonts w:ascii="Times New Roman" w:hAnsi="Times New Roman" w:cs="Times New Roman"/>
          <w:sz w:val="24"/>
          <w:szCs w:val="24"/>
        </w:rPr>
        <w:sectPr w:rsidR="005057A2" w:rsidSect="00372C93">
          <w:pgSz w:w="12240" w:h="15840"/>
          <w:pgMar w:top="1440" w:right="1440" w:bottom="1440" w:left="1440" w:header="720" w:footer="720" w:gutter="0"/>
          <w:cols w:space="720"/>
          <w:docGrid w:linePitch="360"/>
        </w:sectPr>
      </w:pPr>
      <w:r>
        <w:rPr>
          <w:noProof/>
        </w:rPr>
        <w:drawing>
          <wp:inline distT="0" distB="0" distL="0" distR="0" wp14:anchorId="2206A2EF" wp14:editId="64395D25">
            <wp:extent cx="5981700" cy="3024750"/>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903" cy="3069352"/>
                    </a:xfrm>
                    <a:prstGeom prst="rect">
                      <a:avLst/>
                    </a:prstGeom>
                    <a:noFill/>
                    <a:ln>
                      <a:noFill/>
                    </a:ln>
                  </pic:spPr>
                </pic:pic>
              </a:graphicData>
            </a:graphic>
          </wp:inline>
        </w:drawing>
      </w:r>
    </w:p>
    <w:p w14:paraId="62DB7C3C" w14:textId="4618540A" w:rsidR="00A22C09" w:rsidRPr="00B6227B" w:rsidRDefault="00A22C09" w:rsidP="00A22C09">
      <w:pPr>
        <w:spacing w:line="480" w:lineRule="auto"/>
        <w:jc w:val="both"/>
        <w:rPr>
          <w:rFonts w:ascii="Times New Roman" w:hAnsi="Times New Roman" w:cs="Times New Roman"/>
          <w:sz w:val="24"/>
          <w:szCs w:val="24"/>
        </w:rPr>
      </w:pPr>
      <w:r w:rsidRPr="00B6227B">
        <w:rPr>
          <w:rFonts w:ascii="Times New Roman" w:hAnsi="Times New Roman" w:cs="Times New Roman"/>
          <w:sz w:val="24"/>
          <w:szCs w:val="24"/>
        </w:rPr>
        <w:lastRenderedPageBreak/>
        <w:t xml:space="preserve">Figure </w:t>
      </w:r>
      <w:r w:rsidR="00381146">
        <w:rPr>
          <w:rFonts w:ascii="Times New Roman" w:hAnsi="Times New Roman" w:cs="Times New Roman"/>
          <w:sz w:val="24"/>
          <w:szCs w:val="24"/>
        </w:rPr>
        <w:t>2</w:t>
      </w:r>
      <w:r w:rsidRPr="00B6227B">
        <w:rPr>
          <w:rFonts w:ascii="Times New Roman" w:hAnsi="Times New Roman" w:cs="Times New Roman"/>
          <w:sz w:val="24"/>
          <w:szCs w:val="24"/>
        </w:rPr>
        <w:t>. The Equi-PHIR framework</w:t>
      </w:r>
    </w:p>
    <w:p w14:paraId="1C580840" w14:textId="653F068E" w:rsidR="00025902" w:rsidRPr="006A4146" w:rsidRDefault="00740613" w:rsidP="00F632B7">
      <w:pPr>
        <w:spacing w:line="480" w:lineRule="auto"/>
        <w:jc w:val="both"/>
        <w:rPr>
          <w:rStyle w:val="fontstyle01"/>
          <w:rFonts w:ascii="Times New Roman" w:hAnsi="Times New Roman" w:cs="Times New Roman"/>
          <w:b w:val="0"/>
          <w:bCs w:val="0"/>
          <w:color w:val="auto"/>
          <w:sz w:val="24"/>
          <w:szCs w:val="24"/>
        </w:rPr>
      </w:pPr>
      <w:r>
        <w:rPr>
          <w:noProof/>
        </w:rPr>
        <w:drawing>
          <wp:inline distT="0" distB="0" distL="0" distR="0" wp14:anchorId="1CC2DE0D" wp14:editId="12E69C50">
            <wp:extent cx="8732520" cy="54787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2520" cy="5478780"/>
                    </a:xfrm>
                    <a:prstGeom prst="rect">
                      <a:avLst/>
                    </a:prstGeom>
                    <a:noFill/>
                    <a:ln>
                      <a:noFill/>
                    </a:ln>
                  </pic:spPr>
                </pic:pic>
              </a:graphicData>
            </a:graphic>
          </wp:inline>
        </w:drawing>
      </w:r>
      <w:r w:rsidR="00A22C09" w:rsidRPr="007A28AF">
        <w:rPr>
          <w:rFonts w:ascii="Times New Roman" w:hAnsi="Times New Roman" w:cs="Times New Roman"/>
          <w:noProof/>
          <w:sz w:val="24"/>
          <w:szCs w:val="24"/>
        </w:rPr>
        <w:t xml:space="preserve">     </w:t>
      </w:r>
    </w:p>
    <w:sectPr w:rsidR="00025902" w:rsidRPr="006A4146" w:rsidSect="00372C9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39AB" w14:textId="77777777" w:rsidR="00F76031" w:rsidRDefault="00F76031" w:rsidP="00B916F9">
      <w:pPr>
        <w:spacing w:after="0" w:line="240" w:lineRule="auto"/>
      </w:pPr>
      <w:r>
        <w:separator/>
      </w:r>
    </w:p>
  </w:endnote>
  <w:endnote w:type="continuationSeparator" w:id="0">
    <w:p w14:paraId="34168FA6" w14:textId="77777777" w:rsidR="00F76031" w:rsidRDefault="00F76031" w:rsidP="00B9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Bold">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 w:name="ScalaLancetPro-Italic">
    <w:altName w:val="Cambria"/>
    <w:panose1 w:val="00000000000000000000"/>
    <w:charset w:val="00"/>
    <w:family w:val="roman"/>
    <w:notTrueType/>
    <w:pitch w:val="default"/>
  </w:font>
  <w:font w:name="Shaker2Lancet-Regular">
    <w:altName w:val="Cambria"/>
    <w:panose1 w:val="00000000000000000000"/>
    <w:charset w:val="00"/>
    <w:family w:val="roman"/>
    <w:notTrueType/>
    <w:pitch w:val="default"/>
    <w:sig w:usb0="00000003" w:usb1="00000000" w:usb2="00000000" w:usb3="00000000" w:csb0="00000001" w:csb1="00000000"/>
  </w:font>
  <w:font w:name="AdvTTebabd7da+20">
    <w:altName w:val="Cambria"/>
    <w:panose1 w:val="00000000000000000000"/>
    <w:charset w:val="00"/>
    <w:family w:val="roman"/>
    <w:notTrueType/>
    <w:pitch w:val="default"/>
    <w:sig w:usb0="00000003" w:usb1="00000000" w:usb2="00000000" w:usb3="00000000" w:csb0="00000001" w:csb1="00000000"/>
  </w:font>
  <w:font w:name="AdvTTebabd7d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79482"/>
      <w:docPartObj>
        <w:docPartGallery w:val="Page Numbers (Bottom of Page)"/>
        <w:docPartUnique/>
      </w:docPartObj>
    </w:sdtPr>
    <w:sdtEndPr>
      <w:rPr>
        <w:noProof/>
      </w:rPr>
    </w:sdtEndPr>
    <w:sdtContent>
      <w:p w14:paraId="15BE2D53" w14:textId="3DC05E9B" w:rsidR="001A09B6" w:rsidRDefault="001A09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A5D14" w14:textId="77777777" w:rsidR="001A09B6" w:rsidRDefault="001A0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9517" w14:textId="77777777" w:rsidR="00F76031" w:rsidRDefault="00F76031" w:rsidP="00B916F9">
      <w:pPr>
        <w:spacing w:after="0" w:line="240" w:lineRule="auto"/>
      </w:pPr>
      <w:r>
        <w:separator/>
      </w:r>
    </w:p>
  </w:footnote>
  <w:footnote w:type="continuationSeparator" w:id="0">
    <w:p w14:paraId="75CAB2CF" w14:textId="77777777" w:rsidR="00F76031" w:rsidRDefault="00F76031" w:rsidP="00B916F9">
      <w:pPr>
        <w:spacing w:after="0" w:line="240" w:lineRule="auto"/>
      </w:pPr>
      <w:r>
        <w:continuationSeparator/>
      </w:r>
    </w:p>
  </w:footnote>
  <w:footnote w:id="1">
    <w:p w14:paraId="79C593F7" w14:textId="79241E2A" w:rsidR="004163CF" w:rsidRPr="002E163B" w:rsidRDefault="004163CF" w:rsidP="002E163B">
      <w:pPr>
        <w:pStyle w:val="FootnoteText"/>
        <w:rPr>
          <w:rFonts w:ascii="Times New Roman" w:hAnsi="Times New Roman" w:cs="Times New Roman"/>
        </w:rPr>
      </w:pPr>
      <w:r w:rsidRPr="002E163B">
        <w:rPr>
          <w:rStyle w:val="FootnoteReference"/>
          <w:rFonts w:ascii="Times New Roman" w:hAnsi="Times New Roman" w:cs="Times New Roman"/>
        </w:rPr>
        <w:footnoteRef/>
      </w:r>
      <w:r w:rsidRPr="002E163B">
        <w:rPr>
          <w:rFonts w:ascii="Times New Roman" w:hAnsi="Times New Roman" w:cs="Times New Roman"/>
        </w:rPr>
        <w:t xml:space="preserve"> The term “population health” is less used, and hence “population health research” and “public health research” can be taken to mean the same thing.</w:t>
      </w:r>
    </w:p>
  </w:footnote>
  <w:footnote w:id="2">
    <w:p w14:paraId="229BDE31" w14:textId="29460C94" w:rsidR="007728F1" w:rsidRDefault="007728F1" w:rsidP="00D2266C">
      <w:pPr>
        <w:pStyle w:val="FootnoteText"/>
      </w:pPr>
      <w:r>
        <w:rPr>
          <w:rStyle w:val="FootnoteReference"/>
        </w:rPr>
        <w:footnoteRef/>
      </w:r>
      <w:r>
        <w:t xml:space="preserve"> </w:t>
      </w:r>
      <w:r w:rsidRPr="00D2266C">
        <w:rPr>
          <w:rFonts w:ascii="Times New Roman" w:hAnsi="Times New Roman" w:cs="Times New Roman"/>
        </w:rPr>
        <w:t>This study takes the broader definition of context to include contextual (applying to a whole population) and compositional (varying between individuals within a population) into consideration.</w:t>
      </w:r>
    </w:p>
  </w:footnote>
  <w:footnote w:id="3">
    <w:p w14:paraId="16F09A95" w14:textId="3796A88A" w:rsidR="00497C50" w:rsidRPr="00E503AF" w:rsidRDefault="00497C50" w:rsidP="00E503AF">
      <w:pPr>
        <w:pStyle w:val="FootnoteText"/>
        <w:rPr>
          <w:rFonts w:ascii="Times New Roman" w:hAnsi="Times New Roman" w:cs="Times New Roman"/>
        </w:rPr>
      </w:pPr>
      <w:r w:rsidRPr="00E503AF">
        <w:rPr>
          <w:rStyle w:val="FootnoteReference"/>
          <w:rFonts w:ascii="Times New Roman" w:hAnsi="Times New Roman" w:cs="Times New Roman"/>
        </w:rPr>
        <w:footnoteRef/>
      </w:r>
      <w:r w:rsidRPr="00E503AF">
        <w:rPr>
          <w:rFonts w:ascii="Times New Roman" w:hAnsi="Times New Roman" w:cs="Times New Roman"/>
        </w:rPr>
        <w:t xml:space="preserve"> This is where the government finances an intervention irrespective of who the recipients are.</w:t>
      </w:r>
    </w:p>
  </w:footnote>
  <w:footnote w:id="4">
    <w:p w14:paraId="3355E4C5" w14:textId="7670C821" w:rsidR="00132B9E" w:rsidRPr="00E503AF" w:rsidRDefault="00F81089" w:rsidP="00E503AF">
      <w:pPr>
        <w:spacing w:line="240" w:lineRule="auto"/>
        <w:jc w:val="both"/>
        <w:rPr>
          <w:rFonts w:ascii="Times New Roman" w:hAnsi="Times New Roman" w:cs="Times New Roman"/>
          <w:sz w:val="20"/>
          <w:szCs w:val="20"/>
        </w:rPr>
      </w:pPr>
      <w:r w:rsidRPr="00E503AF">
        <w:rPr>
          <w:rStyle w:val="FootnoteReference"/>
          <w:rFonts w:ascii="Times New Roman" w:hAnsi="Times New Roman" w:cs="Times New Roman"/>
          <w:sz w:val="20"/>
          <w:szCs w:val="20"/>
        </w:rPr>
        <w:footnoteRef/>
      </w:r>
      <w:r w:rsidRPr="00E503AF">
        <w:rPr>
          <w:rFonts w:ascii="Times New Roman" w:hAnsi="Times New Roman" w:cs="Times New Roman"/>
          <w:sz w:val="20"/>
          <w:szCs w:val="20"/>
        </w:rPr>
        <w:t xml:space="preserve"> </w:t>
      </w:r>
      <w:r w:rsidR="00132B9E" w:rsidRPr="00E503AF">
        <w:rPr>
          <w:rFonts w:ascii="Times New Roman" w:hAnsi="Times New Roman" w:cs="Times New Roman"/>
          <w:sz w:val="20"/>
          <w:szCs w:val="20"/>
        </w:rPr>
        <w:t xml:space="preserve">The World Health Organization (WHO) defines “universal health coverage” to mean that all people can access quality health services, without suffering financial hardship associated with paying for care </w:t>
      </w:r>
      <w:r w:rsidR="00072172" w:rsidRPr="00E503AF">
        <w:rPr>
          <w:rFonts w:ascii="Times New Roman" w:hAnsi="Times New Roman" w:cs="Times New Roman"/>
          <w:sz w:val="20"/>
          <w:szCs w:val="20"/>
        </w:rPr>
        <w:fldChar w:fldCharType="begin" w:fldLock="1"/>
      </w:r>
      <w:r w:rsidR="00EE4AF5" w:rsidRPr="00E503AF">
        <w:rPr>
          <w:rFonts w:ascii="Times New Roman" w:hAnsi="Times New Roman" w:cs="Times New Roman"/>
          <w:sz w:val="20"/>
          <w:szCs w:val="20"/>
        </w:rPr>
        <w:instrText>ADDIN CSL_CITATION {"citationItems":[{"id":"ITEM-1","itemData":{"ISBN":"978 92 4 150634 2","ISSN":"9241506342","abstract":"Cellulose triacetate (CTA) membranes for forward osmosis (FO) were fabricated in this study. The fundamental engineering and science of CTA membrane formation were explored by casting the membranes from different solvent systems and characterizing the membranes' morphology using advanced tools such as positron annihilation spectroscopy (PAS). N-Methyl-2-pyrrolidone (NMP) and dioxane were used as the solvents for CTA in the membrane fabrication process. It was found that the choice of solvents for membrane fabrication significantly affects the morphology of as-cast membranes and their FO performance. The CTA membrane cast using NMP as the main solvent has shown poor NaCl rejection but high water flux, whereas the CTA membrane cast using dioxane as the main solvent has excellent NaCl rejection but low water flux. SEM and PAS data reveal that the sublayer of CTA membranes cast from dioxane has a close-cell and much denser structure compared to that cast from NMP. As a result, the former has a significantly lower water flux than the latter in the FO process (5 vs. 27 LMH) using a 2 M NaCl draw solution. Surprisingly, with the addition of acetic acid into the dioxane/acetone solvent system, the resulting membrane has a significantly more porous and open-cell sublayer structure. In addition to the pore forming ability of acetic acid, FTIR spectra confirm the formation of acetic acid/dioxane complexes in the casting solution. Thus, as validated by PAS spectra, the free volume of the active layer of the resultant CTA membranes increases after the addition of acetic acid into the dioxane/acetone casting solution and the water flux increases to 23 LMH using a 2 M NaCl draw solution. Molecular simulations were also conducted to examine CTA polymeric chains in different solvent systems and to witness different CTA chain behaviors in these solvents that leads to significant differences in the as-cast membranes' morphology. (C) 2012 Elsevier B.V. All rights reserved.","author":[{"dropping-particle":"","family":"World Health Organization","given":"","non-dropping-particle":"","parse-names":false,"suffix":""}],"id":"ITEM-1","issued":{"date-parts":[["2013"]]},"page":"39","title":"Arguing for Universal Health Coverage","type":"article-journal"},"uris":["http://www.mendeley.com/documents/?uuid=81594487-fc9d-487f-9cef-989ae34b75a7"]}],"mendeley":{"formattedCitation":"(World Health Organization, 2013)","plainTextFormattedCitation":"(World Health Organization, 2013)","previouslyFormattedCitation":"(World Health Organization, 2013)"},"properties":{"noteIndex":0},"schema":"https://github.com/citation-style-language/schema/raw/master/csl-citation.json"}</w:instrText>
      </w:r>
      <w:r w:rsidR="00072172" w:rsidRPr="00E503AF">
        <w:rPr>
          <w:rFonts w:ascii="Times New Roman" w:hAnsi="Times New Roman" w:cs="Times New Roman"/>
          <w:sz w:val="20"/>
          <w:szCs w:val="20"/>
        </w:rPr>
        <w:fldChar w:fldCharType="separate"/>
      </w:r>
      <w:r w:rsidR="00072172" w:rsidRPr="00E503AF">
        <w:rPr>
          <w:rFonts w:ascii="Times New Roman" w:hAnsi="Times New Roman" w:cs="Times New Roman"/>
          <w:noProof/>
          <w:sz w:val="20"/>
          <w:szCs w:val="20"/>
        </w:rPr>
        <w:t>(World Health Organization, 2013)</w:t>
      </w:r>
      <w:r w:rsidR="00072172" w:rsidRPr="00E503AF">
        <w:rPr>
          <w:rFonts w:ascii="Times New Roman" w:hAnsi="Times New Roman" w:cs="Times New Roman"/>
          <w:sz w:val="20"/>
          <w:szCs w:val="20"/>
        </w:rPr>
        <w:fldChar w:fldCharType="end"/>
      </w:r>
      <w:r w:rsidR="00132B9E" w:rsidRPr="00E503AF">
        <w:rPr>
          <w:rFonts w:ascii="Times New Roman" w:hAnsi="Times New Roman" w:cs="Times New Roman"/>
          <w:sz w:val="20"/>
          <w:szCs w:val="20"/>
        </w:rPr>
        <w:t>.</w:t>
      </w:r>
      <w:r w:rsidR="00831D0F" w:rsidRPr="00E503AF">
        <w:rPr>
          <w:rFonts w:ascii="Times New Roman" w:hAnsi="Times New Roman" w:cs="Times New Roman"/>
          <w:sz w:val="20"/>
          <w:szCs w:val="20"/>
        </w:rPr>
        <w:t xml:space="preserve"> </w:t>
      </w:r>
    </w:p>
    <w:p w14:paraId="4E1C3C64" w14:textId="01362A45" w:rsidR="00F81089" w:rsidRPr="00E503AF" w:rsidRDefault="00F81089" w:rsidP="00E503AF">
      <w:pPr>
        <w:pStyle w:val="FootnoteText"/>
        <w:rPr>
          <w:rFonts w:ascii="Times New Roman" w:hAnsi="Times New Roman" w:cs="Times New Roman"/>
        </w:rPr>
      </w:pPr>
    </w:p>
  </w:footnote>
  <w:footnote w:id="5">
    <w:p w14:paraId="67D1BDD5" w14:textId="50AAA19C" w:rsidR="003032CC" w:rsidRDefault="003032CC">
      <w:pPr>
        <w:pStyle w:val="FootnoteText"/>
      </w:pPr>
      <w:r>
        <w:rPr>
          <w:rStyle w:val="FootnoteReference"/>
        </w:rPr>
        <w:footnoteRef/>
      </w:r>
      <w:r>
        <w:t xml:space="preserve"> </w:t>
      </w:r>
      <w:r w:rsidRPr="007A28AF">
        <w:rPr>
          <w:rFonts w:ascii="Times New Roman" w:hAnsi="Times New Roman" w:cs="Times New Roman"/>
          <w:sz w:val="24"/>
          <w:szCs w:val="24"/>
        </w:rPr>
        <w:t xml:space="preserve">catastrophic health expenditure </w:t>
      </w:r>
      <w:r>
        <w:rPr>
          <w:rFonts w:ascii="Times New Roman" w:hAnsi="Times New Roman" w:cs="Times New Roman"/>
          <w:sz w:val="24"/>
          <w:szCs w:val="24"/>
        </w:rPr>
        <w:t xml:space="preserve">is </w:t>
      </w:r>
      <w:r w:rsidRPr="007A28AF">
        <w:rPr>
          <w:rFonts w:ascii="Times New Roman" w:hAnsi="Times New Roman" w:cs="Times New Roman"/>
          <w:sz w:val="24"/>
          <w:szCs w:val="24"/>
        </w:rPr>
        <w:t>defined as exceeding a certain fraction of total household expenditures</w:t>
      </w:r>
      <w:r w:rsidR="00105BF3">
        <w:rPr>
          <w:rFonts w:ascii="Times New Roman" w:hAnsi="Times New Roman" w:cs="Times New Roman"/>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1CF8"/>
    <w:multiLevelType w:val="multilevel"/>
    <w:tmpl w:val="FE22E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FE22B0"/>
    <w:multiLevelType w:val="hybridMultilevel"/>
    <w:tmpl w:val="895AD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92134"/>
    <w:multiLevelType w:val="hybridMultilevel"/>
    <w:tmpl w:val="E676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F7C67"/>
    <w:multiLevelType w:val="hybridMultilevel"/>
    <w:tmpl w:val="F5148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2MDcxM7Y0NTIzszRT0lEKTi0uzszPAykwrwUAwb6ALSwAAAA="/>
  </w:docVars>
  <w:rsids>
    <w:rsidRoot w:val="005C5078"/>
    <w:rsid w:val="00000E51"/>
    <w:rsid w:val="00001FE1"/>
    <w:rsid w:val="000029F1"/>
    <w:rsid w:val="00002DA3"/>
    <w:rsid w:val="0000389C"/>
    <w:rsid w:val="00005AE7"/>
    <w:rsid w:val="0000724E"/>
    <w:rsid w:val="0000739F"/>
    <w:rsid w:val="00012C39"/>
    <w:rsid w:val="00013817"/>
    <w:rsid w:val="00014539"/>
    <w:rsid w:val="00015529"/>
    <w:rsid w:val="00016028"/>
    <w:rsid w:val="00016049"/>
    <w:rsid w:val="00021EB0"/>
    <w:rsid w:val="000233B9"/>
    <w:rsid w:val="00024117"/>
    <w:rsid w:val="00025902"/>
    <w:rsid w:val="00026299"/>
    <w:rsid w:val="00027420"/>
    <w:rsid w:val="000305CA"/>
    <w:rsid w:val="00032478"/>
    <w:rsid w:val="00033E0B"/>
    <w:rsid w:val="000343C7"/>
    <w:rsid w:val="0003564F"/>
    <w:rsid w:val="00040A87"/>
    <w:rsid w:val="000415C4"/>
    <w:rsid w:val="00041CC9"/>
    <w:rsid w:val="00042BA5"/>
    <w:rsid w:val="0004303A"/>
    <w:rsid w:val="0004368D"/>
    <w:rsid w:val="000444EE"/>
    <w:rsid w:val="00045DE9"/>
    <w:rsid w:val="000462FA"/>
    <w:rsid w:val="000464B5"/>
    <w:rsid w:val="00046F08"/>
    <w:rsid w:val="0005047D"/>
    <w:rsid w:val="00050AB2"/>
    <w:rsid w:val="0005254D"/>
    <w:rsid w:val="00052872"/>
    <w:rsid w:val="00052BDB"/>
    <w:rsid w:val="00052EAF"/>
    <w:rsid w:val="00054928"/>
    <w:rsid w:val="00056157"/>
    <w:rsid w:val="000565AF"/>
    <w:rsid w:val="00056EFB"/>
    <w:rsid w:val="0005765D"/>
    <w:rsid w:val="00062924"/>
    <w:rsid w:val="0006337A"/>
    <w:rsid w:val="00064124"/>
    <w:rsid w:val="00064A43"/>
    <w:rsid w:val="00064C2C"/>
    <w:rsid w:val="000657C0"/>
    <w:rsid w:val="000663E9"/>
    <w:rsid w:val="00071012"/>
    <w:rsid w:val="00072172"/>
    <w:rsid w:val="000725DE"/>
    <w:rsid w:val="00075A5A"/>
    <w:rsid w:val="000761E6"/>
    <w:rsid w:val="000807E0"/>
    <w:rsid w:val="00080C5D"/>
    <w:rsid w:val="00081389"/>
    <w:rsid w:val="0008244A"/>
    <w:rsid w:val="00082827"/>
    <w:rsid w:val="0008536B"/>
    <w:rsid w:val="00085F78"/>
    <w:rsid w:val="0008621A"/>
    <w:rsid w:val="000902BD"/>
    <w:rsid w:val="00091853"/>
    <w:rsid w:val="00095445"/>
    <w:rsid w:val="00096F6F"/>
    <w:rsid w:val="000A2309"/>
    <w:rsid w:val="000A28E1"/>
    <w:rsid w:val="000A3CE8"/>
    <w:rsid w:val="000A5B86"/>
    <w:rsid w:val="000A758C"/>
    <w:rsid w:val="000B00CD"/>
    <w:rsid w:val="000B132D"/>
    <w:rsid w:val="000B36D6"/>
    <w:rsid w:val="000B41A7"/>
    <w:rsid w:val="000B520B"/>
    <w:rsid w:val="000B5214"/>
    <w:rsid w:val="000B577D"/>
    <w:rsid w:val="000B783E"/>
    <w:rsid w:val="000B7D78"/>
    <w:rsid w:val="000C29AA"/>
    <w:rsid w:val="000C5382"/>
    <w:rsid w:val="000C6279"/>
    <w:rsid w:val="000D1699"/>
    <w:rsid w:val="000D1FC0"/>
    <w:rsid w:val="000D3F88"/>
    <w:rsid w:val="000D4637"/>
    <w:rsid w:val="000D477A"/>
    <w:rsid w:val="000D5D11"/>
    <w:rsid w:val="000E00CC"/>
    <w:rsid w:val="000E283E"/>
    <w:rsid w:val="000E360B"/>
    <w:rsid w:val="000E515E"/>
    <w:rsid w:val="000E62E8"/>
    <w:rsid w:val="000E7137"/>
    <w:rsid w:val="000E7D11"/>
    <w:rsid w:val="000E7D68"/>
    <w:rsid w:val="000F2AE9"/>
    <w:rsid w:val="000F329F"/>
    <w:rsid w:val="000F3BD4"/>
    <w:rsid w:val="000F68FE"/>
    <w:rsid w:val="000F6ACE"/>
    <w:rsid w:val="000F76E9"/>
    <w:rsid w:val="0010019F"/>
    <w:rsid w:val="0010244A"/>
    <w:rsid w:val="001027CA"/>
    <w:rsid w:val="0010334A"/>
    <w:rsid w:val="001034FC"/>
    <w:rsid w:val="00104FF5"/>
    <w:rsid w:val="00105BF3"/>
    <w:rsid w:val="00107CBA"/>
    <w:rsid w:val="00110170"/>
    <w:rsid w:val="00110830"/>
    <w:rsid w:val="00112532"/>
    <w:rsid w:val="00117675"/>
    <w:rsid w:val="00117995"/>
    <w:rsid w:val="00120220"/>
    <w:rsid w:val="00120BB8"/>
    <w:rsid w:val="00120E42"/>
    <w:rsid w:val="00121901"/>
    <w:rsid w:val="0012442A"/>
    <w:rsid w:val="00127139"/>
    <w:rsid w:val="00130D07"/>
    <w:rsid w:val="001322FE"/>
    <w:rsid w:val="00132B9E"/>
    <w:rsid w:val="00142332"/>
    <w:rsid w:val="00142702"/>
    <w:rsid w:val="00143B7E"/>
    <w:rsid w:val="00146524"/>
    <w:rsid w:val="00146B09"/>
    <w:rsid w:val="00146FA7"/>
    <w:rsid w:val="00147D04"/>
    <w:rsid w:val="0015008F"/>
    <w:rsid w:val="00150AC0"/>
    <w:rsid w:val="00151949"/>
    <w:rsid w:val="00151C5B"/>
    <w:rsid w:val="001520FF"/>
    <w:rsid w:val="00152AFA"/>
    <w:rsid w:val="0015404B"/>
    <w:rsid w:val="001562B6"/>
    <w:rsid w:val="00160298"/>
    <w:rsid w:val="001603E9"/>
    <w:rsid w:val="00161536"/>
    <w:rsid w:val="00163230"/>
    <w:rsid w:val="001660FD"/>
    <w:rsid w:val="001703AB"/>
    <w:rsid w:val="00170CD9"/>
    <w:rsid w:val="001716E5"/>
    <w:rsid w:val="00174EEF"/>
    <w:rsid w:val="00175CEC"/>
    <w:rsid w:val="00175EB7"/>
    <w:rsid w:val="001769F0"/>
    <w:rsid w:val="00176AE4"/>
    <w:rsid w:val="001804A0"/>
    <w:rsid w:val="00182428"/>
    <w:rsid w:val="00185336"/>
    <w:rsid w:val="0018618E"/>
    <w:rsid w:val="00192524"/>
    <w:rsid w:val="00195D9A"/>
    <w:rsid w:val="001977FC"/>
    <w:rsid w:val="001A09B6"/>
    <w:rsid w:val="001A553E"/>
    <w:rsid w:val="001A62DC"/>
    <w:rsid w:val="001A769A"/>
    <w:rsid w:val="001B00AB"/>
    <w:rsid w:val="001B2E4C"/>
    <w:rsid w:val="001B39E2"/>
    <w:rsid w:val="001C0040"/>
    <w:rsid w:val="001C014E"/>
    <w:rsid w:val="001C0929"/>
    <w:rsid w:val="001C1108"/>
    <w:rsid w:val="001C43BB"/>
    <w:rsid w:val="001C57E2"/>
    <w:rsid w:val="001D1879"/>
    <w:rsid w:val="001D2E22"/>
    <w:rsid w:val="001D3490"/>
    <w:rsid w:val="001D4B30"/>
    <w:rsid w:val="001D7C9A"/>
    <w:rsid w:val="001E3415"/>
    <w:rsid w:val="001E5E8B"/>
    <w:rsid w:val="001E673B"/>
    <w:rsid w:val="001F0025"/>
    <w:rsid w:val="001F12EF"/>
    <w:rsid w:val="001F5B56"/>
    <w:rsid w:val="001F709A"/>
    <w:rsid w:val="0020235B"/>
    <w:rsid w:val="002043FD"/>
    <w:rsid w:val="002049AE"/>
    <w:rsid w:val="00204B7A"/>
    <w:rsid w:val="00210C58"/>
    <w:rsid w:val="00211ADA"/>
    <w:rsid w:val="00214DF6"/>
    <w:rsid w:val="00215A9E"/>
    <w:rsid w:val="00220716"/>
    <w:rsid w:val="00224927"/>
    <w:rsid w:val="00234F9C"/>
    <w:rsid w:val="002355F1"/>
    <w:rsid w:val="00235774"/>
    <w:rsid w:val="0023642B"/>
    <w:rsid w:val="002400A9"/>
    <w:rsid w:val="00241CAC"/>
    <w:rsid w:val="00242661"/>
    <w:rsid w:val="0024416C"/>
    <w:rsid w:val="00246604"/>
    <w:rsid w:val="0024663C"/>
    <w:rsid w:val="00246B2F"/>
    <w:rsid w:val="0024735E"/>
    <w:rsid w:val="0025118E"/>
    <w:rsid w:val="0025366E"/>
    <w:rsid w:val="00253722"/>
    <w:rsid w:val="0025389C"/>
    <w:rsid w:val="0025465C"/>
    <w:rsid w:val="00256AD5"/>
    <w:rsid w:val="002570F2"/>
    <w:rsid w:val="00257560"/>
    <w:rsid w:val="0026044A"/>
    <w:rsid w:val="00260E7D"/>
    <w:rsid w:val="0026186E"/>
    <w:rsid w:val="00262AF6"/>
    <w:rsid w:val="00266E6B"/>
    <w:rsid w:val="002700EB"/>
    <w:rsid w:val="00271E27"/>
    <w:rsid w:val="00274677"/>
    <w:rsid w:val="00280946"/>
    <w:rsid w:val="00280C6E"/>
    <w:rsid w:val="0028246F"/>
    <w:rsid w:val="002854B9"/>
    <w:rsid w:val="0028617F"/>
    <w:rsid w:val="00286926"/>
    <w:rsid w:val="00286A8A"/>
    <w:rsid w:val="00287C08"/>
    <w:rsid w:val="00290B0A"/>
    <w:rsid w:val="00292D65"/>
    <w:rsid w:val="00293687"/>
    <w:rsid w:val="00295227"/>
    <w:rsid w:val="00296222"/>
    <w:rsid w:val="002A0697"/>
    <w:rsid w:val="002A138E"/>
    <w:rsid w:val="002A1D38"/>
    <w:rsid w:val="002A2BE2"/>
    <w:rsid w:val="002A7C88"/>
    <w:rsid w:val="002A7F42"/>
    <w:rsid w:val="002B117F"/>
    <w:rsid w:val="002B17E3"/>
    <w:rsid w:val="002B1A20"/>
    <w:rsid w:val="002B2F31"/>
    <w:rsid w:val="002B3435"/>
    <w:rsid w:val="002B34ED"/>
    <w:rsid w:val="002B4733"/>
    <w:rsid w:val="002B485F"/>
    <w:rsid w:val="002B7581"/>
    <w:rsid w:val="002B77D0"/>
    <w:rsid w:val="002B78E7"/>
    <w:rsid w:val="002C22A9"/>
    <w:rsid w:val="002C5311"/>
    <w:rsid w:val="002C7224"/>
    <w:rsid w:val="002D2753"/>
    <w:rsid w:val="002D3216"/>
    <w:rsid w:val="002D4B26"/>
    <w:rsid w:val="002D7AB5"/>
    <w:rsid w:val="002E163B"/>
    <w:rsid w:val="002E23C0"/>
    <w:rsid w:val="002E28AA"/>
    <w:rsid w:val="002E28BA"/>
    <w:rsid w:val="002E3A31"/>
    <w:rsid w:val="002F01BC"/>
    <w:rsid w:val="002F124E"/>
    <w:rsid w:val="002F3559"/>
    <w:rsid w:val="002F5560"/>
    <w:rsid w:val="002F77A8"/>
    <w:rsid w:val="002F7D37"/>
    <w:rsid w:val="0030007A"/>
    <w:rsid w:val="003018AB"/>
    <w:rsid w:val="003032CC"/>
    <w:rsid w:val="003046D6"/>
    <w:rsid w:val="003048B3"/>
    <w:rsid w:val="003125EB"/>
    <w:rsid w:val="00312E3E"/>
    <w:rsid w:val="00316087"/>
    <w:rsid w:val="003160F0"/>
    <w:rsid w:val="00316F2C"/>
    <w:rsid w:val="00317111"/>
    <w:rsid w:val="003221C4"/>
    <w:rsid w:val="00323840"/>
    <w:rsid w:val="00323990"/>
    <w:rsid w:val="003260CA"/>
    <w:rsid w:val="00326E43"/>
    <w:rsid w:val="00327BC1"/>
    <w:rsid w:val="00327C02"/>
    <w:rsid w:val="003304B4"/>
    <w:rsid w:val="00331FD2"/>
    <w:rsid w:val="0033204F"/>
    <w:rsid w:val="003321B2"/>
    <w:rsid w:val="003325AA"/>
    <w:rsid w:val="00333061"/>
    <w:rsid w:val="00334D15"/>
    <w:rsid w:val="00334DF4"/>
    <w:rsid w:val="003357B9"/>
    <w:rsid w:val="003365AB"/>
    <w:rsid w:val="003369BD"/>
    <w:rsid w:val="00336FF8"/>
    <w:rsid w:val="00340065"/>
    <w:rsid w:val="00340802"/>
    <w:rsid w:val="003408E3"/>
    <w:rsid w:val="00341E02"/>
    <w:rsid w:val="00343258"/>
    <w:rsid w:val="00343B06"/>
    <w:rsid w:val="0034518D"/>
    <w:rsid w:val="00345FDA"/>
    <w:rsid w:val="00346875"/>
    <w:rsid w:val="003501EA"/>
    <w:rsid w:val="00350CC6"/>
    <w:rsid w:val="003510CC"/>
    <w:rsid w:val="00356359"/>
    <w:rsid w:val="00356840"/>
    <w:rsid w:val="003622D3"/>
    <w:rsid w:val="00362D51"/>
    <w:rsid w:val="00363D89"/>
    <w:rsid w:val="00363FF9"/>
    <w:rsid w:val="00367B36"/>
    <w:rsid w:val="00371A89"/>
    <w:rsid w:val="00372C93"/>
    <w:rsid w:val="00373DFC"/>
    <w:rsid w:val="0037438F"/>
    <w:rsid w:val="00374D33"/>
    <w:rsid w:val="00375477"/>
    <w:rsid w:val="0037725D"/>
    <w:rsid w:val="0038020C"/>
    <w:rsid w:val="00381039"/>
    <w:rsid w:val="00381146"/>
    <w:rsid w:val="003835CA"/>
    <w:rsid w:val="00383F87"/>
    <w:rsid w:val="003863CB"/>
    <w:rsid w:val="00391135"/>
    <w:rsid w:val="00392DEE"/>
    <w:rsid w:val="003953F5"/>
    <w:rsid w:val="00396947"/>
    <w:rsid w:val="003A0C56"/>
    <w:rsid w:val="003A4470"/>
    <w:rsid w:val="003A7BE9"/>
    <w:rsid w:val="003A7C82"/>
    <w:rsid w:val="003A7FA3"/>
    <w:rsid w:val="003B0523"/>
    <w:rsid w:val="003B09E2"/>
    <w:rsid w:val="003B1909"/>
    <w:rsid w:val="003B2B2E"/>
    <w:rsid w:val="003B2EE8"/>
    <w:rsid w:val="003B300B"/>
    <w:rsid w:val="003B3347"/>
    <w:rsid w:val="003B4B64"/>
    <w:rsid w:val="003B4FCD"/>
    <w:rsid w:val="003B5079"/>
    <w:rsid w:val="003B706B"/>
    <w:rsid w:val="003C04D7"/>
    <w:rsid w:val="003C0759"/>
    <w:rsid w:val="003C0AEA"/>
    <w:rsid w:val="003C19EA"/>
    <w:rsid w:val="003C451F"/>
    <w:rsid w:val="003D006F"/>
    <w:rsid w:val="003D3DBE"/>
    <w:rsid w:val="003D55A1"/>
    <w:rsid w:val="003D5DF7"/>
    <w:rsid w:val="003D6DE8"/>
    <w:rsid w:val="003E0DDC"/>
    <w:rsid w:val="003E1FDA"/>
    <w:rsid w:val="003E4418"/>
    <w:rsid w:val="003E568F"/>
    <w:rsid w:val="003E6473"/>
    <w:rsid w:val="003E725B"/>
    <w:rsid w:val="003E74D8"/>
    <w:rsid w:val="003F02C0"/>
    <w:rsid w:val="003F0CC6"/>
    <w:rsid w:val="003F11E0"/>
    <w:rsid w:val="003F17DB"/>
    <w:rsid w:val="003F29D2"/>
    <w:rsid w:val="003F5019"/>
    <w:rsid w:val="003F7429"/>
    <w:rsid w:val="00401511"/>
    <w:rsid w:val="004024EE"/>
    <w:rsid w:val="00402BB8"/>
    <w:rsid w:val="0040430D"/>
    <w:rsid w:val="00404699"/>
    <w:rsid w:val="004047B4"/>
    <w:rsid w:val="00405E3A"/>
    <w:rsid w:val="004060A2"/>
    <w:rsid w:val="00406880"/>
    <w:rsid w:val="00406FEB"/>
    <w:rsid w:val="00407FA3"/>
    <w:rsid w:val="00412432"/>
    <w:rsid w:val="004127CB"/>
    <w:rsid w:val="00413063"/>
    <w:rsid w:val="004137A3"/>
    <w:rsid w:val="00414A1C"/>
    <w:rsid w:val="00414D49"/>
    <w:rsid w:val="004158CE"/>
    <w:rsid w:val="00416382"/>
    <w:rsid w:val="004163CF"/>
    <w:rsid w:val="004204D8"/>
    <w:rsid w:val="004213D9"/>
    <w:rsid w:val="00422EEB"/>
    <w:rsid w:val="00423016"/>
    <w:rsid w:val="00423399"/>
    <w:rsid w:val="00425134"/>
    <w:rsid w:val="00426A83"/>
    <w:rsid w:val="0043233A"/>
    <w:rsid w:val="004324C6"/>
    <w:rsid w:val="00432F22"/>
    <w:rsid w:val="00435703"/>
    <w:rsid w:val="00435CC3"/>
    <w:rsid w:val="00435FE0"/>
    <w:rsid w:val="00436D47"/>
    <w:rsid w:val="00437890"/>
    <w:rsid w:val="0044366F"/>
    <w:rsid w:val="004441CF"/>
    <w:rsid w:val="00452132"/>
    <w:rsid w:val="004522CC"/>
    <w:rsid w:val="004528A3"/>
    <w:rsid w:val="00452BF0"/>
    <w:rsid w:val="004545C2"/>
    <w:rsid w:val="00455D4C"/>
    <w:rsid w:val="00456607"/>
    <w:rsid w:val="00457FC7"/>
    <w:rsid w:val="00460A95"/>
    <w:rsid w:val="00466F21"/>
    <w:rsid w:val="00470823"/>
    <w:rsid w:val="0047113A"/>
    <w:rsid w:val="0047152C"/>
    <w:rsid w:val="0047215F"/>
    <w:rsid w:val="00472B1D"/>
    <w:rsid w:val="00472D7A"/>
    <w:rsid w:val="00473092"/>
    <w:rsid w:val="0047315F"/>
    <w:rsid w:val="00473555"/>
    <w:rsid w:val="0047423B"/>
    <w:rsid w:val="00476198"/>
    <w:rsid w:val="0047690F"/>
    <w:rsid w:val="00476AD4"/>
    <w:rsid w:val="00476C23"/>
    <w:rsid w:val="00480E28"/>
    <w:rsid w:val="0048102A"/>
    <w:rsid w:val="00481B3B"/>
    <w:rsid w:val="00482932"/>
    <w:rsid w:val="004832D3"/>
    <w:rsid w:val="00483768"/>
    <w:rsid w:val="00484AB1"/>
    <w:rsid w:val="00493E53"/>
    <w:rsid w:val="0049466E"/>
    <w:rsid w:val="00496CA7"/>
    <w:rsid w:val="004974D1"/>
    <w:rsid w:val="004979DE"/>
    <w:rsid w:val="00497C50"/>
    <w:rsid w:val="004A1B10"/>
    <w:rsid w:val="004A2322"/>
    <w:rsid w:val="004A3C0E"/>
    <w:rsid w:val="004A54AF"/>
    <w:rsid w:val="004A5B3B"/>
    <w:rsid w:val="004A5C04"/>
    <w:rsid w:val="004A5D6A"/>
    <w:rsid w:val="004A61F4"/>
    <w:rsid w:val="004A72EA"/>
    <w:rsid w:val="004B0690"/>
    <w:rsid w:val="004B17F5"/>
    <w:rsid w:val="004B3A53"/>
    <w:rsid w:val="004B3F4F"/>
    <w:rsid w:val="004B51D6"/>
    <w:rsid w:val="004B6305"/>
    <w:rsid w:val="004B7D78"/>
    <w:rsid w:val="004C07CA"/>
    <w:rsid w:val="004C2FA5"/>
    <w:rsid w:val="004C32B2"/>
    <w:rsid w:val="004C5D48"/>
    <w:rsid w:val="004C6432"/>
    <w:rsid w:val="004C7148"/>
    <w:rsid w:val="004D0387"/>
    <w:rsid w:val="004D23ED"/>
    <w:rsid w:val="004D2490"/>
    <w:rsid w:val="004D2B84"/>
    <w:rsid w:val="004D329E"/>
    <w:rsid w:val="004D401C"/>
    <w:rsid w:val="004D4A1B"/>
    <w:rsid w:val="004D7A47"/>
    <w:rsid w:val="004E0B77"/>
    <w:rsid w:val="004E25E4"/>
    <w:rsid w:val="004E3EF4"/>
    <w:rsid w:val="004E4D40"/>
    <w:rsid w:val="004E600E"/>
    <w:rsid w:val="004E6595"/>
    <w:rsid w:val="004E7A3A"/>
    <w:rsid w:val="004F37E9"/>
    <w:rsid w:val="004F46A6"/>
    <w:rsid w:val="004F663D"/>
    <w:rsid w:val="004F6C8C"/>
    <w:rsid w:val="00501E46"/>
    <w:rsid w:val="00502AA2"/>
    <w:rsid w:val="00502AD7"/>
    <w:rsid w:val="00502D93"/>
    <w:rsid w:val="0050365E"/>
    <w:rsid w:val="005038ED"/>
    <w:rsid w:val="00504413"/>
    <w:rsid w:val="00504AA6"/>
    <w:rsid w:val="00505210"/>
    <w:rsid w:val="005057A2"/>
    <w:rsid w:val="00505D94"/>
    <w:rsid w:val="005072A6"/>
    <w:rsid w:val="0051162F"/>
    <w:rsid w:val="00512570"/>
    <w:rsid w:val="00513263"/>
    <w:rsid w:val="00514581"/>
    <w:rsid w:val="00514592"/>
    <w:rsid w:val="00514BEA"/>
    <w:rsid w:val="005151AD"/>
    <w:rsid w:val="005170EE"/>
    <w:rsid w:val="005228D6"/>
    <w:rsid w:val="0052636C"/>
    <w:rsid w:val="00531F43"/>
    <w:rsid w:val="00534FD4"/>
    <w:rsid w:val="005353DD"/>
    <w:rsid w:val="00536054"/>
    <w:rsid w:val="00540DD5"/>
    <w:rsid w:val="00542816"/>
    <w:rsid w:val="0054386B"/>
    <w:rsid w:val="00545149"/>
    <w:rsid w:val="005478A6"/>
    <w:rsid w:val="00550785"/>
    <w:rsid w:val="0055287C"/>
    <w:rsid w:val="00555D27"/>
    <w:rsid w:val="00561F23"/>
    <w:rsid w:val="0056213C"/>
    <w:rsid w:val="0056603C"/>
    <w:rsid w:val="005710EC"/>
    <w:rsid w:val="00572868"/>
    <w:rsid w:val="00573120"/>
    <w:rsid w:val="0057344C"/>
    <w:rsid w:val="00573A53"/>
    <w:rsid w:val="005743BA"/>
    <w:rsid w:val="00580310"/>
    <w:rsid w:val="00581F73"/>
    <w:rsid w:val="00582C57"/>
    <w:rsid w:val="005860C5"/>
    <w:rsid w:val="00587BA3"/>
    <w:rsid w:val="00591420"/>
    <w:rsid w:val="00591A5F"/>
    <w:rsid w:val="00591B2F"/>
    <w:rsid w:val="00591C4F"/>
    <w:rsid w:val="005A0969"/>
    <w:rsid w:val="005A0DFE"/>
    <w:rsid w:val="005A1E88"/>
    <w:rsid w:val="005A2DE2"/>
    <w:rsid w:val="005A3517"/>
    <w:rsid w:val="005A45A7"/>
    <w:rsid w:val="005A4891"/>
    <w:rsid w:val="005A7D1D"/>
    <w:rsid w:val="005B0451"/>
    <w:rsid w:val="005B0D26"/>
    <w:rsid w:val="005B0DB4"/>
    <w:rsid w:val="005B1104"/>
    <w:rsid w:val="005B1660"/>
    <w:rsid w:val="005B1B8E"/>
    <w:rsid w:val="005B270F"/>
    <w:rsid w:val="005B275B"/>
    <w:rsid w:val="005B2F65"/>
    <w:rsid w:val="005B35C7"/>
    <w:rsid w:val="005B5DC2"/>
    <w:rsid w:val="005B7706"/>
    <w:rsid w:val="005C0E5D"/>
    <w:rsid w:val="005C1D89"/>
    <w:rsid w:val="005C22CF"/>
    <w:rsid w:val="005C2648"/>
    <w:rsid w:val="005C2C1B"/>
    <w:rsid w:val="005C3742"/>
    <w:rsid w:val="005C5078"/>
    <w:rsid w:val="005C5430"/>
    <w:rsid w:val="005C67F0"/>
    <w:rsid w:val="005C6B40"/>
    <w:rsid w:val="005D075E"/>
    <w:rsid w:val="005D259A"/>
    <w:rsid w:val="005D68BC"/>
    <w:rsid w:val="005D709B"/>
    <w:rsid w:val="005E00A6"/>
    <w:rsid w:val="005E23C3"/>
    <w:rsid w:val="005E2A35"/>
    <w:rsid w:val="005E394D"/>
    <w:rsid w:val="005E50CF"/>
    <w:rsid w:val="005F038D"/>
    <w:rsid w:val="005F0A0B"/>
    <w:rsid w:val="005F0B3F"/>
    <w:rsid w:val="005F134E"/>
    <w:rsid w:val="005F1D00"/>
    <w:rsid w:val="005F25AC"/>
    <w:rsid w:val="005F3D8A"/>
    <w:rsid w:val="005F5CFB"/>
    <w:rsid w:val="005F5E5A"/>
    <w:rsid w:val="005F6AD6"/>
    <w:rsid w:val="005F7C43"/>
    <w:rsid w:val="00600505"/>
    <w:rsid w:val="00600572"/>
    <w:rsid w:val="0060399A"/>
    <w:rsid w:val="006061BF"/>
    <w:rsid w:val="00610352"/>
    <w:rsid w:val="006109D9"/>
    <w:rsid w:val="006109F7"/>
    <w:rsid w:val="006122BA"/>
    <w:rsid w:val="006125E0"/>
    <w:rsid w:val="00612DA2"/>
    <w:rsid w:val="006156DD"/>
    <w:rsid w:val="00615B92"/>
    <w:rsid w:val="00617271"/>
    <w:rsid w:val="00617F49"/>
    <w:rsid w:val="00617F55"/>
    <w:rsid w:val="00622568"/>
    <w:rsid w:val="00622A20"/>
    <w:rsid w:val="00623CD3"/>
    <w:rsid w:val="0062416B"/>
    <w:rsid w:val="006241FA"/>
    <w:rsid w:val="00624A3C"/>
    <w:rsid w:val="00624BED"/>
    <w:rsid w:val="00624C98"/>
    <w:rsid w:val="00626B48"/>
    <w:rsid w:val="0062783B"/>
    <w:rsid w:val="006278B3"/>
    <w:rsid w:val="006307E0"/>
    <w:rsid w:val="006327BD"/>
    <w:rsid w:val="00633072"/>
    <w:rsid w:val="00635BB4"/>
    <w:rsid w:val="00636E2D"/>
    <w:rsid w:val="00637430"/>
    <w:rsid w:val="0063769A"/>
    <w:rsid w:val="006412DA"/>
    <w:rsid w:val="00641632"/>
    <w:rsid w:val="0064218A"/>
    <w:rsid w:val="0064251E"/>
    <w:rsid w:val="0064346B"/>
    <w:rsid w:val="0064374B"/>
    <w:rsid w:val="006453C4"/>
    <w:rsid w:val="0064541D"/>
    <w:rsid w:val="00645720"/>
    <w:rsid w:val="0064676D"/>
    <w:rsid w:val="00647B11"/>
    <w:rsid w:val="00650350"/>
    <w:rsid w:val="006516B9"/>
    <w:rsid w:val="0065323B"/>
    <w:rsid w:val="00653524"/>
    <w:rsid w:val="0065367B"/>
    <w:rsid w:val="00654339"/>
    <w:rsid w:val="00654D6C"/>
    <w:rsid w:val="00655E25"/>
    <w:rsid w:val="006560BB"/>
    <w:rsid w:val="006563CB"/>
    <w:rsid w:val="00656BA1"/>
    <w:rsid w:val="006579DF"/>
    <w:rsid w:val="00660294"/>
    <w:rsid w:val="00662D44"/>
    <w:rsid w:val="00665009"/>
    <w:rsid w:val="00667CEA"/>
    <w:rsid w:val="00667F72"/>
    <w:rsid w:val="00671305"/>
    <w:rsid w:val="00671ECF"/>
    <w:rsid w:val="0067463C"/>
    <w:rsid w:val="00674897"/>
    <w:rsid w:val="0067493F"/>
    <w:rsid w:val="00674ED5"/>
    <w:rsid w:val="00675759"/>
    <w:rsid w:val="006766BF"/>
    <w:rsid w:val="00676E29"/>
    <w:rsid w:val="0067710A"/>
    <w:rsid w:val="006777B2"/>
    <w:rsid w:val="006806F3"/>
    <w:rsid w:val="006812CE"/>
    <w:rsid w:val="0068335A"/>
    <w:rsid w:val="006836B7"/>
    <w:rsid w:val="006841CB"/>
    <w:rsid w:val="00685AB3"/>
    <w:rsid w:val="0068735E"/>
    <w:rsid w:val="00687B2F"/>
    <w:rsid w:val="00691D08"/>
    <w:rsid w:val="00692976"/>
    <w:rsid w:val="00692C38"/>
    <w:rsid w:val="00692E1F"/>
    <w:rsid w:val="00692E27"/>
    <w:rsid w:val="006933F3"/>
    <w:rsid w:val="00693DFE"/>
    <w:rsid w:val="00695491"/>
    <w:rsid w:val="00695563"/>
    <w:rsid w:val="006A1031"/>
    <w:rsid w:val="006A4146"/>
    <w:rsid w:val="006A4661"/>
    <w:rsid w:val="006A6BEE"/>
    <w:rsid w:val="006B1D9D"/>
    <w:rsid w:val="006B27BA"/>
    <w:rsid w:val="006B2A4E"/>
    <w:rsid w:val="006B62CE"/>
    <w:rsid w:val="006B65B6"/>
    <w:rsid w:val="006B6D7C"/>
    <w:rsid w:val="006B757C"/>
    <w:rsid w:val="006B7B1A"/>
    <w:rsid w:val="006C07E2"/>
    <w:rsid w:val="006C16AC"/>
    <w:rsid w:val="006C1D78"/>
    <w:rsid w:val="006C26C8"/>
    <w:rsid w:val="006C2836"/>
    <w:rsid w:val="006C37F4"/>
    <w:rsid w:val="006C6359"/>
    <w:rsid w:val="006D37A1"/>
    <w:rsid w:val="006D77A7"/>
    <w:rsid w:val="006D7920"/>
    <w:rsid w:val="006E0150"/>
    <w:rsid w:val="006E0FAC"/>
    <w:rsid w:val="006E187A"/>
    <w:rsid w:val="006E25EA"/>
    <w:rsid w:val="006E3082"/>
    <w:rsid w:val="006E3444"/>
    <w:rsid w:val="006E4728"/>
    <w:rsid w:val="006E47E7"/>
    <w:rsid w:val="006E48F4"/>
    <w:rsid w:val="006E4D69"/>
    <w:rsid w:val="006E4E8F"/>
    <w:rsid w:val="006E5994"/>
    <w:rsid w:val="006F1259"/>
    <w:rsid w:val="006F19F9"/>
    <w:rsid w:val="006F1A46"/>
    <w:rsid w:val="006F281E"/>
    <w:rsid w:val="006F31C5"/>
    <w:rsid w:val="006F41FF"/>
    <w:rsid w:val="006F6577"/>
    <w:rsid w:val="006F7EA8"/>
    <w:rsid w:val="0070066E"/>
    <w:rsid w:val="00700C9C"/>
    <w:rsid w:val="00702E16"/>
    <w:rsid w:val="007048AE"/>
    <w:rsid w:val="00705D73"/>
    <w:rsid w:val="007069C2"/>
    <w:rsid w:val="00710D83"/>
    <w:rsid w:val="00721517"/>
    <w:rsid w:val="00722962"/>
    <w:rsid w:val="00725FCD"/>
    <w:rsid w:val="00726023"/>
    <w:rsid w:val="00731285"/>
    <w:rsid w:val="00731E5E"/>
    <w:rsid w:val="00733574"/>
    <w:rsid w:val="007337E8"/>
    <w:rsid w:val="00737223"/>
    <w:rsid w:val="00740613"/>
    <w:rsid w:val="00741347"/>
    <w:rsid w:val="00742233"/>
    <w:rsid w:val="00742CE9"/>
    <w:rsid w:val="00744A31"/>
    <w:rsid w:val="00751682"/>
    <w:rsid w:val="0075229D"/>
    <w:rsid w:val="00753E2D"/>
    <w:rsid w:val="00754585"/>
    <w:rsid w:val="007570FD"/>
    <w:rsid w:val="00757E8E"/>
    <w:rsid w:val="00760593"/>
    <w:rsid w:val="007613E8"/>
    <w:rsid w:val="00762AC3"/>
    <w:rsid w:val="00762DCD"/>
    <w:rsid w:val="00765A7E"/>
    <w:rsid w:val="00767490"/>
    <w:rsid w:val="007706C2"/>
    <w:rsid w:val="00770F4F"/>
    <w:rsid w:val="007728F1"/>
    <w:rsid w:val="00773BB6"/>
    <w:rsid w:val="007755BB"/>
    <w:rsid w:val="00777B42"/>
    <w:rsid w:val="0078052E"/>
    <w:rsid w:val="00780736"/>
    <w:rsid w:val="007823F2"/>
    <w:rsid w:val="00782B90"/>
    <w:rsid w:val="00785193"/>
    <w:rsid w:val="007866CA"/>
    <w:rsid w:val="00787333"/>
    <w:rsid w:val="007876C0"/>
    <w:rsid w:val="007920DB"/>
    <w:rsid w:val="00793C93"/>
    <w:rsid w:val="00796EF5"/>
    <w:rsid w:val="007977F8"/>
    <w:rsid w:val="007A28AF"/>
    <w:rsid w:val="007A4BBA"/>
    <w:rsid w:val="007A541C"/>
    <w:rsid w:val="007B303B"/>
    <w:rsid w:val="007B6ABD"/>
    <w:rsid w:val="007B7050"/>
    <w:rsid w:val="007B750F"/>
    <w:rsid w:val="007C18EE"/>
    <w:rsid w:val="007C1AAD"/>
    <w:rsid w:val="007C1D62"/>
    <w:rsid w:val="007C2510"/>
    <w:rsid w:val="007C38F3"/>
    <w:rsid w:val="007C576E"/>
    <w:rsid w:val="007C5DE6"/>
    <w:rsid w:val="007D0270"/>
    <w:rsid w:val="007D043D"/>
    <w:rsid w:val="007D0F8D"/>
    <w:rsid w:val="007D11AF"/>
    <w:rsid w:val="007D361F"/>
    <w:rsid w:val="007D39DF"/>
    <w:rsid w:val="007D4084"/>
    <w:rsid w:val="007D5A01"/>
    <w:rsid w:val="007D72B4"/>
    <w:rsid w:val="007E0548"/>
    <w:rsid w:val="007E127A"/>
    <w:rsid w:val="007E164F"/>
    <w:rsid w:val="007E23F2"/>
    <w:rsid w:val="007E289B"/>
    <w:rsid w:val="007E2E85"/>
    <w:rsid w:val="007E44D3"/>
    <w:rsid w:val="007E5F97"/>
    <w:rsid w:val="007E6E21"/>
    <w:rsid w:val="007F06A0"/>
    <w:rsid w:val="007F1AD1"/>
    <w:rsid w:val="007F2C8C"/>
    <w:rsid w:val="007F314A"/>
    <w:rsid w:val="007F3700"/>
    <w:rsid w:val="007F5869"/>
    <w:rsid w:val="007F7411"/>
    <w:rsid w:val="0080082F"/>
    <w:rsid w:val="00800F6D"/>
    <w:rsid w:val="00803219"/>
    <w:rsid w:val="008053C9"/>
    <w:rsid w:val="008058B7"/>
    <w:rsid w:val="00805D47"/>
    <w:rsid w:val="008068B7"/>
    <w:rsid w:val="00807F0D"/>
    <w:rsid w:val="0081209E"/>
    <w:rsid w:val="0081477F"/>
    <w:rsid w:val="008152F5"/>
    <w:rsid w:val="008169E7"/>
    <w:rsid w:val="00817F4F"/>
    <w:rsid w:val="00821D54"/>
    <w:rsid w:val="00825331"/>
    <w:rsid w:val="00825447"/>
    <w:rsid w:val="00826429"/>
    <w:rsid w:val="00827004"/>
    <w:rsid w:val="0082729D"/>
    <w:rsid w:val="0083152C"/>
    <w:rsid w:val="00831D0F"/>
    <w:rsid w:val="0083275B"/>
    <w:rsid w:val="00832A15"/>
    <w:rsid w:val="00832B82"/>
    <w:rsid w:val="008339A1"/>
    <w:rsid w:val="00834E2C"/>
    <w:rsid w:val="00835AC4"/>
    <w:rsid w:val="0084027E"/>
    <w:rsid w:val="0084084A"/>
    <w:rsid w:val="008409D6"/>
    <w:rsid w:val="008440D9"/>
    <w:rsid w:val="00844BF2"/>
    <w:rsid w:val="00850506"/>
    <w:rsid w:val="008509FF"/>
    <w:rsid w:val="00850A6D"/>
    <w:rsid w:val="00850AA8"/>
    <w:rsid w:val="00851EF5"/>
    <w:rsid w:val="00852095"/>
    <w:rsid w:val="00853D48"/>
    <w:rsid w:val="008547A3"/>
    <w:rsid w:val="00854859"/>
    <w:rsid w:val="0085777F"/>
    <w:rsid w:val="0086091D"/>
    <w:rsid w:val="008629E4"/>
    <w:rsid w:val="0086359A"/>
    <w:rsid w:val="00866788"/>
    <w:rsid w:val="00877163"/>
    <w:rsid w:val="00880B7E"/>
    <w:rsid w:val="00882466"/>
    <w:rsid w:val="00882EFD"/>
    <w:rsid w:val="0088361E"/>
    <w:rsid w:val="008837A0"/>
    <w:rsid w:val="00885227"/>
    <w:rsid w:val="00887254"/>
    <w:rsid w:val="00891CED"/>
    <w:rsid w:val="00892918"/>
    <w:rsid w:val="00894070"/>
    <w:rsid w:val="00894735"/>
    <w:rsid w:val="00894B8C"/>
    <w:rsid w:val="008966B8"/>
    <w:rsid w:val="008970AA"/>
    <w:rsid w:val="008A184E"/>
    <w:rsid w:val="008A6187"/>
    <w:rsid w:val="008B01A6"/>
    <w:rsid w:val="008B0D25"/>
    <w:rsid w:val="008B0DF4"/>
    <w:rsid w:val="008B1BF7"/>
    <w:rsid w:val="008B3019"/>
    <w:rsid w:val="008B3A22"/>
    <w:rsid w:val="008B5FB3"/>
    <w:rsid w:val="008B77F7"/>
    <w:rsid w:val="008C0988"/>
    <w:rsid w:val="008C2E8B"/>
    <w:rsid w:val="008C4578"/>
    <w:rsid w:val="008C4CF7"/>
    <w:rsid w:val="008C7022"/>
    <w:rsid w:val="008C742B"/>
    <w:rsid w:val="008C7611"/>
    <w:rsid w:val="008C794A"/>
    <w:rsid w:val="008C79F2"/>
    <w:rsid w:val="008D09BF"/>
    <w:rsid w:val="008D1165"/>
    <w:rsid w:val="008D1B85"/>
    <w:rsid w:val="008D1DFE"/>
    <w:rsid w:val="008D4AF7"/>
    <w:rsid w:val="008D5136"/>
    <w:rsid w:val="008D5A32"/>
    <w:rsid w:val="008D6C10"/>
    <w:rsid w:val="008D6E09"/>
    <w:rsid w:val="008D70D8"/>
    <w:rsid w:val="008D7D4A"/>
    <w:rsid w:val="008E24F6"/>
    <w:rsid w:val="008E3D22"/>
    <w:rsid w:val="008E40D9"/>
    <w:rsid w:val="008E5575"/>
    <w:rsid w:val="008E59D1"/>
    <w:rsid w:val="008E6098"/>
    <w:rsid w:val="008E682E"/>
    <w:rsid w:val="008E68B1"/>
    <w:rsid w:val="008E6FE5"/>
    <w:rsid w:val="008E7A6A"/>
    <w:rsid w:val="008F23DC"/>
    <w:rsid w:val="008F2DA0"/>
    <w:rsid w:val="008F3B2B"/>
    <w:rsid w:val="008F44B4"/>
    <w:rsid w:val="008F552D"/>
    <w:rsid w:val="009022F4"/>
    <w:rsid w:val="009026A1"/>
    <w:rsid w:val="00903611"/>
    <w:rsid w:val="00913AC9"/>
    <w:rsid w:val="00915B63"/>
    <w:rsid w:val="009254D3"/>
    <w:rsid w:val="00931965"/>
    <w:rsid w:val="009340A9"/>
    <w:rsid w:val="00934881"/>
    <w:rsid w:val="00935B6A"/>
    <w:rsid w:val="00936D8D"/>
    <w:rsid w:val="0093747F"/>
    <w:rsid w:val="00940311"/>
    <w:rsid w:val="009425E3"/>
    <w:rsid w:val="00942716"/>
    <w:rsid w:val="00944411"/>
    <w:rsid w:val="009455C0"/>
    <w:rsid w:val="00947654"/>
    <w:rsid w:val="00947E3C"/>
    <w:rsid w:val="009511F3"/>
    <w:rsid w:val="009519D1"/>
    <w:rsid w:val="00953BD2"/>
    <w:rsid w:val="00956404"/>
    <w:rsid w:val="0095656A"/>
    <w:rsid w:val="00957563"/>
    <w:rsid w:val="00961301"/>
    <w:rsid w:val="00961744"/>
    <w:rsid w:val="00962063"/>
    <w:rsid w:val="00962BA9"/>
    <w:rsid w:val="00963C5A"/>
    <w:rsid w:val="00964472"/>
    <w:rsid w:val="00966570"/>
    <w:rsid w:val="009669EF"/>
    <w:rsid w:val="00966F68"/>
    <w:rsid w:val="00967496"/>
    <w:rsid w:val="00971924"/>
    <w:rsid w:val="00971AF6"/>
    <w:rsid w:val="00971CB0"/>
    <w:rsid w:val="00972E48"/>
    <w:rsid w:val="0097496D"/>
    <w:rsid w:val="00974D54"/>
    <w:rsid w:val="00976044"/>
    <w:rsid w:val="00981480"/>
    <w:rsid w:val="00982505"/>
    <w:rsid w:val="009868D5"/>
    <w:rsid w:val="0098710B"/>
    <w:rsid w:val="009874B3"/>
    <w:rsid w:val="009900A9"/>
    <w:rsid w:val="009903CF"/>
    <w:rsid w:val="009904B5"/>
    <w:rsid w:val="009905BE"/>
    <w:rsid w:val="00991D1F"/>
    <w:rsid w:val="0099237D"/>
    <w:rsid w:val="00994577"/>
    <w:rsid w:val="009957E7"/>
    <w:rsid w:val="009972E7"/>
    <w:rsid w:val="0099771C"/>
    <w:rsid w:val="009A01BD"/>
    <w:rsid w:val="009A1101"/>
    <w:rsid w:val="009A1DB3"/>
    <w:rsid w:val="009A4440"/>
    <w:rsid w:val="009A6553"/>
    <w:rsid w:val="009A70B8"/>
    <w:rsid w:val="009B0045"/>
    <w:rsid w:val="009B4F60"/>
    <w:rsid w:val="009B66C4"/>
    <w:rsid w:val="009B67AB"/>
    <w:rsid w:val="009B68E9"/>
    <w:rsid w:val="009B6DF4"/>
    <w:rsid w:val="009B7988"/>
    <w:rsid w:val="009C0E1A"/>
    <w:rsid w:val="009C18E8"/>
    <w:rsid w:val="009C2CA1"/>
    <w:rsid w:val="009C4409"/>
    <w:rsid w:val="009C6DD0"/>
    <w:rsid w:val="009C7758"/>
    <w:rsid w:val="009D1160"/>
    <w:rsid w:val="009D11DB"/>
    <w:rsid w:val="009D124A"/>
    <w:rsid w:val="009D30D3"/>
    <w:rsid w:val="009D3A7D"/>
    <w:rsid w:val="009D5AB6"/>
    <w:rsid w:val="009D618D"/>
    <w:rsid w:val="009E2592"/>
    <w:rsid w:val="009E450F"/>
    <w:rsid w:val="009E46D0"/>
    <w:rsid w:val="009E64E7"/>
    <w:rsid w:val="009F1731"/>
    <w:rsid w:val="009F3C1F"/>
    <w:rsid w:val="009F4581"/>
    <w:rsid w:val="009F45E2"/>
    <w:rsid w:val="009F47F5"/>
    <w:rsid w:val="009F49FD"/>
    <w:rsid w:val="009F6F5C"/>
    <w:rsid w:val="009F790F"/>
    <w:rsid w:val="00A00CA0"/>
    <w:rsid w:val="00A022C0"/>
    <w:rsid w:val="00A026C6"/>
    <w:rsid w:val="00A03D84"/>
    <w:rsid w:val="00A058E4"/>
    <w:rsid w:val="00A11D02"/>
    <w:rsid w:val="00A1291F"/>
    <w:rsid w:val="00A1707A"/>
    <w:rsid w:val="00A2116D"/>
    <w:rsid w:val="00A217EC"/>
    <w:rsid w:val="00A226AF"/>
    <w:rsid w:val="00A22C09"/>
    <w:rsid w:val="00A23132"/>
    <w:rsid w:val="00A24672"/>
    <w:rsid w:val="00A24B50"/>
    <w:rsid w:val="00A252F4"/>
    <w:rsid w:val="00A25FD8"/>
    <w:rsid w:val="00A3271D"/>
    <w:rsid w:val="00A33AFC"/>
    <w:rsid w:val="00A362E0"/>
    <w:rsid w:val="00A36529"/>
    <w:rsid w:val="00A428B8"/>
    <w:rsid w:val="00A43770"/>
    <w:rsid w:val="00A461D6"/>
    <w:rsid w:val="00A507E1"/>
    <w:rsid w:val="00A51A0D"/>
    <w:rsid w:val="00A529E6"/>
    <w:rsid w:val="00A5306C"/>
    <w:rsid w:val="00A53B4C"/>
    <w:rsid w:val="00A55A1B"/>
    <w:rsid w:val="00A55D99"/>
    <w:rsid w:val="00A56E40"/>
    <w:rsid w:val="00A57876"/>
    <w:rsid w:val="00A606DF"/>
    <w:rsid w:val="00A6288F"/>
    <w:rsid w:val="00A64EED"/>
    <w:rsid w:val="00A71CEA"/>
    <w:rsid w:val="00A730A5"/>
    <w:rsid w:val="00A738B8"/>
    <w:rsid w:val="00A7470D"/>
    <w:rsid w:val="00A74FFF"/>
    <w:rsid w:val="00A762E2"/>
    <w:rsid w:val="00A7646C"/>
    <w:rsid w:val="00A768D1"/>
    <w:rsid w:val="00A777B5"/>
    <w:rsid w:val="00A80F60"/>
    <w:rsid w:val="00A81701"/>
    <w:rsid w:val="00A82A52"/>
    <w:rsid w:val="00A84950"/>
    <w:rsid w:val="00A86628"/>
    <w:rsid w:val="00A870A9"/>
    <w:rsid w:val="00A90258"/>
    <w:rsid w:val="00A909F5"/>
    <w:rsid w:val="00A91AAF"/>
    <w:rsid w:val="00A93156"/>
    <w:rsid w:val="00A967D0"/>
    <w:rsid w:val="00A9759A"/>
    <w:rsid w:val="00AA05E4"/>
    <w:rsid w:val="00AA137D"/>
    <w:rsid w:val="00AA31E0"/>
    <w:rsid w:val="00AA5475"/>
    <w:rsid w:val="00AA5555"/>
    <w:rsid w:val="00AA6DAC"/>
    <w:rsid w:val="00AA71C3"/>
    <w:rsid w:val="00AB1656"/>
    <w:rsid w:val="00AB2B3C"/>
    <w:rsid w:val="00AB51DB"/>
    <w:rsid w:val="00AB5C02"/>
    <w:rsid w:val="00AB6E2D"/>
    <w:rsid w:val="00AB74EE"/>
    <w:rsid w:val="00AB7E48"/>
    <w:rsid w:val="00AC0B1F"/>
    <w:rsid w:val="00AC32A4"/>
    <w:rsid w:val="00AD0E45"/>
    <w:rsid w:val="00AD1027"/>
    <w:rsid w:val="00AD17DB"/>
    <w:rsid w:val="00AD1982"/>
    <w:rsid w:val="00AD1F86"/>
    <w:rsid w:val="00AD20BB"/>
    <w:rsid w:val="00AD2EC5"/>
    <w:rsid w:val="00AD35D0"/>
    <w:rsid w:val="00AD3DB6"/>
    <w:rsid w:val="00AD3ECF"/>
    <w:rsid w:val="00AE1B4F"/>
    <w:rsid w:val="00AE1BE1"/>
    <w:rsid w:val="00AE1C50"/>
    <w:rsid w:val="00AE24CD"/>
    <w:rsid w:val="00AE4309"/>
    <w:rsid w:val="00AE6942"/>
    <w:rsid w:val="00AF0341"/>
    <w:rsid w:val="00AF0A80"/>
    <w:rsid w:val="00AF12AC"/>
    <w:rsid w:val="00AF65FC"/>
    <w:rsid w:val="00B01BB7"/>
    <w:rsid w:val="00B05FD6"/>
    <w:rsid w:val="00B100C9"/>
    <w:rsid w:val="00B103D8"/>
    <w:rsid w:val="00B11930"/>
    <w:rsid w:val="00B11D3B"/>
    <w:rsid w:val="00B1229D"/>
    <w:rsid w:val="00B124A1"/>
    <w:rsid w:val="00B128BD"/>
    <w:rsid w:val="00B135D3"/>
    <w:rsid w:val="00B139FF"/>
    <w:rsid w:val="00B13A30"/>
    <w:rsid w:val="00B16158"/>
    <w:rsid w:val="00B16719"/>
    <w:rsid w:val="00B16E86"/>
    <w:rsid w:val="00B17B71"/>
    <w:rsid w:val="00B2111A"/>
    <w:rsid w:val="00B2410A"/>
    <w:rsid w:val="00B2504B"/>
    <w:rsid w:val="00B2565E"/>
    <w:rsid w:val="00B32265"/>
    <w:rsid w:val="00B32630"/>
    <w:rsid w:val="00B32878"/>
    <w:rsid w:val="00B334E3"/>
    <w:rsid w:val="00B35356"/>
    <w:rsid w:val="00B36D77"/>
    <w:rsid w:val="00B37EE8"/>
    <w:rsid w:val="00B414AA"/>
    <w:rsid w:val="00B42EED"/>
    <w:rsid w:val="00B43FA9"/>
    <w:rsid w:val="00B45E98"/>
    <w:rsid w:val="00B4655F"/>
    <w:rsid w:val="00B50DE1"/>
    <w:rsid w:val="00B512B9"/>
    <w:rsid w:val="00B51995"/>
    <w:rsid w:val="00B51BDF"/>
    <w:rsid w:val="00B5217A"/>
    <w:rsid w:val="00B54F9A"/>
    <w:rsid w:val="00B56BF8"/>
    <w:rsid w:val="00B606D1"/>
    <w:rsid w:val="00B61045"/>
    <w:rsid w:val="00B6227B"/>
    <w:rsid w:val="00B63727"/>
    <w:rsid w:val="00B6496F"/>
    <w:rsid w:val="00B67E64"/>
    <w:rsid w:val="00B70094"/>
    <w:rsid w:val="00B71953"/>
    <w:rsid w:val="00B72CFA"/>
    <w:rsid w:val="00B739EE"/>
    <w:rsid w:val="00B7543A"/>
    <w:rsid w:val="00B76D0E"/>
    <w:rsid w:val="00B80B11"/>
    <w:rsid w:val="00B83155"/>
    <w:rsid w:val="00B84911"/>
    <w:rsid w:val="00B851D8"/>
    <w:rsid w:val="00B860DB"/>
    <w:rsid w:val="00B864FB"/>
    <w:rsid w:val="00B916F9"/>
    <w:rsid w:val="00B932E2"/>
    <w:rsid w:val="00B961F6"/>
    <w:rsid w:val="00B96F0C"/>
    <w:rsid w:val="00B97B7E"/>
    <w:rsid w:val="00BA79FC"/>
    <w:rsid w:val="00BB04EA"/>
    <w:rsid w:val="00BB0639"/>
    <w:rsid w:val="00BB0F60"/>
    <w:rsid w:val="00BB16C1"/>
    <w:rsid w:val="00BB1871"/>
    <w:rsid w:val="00BB34D5"/>
    <w:rsid w:val="00BB4304"/>
    <w:rsid w:val="00BB566B"/>
    <w:rsid w:val="00BB765D"/>
    <w:rsid w:val="00BC090B"/>
    <w:rsid w:val="00BC25ED"/>
    <w:rsid w:val="00BC3DE9"/>
    <w:rsid w:val="00BC4E39"/>
    <w:rsid w:val="00BC52CB"/>
    <w:rsid w:val="00BC53BF"/>
    <w:rsid w:val="00BC7730"/>
    <w:rsid w:val="00BD3B94"/>
    <w:rsid w:val="00BD3C64"/>
    <w:rsid w:val="00BD5163"/>
    <w:rsid w:val="00BD61EF"/>
    <w:rsid w:val="00BD74A7"/>
    <w:rsid w:val="00BE075E"/>
    <w:rsid w:val="00BE0C9E"/>
    <w:rsid w:val="00BE20D7"/>
    <w:rsid w:val="00BE21C1"/>
    <w:rsid w:val="00BE22DE"/>
    <w:rsid w:val="00BE2722"/>
    <w:rsid w:val="00BE3CA9"/>
    <w:rsid w:val="00BE525D"/>
    <w:rsid w:val="00BE5845"/>
    <w:rsid w:val="00BE62FC"/>
    <w:rsid w:val="00BF0392"/>
    <w:rsid w:val="00BF109F"/>
    <w:rsid w:val="00BF1173"/>
    <w:rsid w:val="00BF4892"/>
    <w:rsid w:val="00BF53FC"/>
    <w:rsid w:val="00BF7987"/>
    <w:rsid w:val="00C013DD"/>
    <w:rsid w:val="00C017CA"/>
    <w:rsid w:val="00C0651A"/>
    <w:rsid w:val="00C06DBA"/>
    <w:rsid w:val="00C1160E"/>
    <w:rsid w:val="00C1257C"/>
    <w:rsid w:val="00C12CCE"/>
    <w:rsid w:val="00C12FB0"/>
    <w:rsid w:val="00C13835"/>
    <w:rsid w:val="00C15897"/>
    <w:rsid w:val="00C16D40"/>
    <w:rsid w:val="00C2085E"/>
    <w:rsid w:val="00C226BC"/>
    <w:rsid w:val="00C22960"/>
    <w:rsid w:val="00C232E5"/>
    <w:rsid w:val="00C23C8F"/>
    <w:rsid w:val="00C25A48"/>
    <w:rsid w:val="00C27D36"/>
    <w:rsid w:val="00C30235"/>
    <w:rsid w:val="00C3063B"/>
    <w:rsid w:val="00C31853"/>
    <w:rsid w:val="00C3256F"/>
    <w:rsid w:val="00C32C32"/>
    <w:rsid w:val="00C332E8"/>
    <w:rsid w:val="00C43B2A"/>
    <w:rsid w:val="00C44A0E"/>
    <w:rsid w:val="00C45E9C"/>
    <w:rsid w:val="00C460E3"/>
    <w:rsid w:val="00C47669"/>
    <w:rsid w:val="00C47E19"/>
    <w:rsid w:val="00C50269"/>
    <w:rsid w:val="00C51DF9"/>
    <w:rsid w:val="00C5238A"/>
    <w:rsid w:val="00C52402"/>
    <w:rsid w:val="00C529BA"/>
    <w:rsid w:val="00C52F6F"/>
    <w:rsid w:val="00C545EA"/>
    <w:rsid w:val="00C55053"/>
    <w:rsid w:val="00C5564A"/>
    <w:rsid w:val="00C60E11"/>
    <w:rsid w:val="00C635DB"/>
    <w:rsid w:val="00C641D0"/>
    <w:rsid w:val="00C658D1"/>
    <w:rsid w:val="00C6644D"/>
    <w:rsid w:val="00C70B8B"/>
    <w:rsid w:val="00C70C5C"/>
    <w:rsid w:val="00C71866"/>
    <w:rsid w:val="00C71C42"/>
    <w:rsid w:val="00C734B1"/>
    <w:rsid w:val="00C742F7"/>
    <w:rsid w:val="00C77DF1"/>
    <w:rsid w:val="00C80231"/>
    <w:rsid w:val="00C804EB"/>
    <w:rsid w:val="00C80DC8"/>
    <w:rsid w:val="00C816FC"/>
    <w:rsid w:val="00C81A97"/>
    <w:rsid w:val="00C81CD6"/>
    <w:rsid w:val="00C84A33"/>
    <w:rsid w:val="00C86D19"/>
    <w:rsid w:val="00C87C00"/>
    <w:rsid w:val="00C87D5E"/>
    <w:rsid w:val="00C903B5"/>
    <w:rsid w:val="00C90CD0"/>
    <w:rsid w:val="00C921D0"/>
    <w:rsid w:val="00C968E7"/>
    <w:rsid w:val="00CA1CA6"/>
    <w:rsid w:val="00CA2040"/>
    <w:rsid w:val="00CA25FA"/>
    <w:rsid w:val="00CA325E"/>
    <w:rsid w:val="00CA5AA1"/>
    <w:rsid w:val="00CB18B0"/>
    <w:rsid w:val="00CB2356"/>
    <w:rsid w:val="00CB3DCB"/>
    <w:rsid w:val="00CB3F4E"/>
    <w:rsid w:val="00CB5953"/>
    <w:rsid w:val="00CB6106"/>
    <w:rsid w:val="00CC06AB"/>
    <w:rsid w:val="00CC20C3"/>
    <w:rsid w:val="00CC35EE"/>
    <w:rsid w:val="00CC5D82"/>
    <w:rsid w:val="00CD0D67"/>
    <w:rsid w:val="00CD56D2"/>
    <w:rsid w:val="00CD6EE9"/>
    <w:rsid w:val="00CE0F89"/>
    <w:rsid w:val="00CE15B3"/>
    <w:rsid w:val="00CE7870"/>
    <w:rsid w:val="00CF0CA7"/>
    <w:rsid w:val="00CF12D3"/>
    <w:rsid w:val="00CF2295"/>
    <w:rsid w:val="00CF4490"/>
    <w:rsid w:val="00CF4618"/>
    <w:rsid w:val="00CF5BEB"/>
    <w:rsid w:val="00CF7666"/>
    <w:rsid w:val="00D012BA"/>
    <w:rsid w:val="00D02E71"/>
    <w:rsid w:val="00D03A45"/>
    <w:rsid w:val="00D04317"/>
    <w:rsid w:val="00D1380E"/>
    <w:rsid w:val="00D17F47"/>
    <w:rsid w:val="00D21D79"/>
    <w:rsid w:val="00D2266C"/>
    <w:rsid w:val="00D2300F"/>
    <w:rsid w:val="00D25AD7"/>
    <w:rsid w:val="00D260B9"/>
    <w:rsid w:val="00D2740C"/>
    <w:rsid w:val="00D31FAC"/>
    <w:rsid w:val="00D33932"/>
    <w:rsid w:val="00D37409"/>
    <w:rsid w:val="00D4003B"/>
    <w:rsid w:val="00D438EA"/>
    <w:rsid w:val="00D45EEC"/>
    <w:rsid w:val="00D460C2"/>
    <w:rsid w:val="00D468C6"/>
    <w:rsid w:val="00D47B05"/>
    <w:rsid w:val="00D47C29"/>
    <w:rsid w:val="00D50FC7"/>
    <w:rsid w:val="00D5234B"/>
    <w:rsid w:val="00D52BAF"/>
    <w:rsid w:val="00D57472"/>
    <w:rsid w:val="00D61301"/>
    <w:rsid w:val="00D61E74"/>
    <w:rsid w:val="00D624CE"/>
    <w:rsid w:val="00D636D2"/>
    <w:rsid w:val="00D63B0E"/>
    <w:rsid w:val="00D67721"/>
    <w:rsid w:val="00D67922"/>
    <w:rsid w:val="00D71D66"/>
    <w:rsid w:val="00D727A7"/>
    <w:rsid w:val="00D74FFA"/>
    <w:rsid w:val="00D77535"/>
    <w:rsid w:val="00D80248"/>
    <w:rsid w:val="00D80855"/>
    <w:rsid w:val="00D808F5"/>
    <w:rsid w:val="00D81911"/>
    <w:rsid w:val="00D84285"/>
    <w:rsid w:val="00D86EBC"/>
    <w:rsid w:val="00D94CFF"/>
    <w:rsid w:val="00D95608"/>
    <w:rsid w:val="00DA1C82"/>
    <w:rsid w:val="00DA2195"/>
    <w:rsid w:val="00DA247C"/>
    <w:rsid w:val="00DA4D48"/>
    <w:rsid w:val="00DA5511"/>
    <w:rsid w:val="00DA5953"/>
    <w:rsid w:val="00DA5CB8"/>
    <w:rsid w:val="00DB273A"/>
    <w:rsid w:val="00DB31B1"/>
    <w:rsid w:val="00DB3C18"/>
    <w:rsid w:val="00DB3E64"/>
    <w:rsid w:val="00DB3E6D"/>
    <w:rsid w:val="00DB4169"/>
    <w:rsid w:val="00DB5AB3"/>
    <w:rsid w:val="00DC0636"/>
    <w:rsid w:val="00DC2492"/>
    <w:rsid w:val="00DC65B1"/>
    <w:rsid w:val="00DC6AB4"/>
    <w:rsid w:val="00DC734E"/>
    <w:rsid w:val="00DD0075"/>
    <w:rsid w:val="00DD1FF5"/>
    <w:rsid w:val="00DD3FCE"/>
    <w:rsid w:val="00DD42BA"/>
    <w:rsid w:val="00DE0B56"/>
    <w:rsid w:val="00DE3B00"/>
    <w:rsid w:val="00DE43C8"/>
    <w:rsid w:val="00DF0B91"/>
    <w:rsid w:val="00DF1296"/>
    <w:rsid w:val="00DF169C"/>
    <w:rsid w:val="00DF25CD"/>
    <w:rsid w:val="00DF4267"/>
    <w:rsid w:val="00DF5018"/>
    <w:rsid w:val="00DF52B3"/>
    <w:rsid w:val="00E03227"/>
    <w:rsid w:val="00E0424A"/>
    <w:rsid w:val="00E05A0B"/>
    <w:rsid w:val="00E05A4F"/>
    <w:rsid w:val="00E05AF0"/>
    <w:rsid w:val="00E05DD4"/>
    <w:rsid w:val="00E10C35"/>
    <w:rsid w:val="00E229D3"/>
    <w:rsid w:val="00E22F6D"/>
    <w:rsid w:val="00E2308B"/>
    <w:rsid w:val="00E243A0"/>
    <w:rsid w:val="00E2502C"/>
    <w:rsid w:val="00E254FF"/>
    <w:rsid w:val="00E270B0"/>
    <w:rsid w:val="00E2747E"/>
    <w:rsid w:val="00E306C9"/>
    <w:rsid w:val="00E30CEE"/>
    <w:rsid w:val="00E32BFE"/>
    <w:rsid w:val="00E33FD7"/>
    <w:rsid w:val="00E40062"/>
    <w:rsid w:val="00E410F6"/>
    <w:rsid w:val="00E420B4"/>
    <w:rsid w:val="00E44479"/>
    <w:rsid w:val="00E4450D"/>
    <w:rsid w:val="00E44A16"/>
    <w:rsid w:val="00E5022D"/>
    <w:rsid w:val="00E503AF"/>
    <w:rsid w:val="00E529DF"/>
    <w:rsid w:val="00E534FA"/>
    <w:rsid w:val="00E543D7"/>
    <w:rsid w:val="00E54A89"/>
    <w:rsid w:val="00E6079A"/>
    <w:rsid w:val="00E61C26"/>
    <w:rsid w:val="00E621D6"/>
    <w:rsid w:val="00E673C0"/>
    <w:rsid w:val="00E70C08"/>
    <w:rsid w:val="00E71865"/>
    <w:rsid w:val="00E7369B"/>
    <w:rsid w:val="00E7635F"/>
    <w:rsid w:val="00E76FFD"/>
    <w:rsid w:val="00E831AF"/>
    <w:rsid w:val="00E86168"/>
    <w:rsid w:val="00E9013D"/>
    <w:rsid w:val="00E90488"/>
    <w:rsid w:val="00E94114"/>
    <w:rsid w:val="00E94A90"/>
    <w:rsid w:val="00EA1838"/>
    <w:rsid w:val="00EA1AE8"/>
    <w:rsid w:val="00EA446F"/>
    <w:rsid w:val="00EB002E"/>
    <w:rsid w:val="00EB1D68"/>
    <w:rsid w:val="00EB1F5D"/>
    <w:rsid w:val="00EB2804"/>
    <w:rsid w:val="00EB2D6E"/>
    <w:rsid w:val="00EB485E"/>
    <w:rsid w:val="00EB4B69"/>
    <w:rsid w:val="00EB4BF9"/>
    <w:rsid w:val="00EB4E82"/>
    <w:rsid w:val="00EB7691"/>
    <w:rsid w:val="00EB77BE"/>
    <w:rsid w:val="00EB7ED8"/>
    <w:rsid w:val="00EC009F"/>
    <w:rsid w:val="00EC0F15"/>
    <w:rsid w:val="00EC270D"/>
    <w:rsid w:val="00EC358B"/>
    <w:rsid w:val="00EC3C4C"/>
    <w:rsid w:val="00EC3EE6"/>
    <w:rsid w:val="00EC663C"/>
    <w:rsid w:val="00ED2B3B"/>
    <w:rsid w:val="00ED2DBD"/>
    <w:rsid w:val="00ED4D62"/>
    <w:rsid w:val="00ED706F"/>
    <w:rsid w:val="00EE1633"/>
    <w:rsid w:val="00EE4AF5"/>
    <w:rsid w:val="00EE4FC1"/>
    <w:rsid w:val="00EE68F6"/>
    <w:rsid w:val="00EE6B91"/>
    <w:rsid w:val="00EE7369"/>
    <w:rsid w:val="00EF029B"/>
    <w:rsid w:val="00EF0F4A"/>
    <w:rsid w:val="00EF1F63"/>
    <w:rsid w:val="00EF56A2"/>
    <w:rsid w:val="00EF6BE9"/>
    <w:rsid w:val="00EF6C38"/>
    <w:rsid w:val="00EF7CE1"/>
    <w:rsid w:val="00F01521"/>
    <w:rsid w:val="00F0238B"/>
    <w:rsid w:val="00F02442"/>
    <w:rsid w:val="00F0516F"/>
    <w:rsid w:val="00F0722E"/>
    <w:rsid w:val="00F077CB"/>
    <w:rsid w:val="00F10145"/>
    <w:rsid w:val="00F17A37"/>
    <w:rsid w:val="00F17BF4"/>
    <w:rsid w:val="00F226DA"/>
    <w:rsid w:val="00F227FF"/>
    <w:rsid w:val="00F2354B"/>
    <w:rsid w:val="00F2379E"/>
    <w:rsid w:val="00F239CA"/>
    <w:rsid w:val="00F23C70"/>
    <w:rsid w:val="00F25C53"/>
    <w:rsid w:val="00F32CAE"/>
    <w:rsid w:val="00F350D4"/>
    <w:rsid w:val="00F35585"/>
    <w:rsid w:val="00F366C8"/>
    <w:rsid w:val="00F37248"/>
    <w:rsid w:val="00F40893"/>
    <w:rsid w:val="00F40A00"/>
    <w:rsid w:val="00F41279"/>
    <w:rsid w:val="00F41824"/>
    <w:rsid w:val="00F43AAA"/>
    <w:rsid w:val="00F440F3"/>
    <w:rsid w:val="00F44E8C"/>
    <w:rsid w:val="00F450EB"/>
    <w:rsid w:val="00F464DD"/>
    <w:rsid w:val="00F4729A"/>
    <w:rsid w:val="00F4778F"/>
    <w:rsid w:val="00F50166"/>
    <w:rsid w:val="00F502F0"/>
    <w:rsid w:val="00F50451"/>
    <w:rsid w:val="00F51FC5"/>
    <w:rsid w:val="00F53EFD"/>
    <w:rsid w:val="00F54D68"/>
    <w:rsid w:val="00F56EF6"/>
    <w:rsid w:val="00F608B6"/>
    <w:rsid w:val="00F6163B"/>
    <w:rsid w:val="00F624AB"/>
    <w:rsid w:val="00F62A16"/>
    <w:rsid w:val="00F632B7"/>
    <w:rsid w:val="00F63B23"/>
    <w:rsid w:val="00F64BC1"/>
    <w:rsid w:val="00F6507E"/>
    <w:rsid w:val="00F66020"/>
    <w:rsid w:val="00F669CD"/>
    <w:rsid w:val="00F70727"/>
    <w:rsid w:val="00F72C64"/>
    <w:rsid w:val="00F73419"/>
    <w:rsid w:val="00F73792"/>
    <w:rsid w:val="00F739D6"/>
    <w:rsid w:val="00F74114"/>
    <w:rsid w:val="00F7433C"/>
    <w:rsid w:val="00F75C4C"/>
    <w:rsid w:val="00F76031"/>
    <w:rsid w:val="00F76365"/>
    <w:rsid w:val="00F77442"/>
    <w:rsid w:val="00F77A72"/>
    <w:rsid w:val="00F8054D"/>
    <w:rsid w:val="00F80E57"/>
    <w:rsid w:val="00F81089"/>
    <w:rsid w:val="00F8209E"/>
    <w:rsid w:val="00F82717"/>
    <w:rsid w:val="00F82AAD"/>
    <w:rsid w:val="00F862F1"/>
    <w:rsid w:val="00F870A1"/>
    <w:rsid w:val="00F87C5D"/>
    <w:rsid w:val="00F91ECE"/>
    <w:rsid w:val="00F92DA7"/>
    <w:rsid w:val="00F93BA2"/>
    <w:rsid w:val="00F9447F"/>
    <w:rsid w:val="00F95442"/>
    <w:rsid w:val="00F96C4E"/>
    <w:rsid w:val="00FA0B85"/>
    <w:rsid w:val="00FA3295"/>
    <w:rsid w:val="00FA4AAF"/>
    <w:rsid w:val="00FA5567"/>
    <w:rsid w:val="00FA6F28"/>
    <w:rsid w:val="00FA7070"/>
    <w:rsid w:val="00FA7ACF"/>
    <w:rsid w:val="00FA7D16"/>
    <w:rsid w:val="00FB4724"/>
    <w:rsid w:val="00FB4789"/>
    <w:rsid w:val="00FB4C78"/>
    <w:rsid w:val="00FB6AD7"/>
    <w:rsid w:val="00FB70FE"/>
    <w:rsid w:val="00FB78FC"/>
    <w:rsid w:val="00FB7BC8"/>
    <w:rsid w:val="00FC1259"/>
    <w:rsid w:val="00FC165E"/>
    <w:rsid w:val="00FC7BE8"/>
    <w:rsid w:val="00FD0C5F"/>
    <w:rsid w:val="00FD100D"/>
    <w:rsid w:val="00FD2CE7"/>
    <w:rsid w:val="00FD4068"/>
    <w:rsid w:val="00FD5058"/>
    <w:rsid w:val="00FD6139"/>
    <w:rsid w:val="00FE26FA"/>
    <w:rsid w:val="00FE3B07"/>
    <w:rsid w:val="00FE5C2F"/>
    <w:rsid w:val="00FE6895"/>
    <w:rsid w:val="00FE7478"/>
    <w:rsid w:val="00FF1F36"/>
    <w:rsid w:val="00FF3E5F"/>
    <w:rsid w:val="00FF57D0"/>
    <w:rsid w:val="00FF6B79"/>
    <w:rsid w:val="00FF79A6"/>
    <w:rsid w:val="00FF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DBCFD"/>
  <w15:chartTrackingRefBased/>
  <w15:docId w15:val="{EF6ED706-F7AF-4E83-A326-F7821830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12FB0"/>
    <w:rPr>
      <w:rFonts w:ascii="MinionPro-Bold" w:hAnsi="MinionPro-Bold" w:hint="default"/>
      <w:b/>
      <w:bCs/>
      <w:i w:val="0"/>
      <w:iCs w:val="0"/>
      <w:color w:val="000000"/>
      <w:sz w:val="22"/>
      <w:szCs w:val="22"/>
    </w:rPr>
  </w:style>
  <w:style w:type="character" w:customStyle="1" w:styleId="fontstyle11">
    <w:name w:val="fontstyle11"/>
    <w:basedOn w:val="DefaultParagraphFont"/>
    <w:rsid w:val="00C12FB0"/>
    <w:rPr>
      <w:rFonts w:ascii="MinionPro-Regular" w:hAnsi="MinionPro-Regular" w:hint="default"/>
      <w:b w:val="0"/>
      <w:bCs w:val="0"/>
      <w:i w:val="0"/>
      <w:iCs w:val="0"/>
      <w:color w:val="000000"/>
      <w:sz w:val="22"/>
      <w:szCs w:val="22"/>
    </w:rPr>
  </w:style>
  <w:style w:type="character" w:customStyle="1" w:styleId="fontstyle21">
    <w:name w:val="fontstyle21"/>
    <w:basedOn w:val="DefaultParagraphFont"/>
    <w:rsid w:val="00C87D5E"/>
    <w:rPr>
      <w:rFonts w:ascii="ScalaLancetPro-Italic" w:hAnsi="ScalaLancetPro-Italic" w:hint="default"/>
      <w:b w:val="0"/>
      <w:bCs w:val="0"/>
      <w:i/>
      <w:iCs/>
      <w:color w:val="000000"/>
      <w:sz w:val="18"/>
      <w:szCs w:val="18"/>
    </w:rPr>
  </w:style>
  <w:style w:type="character" w:customStyle="1" w:styleId="fontstyle31">
    <w:name w:val="fontstyle31"/>
    <w:basedOn w:val="DefaultParagraphFont"/>
    <w:rsid w:val="00052BDB"/>
    <w:rPr>
      <w:rFonts w:ascii="Shaker2Lancet-Regular" w:hAnsi="Shaker2Lancet-Regular" w:hint="default"/>
      <w:b w:val="0"/>
      <w:bCs w:val="0"/>
      <w:i w:val="0"/>
      <w:iCs w:val="0"/>
      <w:color w:val="000000"/>
      <w:sz w:val="14"/>
      <w:szCs w:val="14"/>
    </w:rPr>
  </w:style>
  <w:style w:type="paragraph" w:styleId="Header">
    <w:name w:val="header"/>
    <w:basedOn w:val="Normal"/>
    <w:link w:val="HeaderChar"/>
    <w:uiPriority w:val="99"/>
    <w:unhideWhenUsed/>
    <w:rsid w:val="00B91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F9"/>
  </w:style>
  <w:style w:type="paragraph" w:styleId="Footer">
    <w:name w:val="footer"/>
    <w:basedOn w:val="Normal"/>
    <w:link w:val="FooterChar"/>
    <w:uiPriority w:val="99"/>
    <w:unhideWhenUsed/>
    <w:rsid w:val="00B91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F9"/>
  </w:style>
  <w:style w:type="paragraph" w:styleId="ListParagraph">
    <w:name w:val="List Paragraph"/>
    <w:basedOn w:val="Normal"/>
    <w:uiPriority w:val="34"/>
    <w:qFormat/>
    <w:rsid w:val="00F7433C"/>
    <w:pPr>
      <w:ind w:left="720"/>
      <w:contextualSpacing/>
    </w:pPr>
  </w:style>
  <w:style w:type="table" w:styleId="TableGrid">
    <w:name w:val="Table Grid"/>
    <w:basedOn w:val="TableNormal"/>
    <w:uiPriority w:val="39"/>
    <w:rsid w:val="00F4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1A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A97"/>
    <w:rPr>
      <w:sz w:val="20"/>
      <w:szCs w:val="20"/>
    </w:rPr>
  </w:style>
  <w:style w:type="character" w:styleId="FootnoteReference">
    <w:name w:val="footnote reference"/>
    <w:basedOn w:val="DefaultParagraphFont"/>
    <w:uiPriority w:val="99"/>
    <w:semiHidden/>
    <w:unhideWhenUsed/>
    <w:rsid w:val="00C81A97"/>
    <w:rPr>
      <w:vertAlign w:val="superscript"/>
    </w:rPr>
  </w:style>
  <w:style w:type="character" w:customStyle="1" w:styleId="fontstyle41">
    <w:name w:val="fontstyle41"/>
    <w:basedOn w:val="DefaultParagraphFont"/>
    <w:rsid w:val="00751682"/>
    <w:rPr>
      <w:rFonts w:ascii="AdvTTebabd7da+20" w:hAnsi="AdvTTebabd7da+20" w:hint="default"/>
      <w:b w:val="0"/>
      <w:bCs w:val="0"/>
      <w:i w:val="0"/>
      <w:iCs w:val="0"/>
      <w:color w:val="000000"/>
      <w:sz w:val="20"/>
      <w:szCs w:val="20"/>
    </w:rPr>
  </w:style>
  <w:style w:type="character" w:styleId="Hyperlink">
    <w:name w:val="Hyperlink"/>
    <w:basedOn w:val="DefaultParagraphFont"/>
    <w:uiPriority w:val="99"/>
    <w:unhideWhenUsed/>
    <w:rsid w:val="0097496D"/>
    <w:rPr>
      <w:color w:val="0563C1" w:themeColor="hyperlink"/>
      <w:u w:val="single"/>
    </w:rPr>
  </w:style>
  <w:style w:type="character" w:styleId="UnresolvedMention">
    <w:name w:val="Unresolved Mention"/>
    <w:basedOn w:val="DefaultParagraphFont"/>
    <w:uiPriority w:val="99"/>
    <w:semiHidden/>
    <w:unhideWhenUsed/>
    <w:rsid w:val="0097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58BA-5FD2-4026-8A91-EEEEAB6E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13408</TotalTime>
  <Pages>33</Pages>
  <Words>35033</Words>
  <Characters>199691</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Opoku</dc:creator>
  <cp:keywords/>
  <dc:description/>
  <cp:lastModifiedBy>eric opoku</cp:lastModifiedBy>
  <cp:revision>1795</cp:revision>
  <cp:lastPrinted>2021-12-23T15:16:00Z</cp:lastPrinted>
  <dcterms:created xsi:type="dcterms:W3CDTF">2021-09-17T18:02:00Z</dcterms:created>
  <dcterms:modified xsi:type="dcterms:W3CDTF">2021-12-23T17:15:00Z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844426af-cdae-3fe5-9630-47bd6a3fa389</vt:lpwstr>
  </property>
  <property fmtid="{D5CDD505-2E9C-101B-9397-08002B2CF9AE}" pid="24" name="Mendeley Citation Style_1">
    <vt:lpwstr>http://www.zotero.org/styles/apa</vt:lpwstr>
  </property>
</Properties>
</file>