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7B4F" w14:textId="77777777" w:rsidR="00387AD6" w:rsidRPr="00387AD6" w:rsidRDefault="00387AD6" w:rsidP="00387AD6">
      <w:pPr>
        <w:ind w:left="720"/>
        <w:rPr>
          <w:b/>
          <w:bCs/>
          <w:sz w:val="28"/>
          <w:szCs w:val="28"/>
        </w:rPr>
      </w:pPr>
      <w:r w:rsidRPr="00387AD6">
        <w:rPr>
          <w:b/>
          <w:bCs/>
          <w:sz w:val="28"/>
          <w:szCs w:val="28"/>
        </w:rPr>
        <w:t>Business Summary Report: Predictive Insights for Collections Strategy</w:t>
      </w:r>
    </w:p>
    <w:p w14:paraId="557D5040" w14:textId="77777777" w:rsidR="00387AD6" w:rsidRPr="00387AD6" w:rsidRDefault="00387AD6" w:rsidP="00387AD6">
      <w:pPr>
        <w:rPr>
          <w:b/>
          <w:bCs/>
          <w:sz w:val="28"/>
          <w:szCs w:val="28"/>
        </w:rPr>
      </w:pPr>
      <w:r w:rsidRPr="00387AD6">
        <w:rPr>
          <w:b/>
          <w:bCs/>
          <w:sz w:val="28"/>
          <w:szCs w:val="28"/>
        </w:rPr>
        <w:t>1. Summary of Predictive Insights</w:t>
      </w:r>
    </w:p>
    <w:p w14:paraId="437C9D30" w14:textId="77777777" w:rsidR="00387AD6" w:rsidRPr="00387AD6" w:rsidRDefault="00387AD6" w:rsidP="00387AD6">
      <w:pPr>
        <w:rPr>
          <w:sz w:val="24"/>
          <w:szCs w:val="24"/>
        </w:rPr>
      </w:pPr>
      <w:r w:rsidRPr="00387AD6">
        <w:rPr>
          <w:sz w:val="24"/>
          <w:szCs w:val="24"/>
        </w:rPr>
        <w:t>The predictive model identified several factors associated with customer delinquency risk.</w:t>
      </w:r>
    </w:p>
    <w:p w14:paraId="1EA71088" w14:textId="77777777" w:rsidR="00387AD6" w:rsidRPr="00387AD6" w:rsidRDefault="00387AD6" w:rsidP="00387AD6">
      <w:pPr>
        <w:rPr>
          <w:b/>
          <w:bCs/>
          <w:sz w:val="28"/>
          <w:szCs w:val="28"/>
        </w:rPr>
      </w:pPr>
      <w:r w:rsidRPr="00387AD6">
        <w:rPr>
          <w:b/>
          <w:bCs/>
          <w:sz w:val="28"/>
          <w:szCs w:val="28"/>
        </w:rPr>
        <w:t>High-Risk Customer Segments</w:t>
      </w:r>
    </w:p>
    <w:p w14:paraId="0A31FFEF" w14:textId="77777777" w:rsidR="00387AD6" w:rsidRPr="00387AD6" w:rsidRDefault="00387AD6" w:rsidP="00387AD6">
      <w:pPr>
        <w:numPr>
          <w:ilvl w:val="0"/>
          <w:numId w:val="1"/>
        </w:numPr>
        <w:rPr>
          <w:sz w:val="24"/>
          <w:szCs w:val="24"/>
        </w:rPr>
      </w:pPr>
      <w:r w:rsidRPr="00387AD6">
        <w:rPr>
          <w:sz w:val="24"/>
          <w:szCs w:val="24"/>
        </w:rPr>
        <w:t xml:space="preserve">Customers with multiple missed payments in the last six months. </w:t>
      </w:r>
    </w:p>
    <w:p w14:paraId="3B343516" w14:textId="77777777" w:rsidR="00387AD6" w:rsidRPr="00387AD6" w:rsidRDefault="00387AD6" w:rsidP="00387AD6">
      <w:pPr>
        <w:numPr>
          <w:ilvl w:val="0"/>
          <w:numId w:val="1"/>
        </w:numPr>
        <w:rPr>
          <w:sz w:val="24"/>
          <w:szCs w:val="24"/>
        </w:rPr>
      </w:pPr>
      <w:r w:rsidRPr="00387AD6">
        <w:rPr>
          <w:sz w:val="24"/>
          <w:szCs w:val="24"/>
        </w:rPr>
        <w:t xml:space="preserve">Customers with credit utilization above 70%. </w:t>
      </w:r>
    </w:p>
    <w:p w14:paraId="5CE56ED9" w14:textId="77777777" w:rsidR="00387AD6" w:rsidRPr="00387AD6" w:rsidRDefault="00387AD6" w:rsidP="00387AD6">
      <w:pPr>
        <w:numPr>
          <w:ilvl w:val="0"/>
          <w:numId w:val="1"/>
        </w:numPr>
        <w:rPr>
          <w:sz w:val="24"/>
          <w:szCs w:val="24"/>
        </w:rPr>
      </w:pPr>
      <w:r w:rsidRPr="00387AD6">
        <w:rPr>
          <w:sz w:val="24"/>
          <w:szCs w:val="24"/>
        </w:rPr>
        <w:t xml:space="preserve">Customers with low credit scores and lower income levels. </w:t>
      </w:r>
    </w:p>
    <w:p w14:paraId="68DA5D36" w14:textId="77777777" w:rsidR="00387AD6" w:rsidRPr="00387AD6" w:rsidRDefault="00387AD6" w:rsidP="00387AD6">
      <w:pPr>
        <w:rPr>
          <w:b/>
          <w:bCs/>
          <w:sz w:val="28"/>
          <w:szCs w:val="28"/>
        </w:rPr>
      </w:pPr>
      <w:r w:rsidRPr="00387AD6">
        <w:rPr>
          <w:b/>
          <w:bCs/>
          <w:sz w:val="28"/>
          <w:szCs w:val="28"/>
        </w:rPr>
        <w:t>Top Predictors of Delinquency</w:t>
      </w:r>
    </w:p>
    <w:p w14:paraId="1C36CD6A" w14:textId="77777777" w:rsidR="00387AD6" w:rsidRPr="00387AD6" w:rsidRDefault="00387AD6" w:rsidP="00387AD6">
      <w:pPr>
        <w:numPr>
          <w:ilvl w:val="0"/>
          <w:numId w:val="2"/>
        </w:numPr>
        <w:rPr>
          <w:sz w:val="24"/>
          <w:szCs w:val="24"/>
        </w:rPr>
      </w:pPr>
      <w:r w:rsidRPr="00387AD6">
        <w:rPr>
          <w:sz w:val="24"/>
          <w:szCs w:val="24"/>
        </w:rPr>
        <w:t xml:space="preserve">Missed Payments </w:t>
      </w:r>
    </w:p>
    <w:p w14:paraId="7D732B74" w14:textId="77777777" w:rsidR="00387AD6" w:rsidRPr="00387AD6" w:rsidRDefault="00387AD6" w:rsidP="00387AD6">
      <w:pPr>
        <w:numPr>
          <w:ilvl w:val="0"/>
          <w:numId w:val="2"/>
        </w:numPr>
        <w:rPr>
          <w:sz w:val="24"/>
          <w:szCs w:val="24"/>
        </w:rPr>
      </w:pPr>
      <w:r w:rsidRPr="00387AD6">
        <w:rPr>
          <w:sz w:val="24"/>
          <w:szCs w:val="24"/>
        </w:rPr>
        <w:t xml:space="preserve">Credit Utilization Ratio </w:t>
      </w:r>
    </w:p>
    <w:p w14:paraId="4656FA13" w14:textId="77777777" w:rsidR="00387AD6" w:rsidRPr="00387AD6" w:rsidRDefault="00387AD6" w:rsidP="00387AD6">
      <w:pPr>
        <w:numPr>
          <w:ilvl w:val="0"/>
          <w:numId w:val="2"/>
        </w:numPr>
        <w:rPr>
          <w:sz w:val="24"/>
          <w:szCs w:val="24"/>
        </w:rPr>
      </w:pPr>
      <w:r w:rsidRPr="00387AD6">
        <w:rPr>
          <w:sz w:val="24"/>
          <w:szCs w:val="24"/>
        </w:rPr>
        <w:t xml:space="preserve">Credit Score </w:t>
      </w:r>
    </w:p>
    <w:p w14:paraId="11C48B57" w14:textId="77777777" w:rsidR="00387AD6" w:rsidRPr="00387AD6" w:rsidRDefault="00387AD6" w:rsidP="00387AD6">
      <w:pPr>
        <w:rPr>
          <w:b/>
          <w:bCs/>
          <w:sz w:val="28"/>
          <w:szCs w:val="28"/>
        </w:rPr>
      </w:pPr>
      <w:r w:rsidRPr="00387AD6">
        <w:rPr>
          <w:b/>
          <w:bCs/>
          <w:sz w:val="28"/>
          <w:szCs w:val="28"/>
        </w:rPr>
        <w:t>Top 3 Risk Factors</w:t>
      </w:r>
    </w:p>
    <w:p w14:paraId="3C223351" w14:textId="77777777" w:rsidR="00387AD6" w:rsidRPr="00387AD6" w:rsidRDefault="00387AD6" w:rsidP="00387AD6">
      <w:pPr>
        <w:numPr>
          <w:ilvl w:val="0"/>
          <w:numId w:val="3"/>
        </w:numPr>
        <w:rPr>
          <w:sz w:val="24"/>
          <w:szCs w:val="24"/>
        </w:rPr>
      </w:pPr>
      <w:r w:rsidRPr="00387AD6">
        <w:rPr>
          <w:sz w:val="24"/>
          <w:szCs w:val="24"/>
        </w:rPr>
        <w:t xml:space="preserve">Frequent missed payments </w:t>
      </w:r>
    </w:p>
    <w:p w14:paraId="07177270" w14:textId="77777777" w:rsidR="00387AD6" w:rsidRPr="00387AD6" w:rsidRDefault="00387AD6" w:rsidP="00387AD6">
      <w:pPr>
        <w:numPr>
          <w:ilvl w:val="0"/>
          <w:numId w:val="3"/>
        </w:numPr>
        <w:rPr>
          <w:sz w:val="24"/>
          <w:szCs w:val="24"/>
        </w:rPr>
      </w:pPr>
      <w:r w:rsidRPr="00387AD6">
        <w:rPr>
          <w:sz w:val="24"/>
          <w:szCs w:val="24"/>
        </w:rPr>
        <w:t xml:space="preserve">Credit utilization above 70% </w:t>
      </w:r>
    </w:p>
    <w:p w14:paraId="298DD528" w14:textId="77777777" w:rsidR="00387AD6" w:rsidRPr="00387AD6" w:rsidRDefault="00387AD6" w:rsidP="00387AD6">
      <w:pPr>
        <w:numPr>
          <w:ilvl w:val="0"/>
          <w:numId w:val="3"/>
        </w:numPr>
        <w:rPr>
          <w:sz w:val="24"/>
          <w:szCs w:val="24"/>
        </w:rPr>
      </w:pPr>
      <w:r w:rsidRPr="00387AD6">
        <w:rPr>
          <w:sz w:val="24"/>
          <w:szCs w:val="24"/>
        </w:rPr>
        <w:t xml:space="preserve">Low credit score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3"/>
        <w:gridCol w:w="2623"/>
        <w:gridCol w:w="2190"/>
        <w:gridCol w:w="2570"/>
      </w:tblGrid>
      <w:tr w:rsidR="00387AD6" w:rsidRPr="00387AD6" w14:paraId="72A26DFE" w14:textId="77777777" w:rsidTr="00387AD6">
        <w:trPr>
          <w:tblHeader/>
          <w:tblCellSpacing w:w="15" w:type="dxa"/>
        </w:trPr>
        <w:tc>
          <w:tcPr>
            <w:tcW w:w="0" w:type="auto"/>
            <w:vAlign w:val="center"/>
            <w:hideMark/>
          </w:tcPr>
          <w:p w14:paraId="41372849" w14:textId="77777777" w:rsidR="00387AD6" w:rsidRPr="00387AD6" w:rsidRDefault="00387AD6" w:rsidP="00387AD6">
            <w:pPr>
              <w:rPr>
                <w:b/>
                <w:bCs/>
                <w:sz w:val="24"/>
                <w:szCs w:val="24"/>
              </w:rPr>
            </w:pPr>
            <w:r w:rsidRPr="00387AD6">
              <w:rPr>
                <w:b/>
                <w:bCs/>
                <w:sz w:val="24"/>
                <w:szCs w:val="24"/>
              </w:rPr>
              <w:t>Key Insight</w:t>
            </w:r>
          </w:p>
        </w:tc>
        <w:tc>
          <w:tcPr>
            <w:tcW w:w="0" w:type="auto"/>
            <w:vAlign w:val="center"/>
            <w:hideMark/>
          </w:tcPr>
          <w:p w14:paraId="7C1160AB" w14:textId="77777777" w:rsidR="00387AD6" w:rsidRPr="00387AD6" w:rsidRDefault="00387AD6" w:rsidP="00387AD6">
            <w:pPr>
              <w:rPr>
                <w:b/>
                <w:bCs/>
                <w:sz w:val="24"/>
                <w:szCs w:val="24"/>
              </w:rPr>
            </w:pPr>
            <w:r w:rsidRPr="00387AD6">
              <w:rPr>
                <w:b/>
                <w:bCs/>
                <w:sz w:val="24"/>
                <w:szCs w:val="24"/>
              </w:rPr>
              <w:t>Customer Segment</w:t>
            </w:r>
          </w:p>
        </w:tc>
        <w:tc>
          <w:tcPr>
            <w:tcW w:w="0" w:type="auto"/>
            <w:vAlign w:val="center"/>
            <w:hideMark/>
          </w:tcPr>
          <w:p w14:paraId="41B66C65" w14:textId="77777777" w:rsidR="00387AD6" w:rsidRPr="00387AD6" w:rsidRDefault="00387AD6" w:rsidP="00387AD6">
            <w:pPr>
              <w:rPr>
                <w:b/>
                <w:bCs/>
                <w:sz w:val="24"/>
                <w:szCs w:val="24"/>
              </w:rPr>
            </w:pPr>
            <w:r w:rsidRPr="00387AD6">
              <w:rPr>
                <w:b/>
                <w:bCs/>
                <w:sz w:val="24"/>
                <w:szCs w:val="24"/>
              </w:rPr>
              <w:t>Influencing Variables</w:t>
            </w:r>
          </w:p>
        </w:tc>
        <w:tc>
          <w:tcPr>
            <w:tcW w:w="0" w:type="auto"/>
            <w:vAlign w:val="center"/>
            <w:hideMark/>
          </w:tcPr>
          <w:p w14:paraId="0E69244E" w14:textId="77777777" w:rsidR="00387AD6" w:rsidRPr="00387AD6" w:rsidRDefault="00387AD6" w:rsidP="00387AD6">
            <w:pPr>
              <w:rPr>
                <w:b/>
                <w:bCs/>
                <w:sz w:val="24"/>
                <w:szCs w:val="24"/>
              </w:rPr>
            </w:pPr>
            <w:r w:rsidRPr="00387AD6">
              <w:rPr>
                <w:b/>
                <w:bCs/>
                <w:sz w:val="24"/>
                <w:szCs w:val="24"/>
              </w:rPr>
              <w:t>Potential Impact</w:t>
            </w:r>
          </w:p>
        </w:tc>
      </w:tr>
      <w:tr w:rsidR="00387AD6" w:rsidRPr="00387AD6" w14:paraId="0419B408" w14:textId="77777777" w:rsidTr="00387AD6">
        <w:trPr>
          <w:tblCellSpacing w:w="15" w:type="dxa"/>
        </w:trPr>
        <w:tc>
          <w:tcPr>
            <w:tcW w:w="0" w:type="auto"/>
            <w:vAlign w:val="center"/>
            <w:hideMark/>
          </w:tcPr>
          <w:p w14:paraId="5C62A92D" w14:textId="77777777" w:rsidR="00387AD6" w:rsidRPr="00387AD6" w:rsidRDefault="00387AD6" w:rsidP="00387AD6">
            <w:pPr>
              <w:rPr>
                <w:sz w:val="24"/>
                <w:szCs w:val="24"/>
              </w:rPr>
            </w:pPr>
            <w:r w:rsidRPr="00387AD6">
              <w:rPr>
                <w:sz w:val="24"/>
                <w:szCs w:val="24"/>
              </w:rPr>
              <w:t>High credit utilization increases delinquency risk</w:t>
            </w:r>
          </w:p>
        </w:tc>
        <w:tc>
          <w:tcPr>
            <w:tcW w:w="0" w:type="auto"/>
            <w:vAlign w:val="center"/>
            <w:hideMark/>
          </w:tcPr>
          <w:p w14:paraId="5000FF95" w14:textId="77777777" w:rsidR="00387AD6" w:rsidRPr="00387AD6" w:rsidRDefault="00387AD6" w:rsidP="00387AD6">
            <w:pPr>
              <w:rPr>
                <w:sz w:val="24"/>
                <w:szCs w:val="24"/>
              </w:rPr>
            </w:pPr>
            <w:r w:rsidRPr="00387AD6">
              <w:rPr>
                <w:sz w:val="24"/>
                <w:szCs w:val="24"/>
              </w:rPr>
              <w:t>Customers using &gt;70% of available credit</w:t>
            </w:r>
          </w:p>
        </w:tc>
        <w:tc>
          <w:tcPr>
            <w:tcW w:w="0" w:type="auto"/>
            <w:vAlign w:val="center"/>
            <w:hideMark/>
          </w:tcPr>
          <w:p w14:paraId="5159E7F8" w14:textId="77777777" w:rsidR="00387AD6" w:rsidRPr="00387AD6" w:rsidRDefault="00387AD6" w:rsidP="00387AD6">
            <w:pPr>
              <w:rPr>
                <w:sz w:val="24"/>
                <w:szCs w:val="24"/>
              </w:rPr>
            </w:pPr>
            <w:r w:rsidRPr="00387AD6">
              <w:rPr>
                <w:sz w:val="24"/>
                <w:szCs w:val="24"/>
              </w:rPr>
              <w:t>Credit Utilization, Income</w:t>
            </w:r>
          </w:p>
        </w:tc>
        <w:tc>
          <w:tcPr>
            <w:tcW w:w="0" w:type="auto"/>
            <w:vAlign w:val="center"/>
            <w:hideMark/>
          </w:tcPr>
          <w:p w14:paraId="01250411" w14:textId="77777777" w:rsidR="00387AD6" w:rsidRPr="00387AD6" w:rsidRDefault="00387AD6" w:rsidP="00387AD6">
            <w:pPr>
              <w:rPr>
                <w:sz w:val="24"/>
                <w:szCs w:val="24"/>
              </w:rPr>
            </w:pPr>
            <w:r w:rsidRPr="00387AD6">
              <w:rPr>
                <w:sz w:val="24"/>
                <w:szCs w:val="24"/>
              </w:rPr>
              <w:t>Early intervention can reduce defaults</w:t>
            </w:r>
          </w:p>
        </w:tc>
      </w:tr>
      <w:tr w:rsidR="00387AD6" w:rsidRPr="00387AD6" w14:paraId="6A1D6C4A" w14:textId="77777777" w:rsidTr="00387AD6">
        <w:trPr>
          <w:tblCellSpacing w:w="15" w:type="dxa"/>
        </w:trPr>
        <w:tc>
          <w:tcPr>
            <w:tcW w:w="0" w:type="auto"/>
            <w:vAlign w:val="center"/>
            <w:hideMark/>
          </w:tcPr>
          <w:p w14:paraId="691C3EB1" w14:textId="77777777" w:rsidR="00387AD6" w:rsidRPr="00387AD6" w:rsidRDefault="00387AD6" w:rsidP="00387AD6">
            <w:pPr>
              <w:rPr>
                <w:sz w:val="24"/>
                <w:szCs w:val="24"/>
              </w:rPr>
            </w:pPr>
            <w:r w:rsidRPr="00387AD6">
              <w:rPr>
                <w:sz w:val="24"/>
                <w:szCs w:val="24"/>
              </w:rPr>
              <w:t>Missed payments predict future delinquency</w:t>
            </w:r>
          </w:p>
        </w:tc>
        <w:tc>
          <w:tcPr>
            <w:tcW w:w="0" w:type="auto"/>
            <w:vAlign w:val="center"/>
            <w:hideMark/>
          </w:tcPr>
          <w:p w14:paraId="7B9E02F1" w14:textId="77777777" w:rsidR="00387AD6" w:rsidRPr="00387AD6" w:rsidRDefault="00387AD6" w:rsidP="00387AD6">
            <w:pPr>
              <w:rPr>
                <w:sz w:val="24"/>
                <w:szCs w:val="24"/>
              </w:rPr>
            </w:pPr>
            <w:r w:rsidRPr="00387AD6">
              <w:rPr>
                <w:sz w:val="24"/>
                <w:szCs w:val="24"/>
              </w:rPr>
              <w:t>Customers with recent missed payments</w:t>
            </w:r>
          </w:p>
        </w:tc>
        <w:tc>
          <w:tcPr>
            <w:tcW w:w="0" w:type="auto"/>
            <w:vAlign w:val="center"/>
            <w:hideMark/>
          </w:tcPr>
          <w:p w14:paraId="77E3D50D" w14:textId="77777777" w:rsidR="00387AD6" w:rsidRPr="00387AD6" w:rsidRDefault="00387AD6" w:rsidP="00387AD6">
            <w:pPr>
              <w:rPr>
                <w:sz w:val="24"/>
                <w:szCs w:val="24"/>
              </w:rPr>
            </w:pPr>
            <w:r w:rsidRPr="00387AD6">
              <w:rPr>
                <w:sz w:val="24"/>
                <w:szCs w:val="24"/>
              </w:rPr>
              <w:t>Payment History, Days Past Due</w:t>
            </w:r>
          </w:p>
        </w:tc>
        <w:tc>
          <w:tcPr>
            <w:tcW w:w="0" w:type="auto"/>
            <w:vAlign w:val="center"/>
            <w:hideMark/>
          </w:tcPr>
          <w:p w14:paraId="7A715D83" w14:textId="77777777" w:rsidR="00387AD6" w:rsidRPr="00387AD6" w:rsidRDefault="00387AD6" w:rsidP="00387AD6">
            <w:pPr>
              <w:rPr>
                <w:sz w:val="24"/>
                <w:szCs w:val="24"/>
              </w:rPr>
            </w:pPr>
            <w:r w:rsidRPr="00387AD6">
              <w:rPr>
                <w:sz w:val="24"/>
                <w:szCs w:val="24"/>
              </w:rPr>
              <w:t>Supports proactive collections</w:t>
            </w:r>
          </w:p>
        </w:tc>
      </w:tr>
      <w:tr w:rsidR="00387AD6" w:rsidRPr="00387AD6" w14:paraId="049CF871" w14:textId="77777777" w:rsidTr="00387AD6">
        <w:trPr>
          <w:tblCellSpacing w:w="15" w:type="dxa"/>
        </w:trPr>
        <w:tc>
          <w:tcPr>
            <w:tcW w:w="0" w:type="auto"/>
            <w:vAlign w:val="center"/>
            <w:hideMark/>
          </w:tcPr>
          <w:p w14:paraId="05D03CE9" w14:textId="77777777" w:rsidR="00387AD6" w:rsidRPr="00387AD6" w:rsidRDefault="00387AD6" w:rsidP="00387AD6">
            <w:pPr>
              <w:rPr>
                <w:sz w:val="24"/>
                <w:szCs w:val="24"/>
              </w:rPr>
            </w:pPr>
            <w:r w:rsidRPr="00387AD6">
              <w:rPr>
                <w:sz w:val="24"/>
                <w:szCs w:val="24"/>
              </w:rPr>
              <w:t>Low credit scores increase risk</w:t>
            </w:r>
          </w:p>
        </w:tc>
        <w:tc>
          <w:tcPr>
            <w:tcW w:w="0" w:type="auto"/>
            <w:vAlign w:val="center"/>
            <w:hideMark/>
          </w:tcPr>
          <w:p w14:paraId="20BD6AF2" w14:textId="77777777" w:rsidR="00387AD6" w:rsidRPr="00387AD6" w:rsidRDefault="00387AD6" w:rsidP="00387AD6">
            <w:pPr>
              <w:rPr>
                <w:sz w:val="24"/>
                <w:szCs w:val="24"/>
              </w:rPr>
            </w:pPr>
            <w:r w:rsidRPr="00387AD6">
              <w:rPr>
                <w:sz w:val="24"/>
                <w:szCs w:val="24"/>
              </w:rPr>
              <w:t>Customers with weak credit history</w:t>
            </w:r>
          </w:p>
        </w:tc>
        <w:tc>
          <w:tcPr>
            <w:tcW w:w="0" w:type="auto"/>
            <w:vAlign w:val="center"/>
            <w:hideMark/>
          </w:tcPr>
          <w:p w14:paraId="1DBC9783" w14:textId="77777777" w:rsidR="00387AD6" w:rsidRPr="00387AD6" w:rsidRDefault="00387AD6" w:rsidP="00387AD6">
            <w:pPr>
              <w:rPr>
                <w:sz w:val="24"/>
                <w:szCs w:val="24"/>
              </w:rPr>
            </w:pPr>
            <w:r w:rsidRPr="00387AD6">
              <w:rPr>
                <w:sz w:val="24"/>
                <w:szCs w:val="24"/>
              </w:rPr>
              <w:t>Credit Score, Credit Inquiries</w:t>
            </w:r>
          </w:p>
        </w:tc>
        <w:tc>
          <w:tcPr>
            <w:tcW w:w="0" w:type="auto"/>
            <w:vAlign w:val="center"/>
            <w:hideMark/>
          </w:tcPr>
          <w:p w14:paraId="670D4F02" w14:textId="77777777" w:rsidR="00387AD6" w:rsidRPr="00387AD6" w:rsidRDefault="00387AD6" w:rsidP="00387AD6">
            <w:pPr>
              <w:rPr>
                <w:sz w:val="24"/>
                <w:szCs w:val="24"/>
              </w:rPr>
            </w:pPr>
            <w:r w:rsidRPr="00387AD6">
              <w:rPr>
                <w:sz w:val="24"/>
                <w:szCs w:val="24"/>
              </w:rPr>
              <w:t>Improves risk assessment</w:t>
            </w:r>
          </w:p>
        </w:tc>
      </w:tr>
    </w:tbl>
    <w:p w14:paraId="14F3AC11" w14:textId="1ABC6E5F" w:rsidR="00387AD6" w:rsidRPr="00387AD6" w:rsidRDefault="00387AD6" w:rsidP="00387AD6">
      <w:pPr>
        <w:rPr>
          <w:sz w:val="24"/>
          <w:szCs w:val="24"/>
        </w:rPr>
      </w:pPr>
    </w:p>
    <w:p w14:paraId="631CD7AC" w14:textId="77777777" w:rsidR="00387AD6" w:rsidRPr="00387AD6" w:rsidRDefault="00387AD6" w:rsidP="00387AD6">
      <w:pPr>
        <w:rPr>
          <w:b/>
          <w:bCs/>
          <w:sz w:val="28"/>
          <w:szCs w:val="28"/>
        </w:rPr>
      </w:pPr>
      <w:r w:rsidRPr="00387AD6">
        <w:rPr>
          <w:b/>
          <w:bCs/>
          <w:sz w:val="28"/>
          <w:szCs w:val="28"/>
        </w:rPr>
        <w:t>2. Recommendation Framework</w:t>
      </w:r>
    </w:p>
    <w:p w14:paraId="648AD6F8" w14:textId="77777777" w:rsidR="00387AD6" w:rsidRPr="00387AD6" w:rsidRDefault="00387AD6" w:rsidP="00387AD6">
      <w:pPr>
        <w:rPr>
          <w:b/>
          <w:bCs/>
          <w:sz w:val="28"/>
          <w:szCs w:val="28"/>
        </w:rPr>
      </w:pPr>
      <w:r w:rsidRPr="00387AD6">
        <w:rPr>
          <w:b/>
          <w:bCs/>
          <w:sz w:val="28"/>
          <w:szCs w:val="28"/>
        </w:rPr>
        <w:t>Restated Insight</w:t>
      </w:r>
    </w:p>
    <w:p w14:paraId="3D65E11A" w14:textId="77777777" w:rsidR="00387AD6" w:rsidRPr="00387AD6" w:rsidRDefault="00387AD6" w:rsidP="00387AD6">
      <w:pPr>
        <w:rPr>
          <w:sz w:val="24"/>
          <w:szCs w:val="24"/>
        </w:rPr>
      </w:pPr>
      <w:r w:rsidRPr="00387AD6">
        <w:rPr>
          <w:sz w:val="24"/>
          <w:szCs w:val="24"/>
        </w:rPr>
        <w:t>Customers with credit utilization above 70% are more likely to become delinquent.</w:t>
      </w:r>
    </w:p>
    <w:p w14:paraId="087989B3" w14:textId="77777777" w:rsidR="00387AD6" w:rsidRPr="00387AD6" w:rsidRDefault="00387AD6" w:rsidP="00387AD6">
      <w:pPr>
        <w:rPr>
          <w:b/>
          <w:bCs/>
          <w:sz w:val="28"/>
          <w:szCs w:val="28"/>
        </w:rPr>
      </w:pPr>
      <w:r w:rsidRPr="00387AD6">
        <w:rPr>
          <w:b/>
          <w:bCs/>
          <w:sz w:val="28"/>
          <w:szCs w:val="28"/>
        </w:rPr>
        <w:t>Proposed Recommendation</w:t>
      </w:r>
    </w:p>
    <w:p w14:paraId="39A4570B" w14:textId="77777777" w:rsidR="00387AD6" w:rsidRPr="00387AD6" w:rsidRDefault="00387AD6" w:rsidP="00387AD6">
      <w:pPr>
        <w:rPr>
          <w:sz w:val="24"/>
          <w:szCs w:val="24"/>
        </w:rPr>
      </w:pPr>
      <w:r w:rsidRPr="00387AD6">
        <w:rPr>
          <w:sz w:val="24"/>
          <w:szCs w:val="24"/>
        </w:rPr>
        <w:t>Implement an Early Credit Utilization Monitoring Program for customers whose utilization exceeds 70%.</w:t>
      </w:r>
    </w:p>
    <w:p w14:paraId="70AC119E" w14:textId="77777777" w:rsidR="00387AD6" w:rsidRPr="00387AD6" w:rsidRDefault="00387AD6" w:rsidP="00387AD6">
      <w:pPr>
        <w:rPr>
          <w:b/>
          <w:bCs/>
          <w:sz w:val="28"/>
          <w:szCs w:val="28"/>
        </w:rPr>
      </w:pPr>
      <w:r w:rsidRPr="00387AD6">
        <w:rPr>
          <w:b/>
          <w:bCs/>
          <w:sz w:val="28"/>
          <w:szCs w:val="28"/>
        </w:rPr>
        <w:t>SMART Goal</w:t>
      </w:r>
    </w:p>
    <w:p w14:paraId="142CC553" w14:textId="77777777" w:rsidR="00387AD6" w:rsidRPr="00387AD6" w:rsidRDefault="00387AD6" w:rsidP="00387AD6">
      <w:pPr>
        <w:rPr>
          <w:sz w:val="24"/>
          <w:szCs w:val="24"/>
        </w:rPr>
      </w:pPr>
      <w:r w:rsidRPr="00387AD6">
        <w:rPr>
          <w:sz w:val="24"/>
          <w:szCs w:val="24"/>
        </w:rPr>
        <w:t>Reduce delinquency among customers with credit utilization above 70% by 15% within 6 months through automated alerts, payment reminders, and targeted repayment support.</w:t>
      </w:r>
    </w:p>
    <w:p w14:paraId="149ABC6C" w14:textId="77777777" w:rsidR="00387AD6" w:rsidRPr="00387AD6" w:rsidRDefault="00387AD6" w:rsidP="00387AD6">
      <w:pPr>
        <w:rPr>
          <w:b/>
          <w:bCs/>
          <w:sz w:val="28"/>
          <w:szCs w:val="28"/>
        </w:rPr>
      </w:pPr>
      <w:r w:rsidRPr="00387AD6">
        <w:rPr>
          <w:b/>
          <w:bCs/>
          <w:sz w:val="28"/>
          <w:szCs w:val="28"/>
        </w:rPr>
        <w:lastRenderedPageBreak/>
        <w:t>SMART Breakdown</w:t>
      </w:r>
    </w:p>
    <w:p w14:paraId="0F3B48B7" w14:textId="77777777" w:rsidR="00387AD6" w:rsidRPr="00387AD6" w:rsidRDefault="00387AD6" w:rsidP="00387AD6">
      <w:pPr>
        <w:numPr>
          <w:ilvl w:val="0"/>
          <w:numId w:val="4"/>
        </w:numPr>
        <w:rPr>
          <w:sz w:val="24"/>
          <w:szCs w:val="24"/>
        </w:rPr>
      </w:pPr>
      <w:r w:rsidRPr="00387AD6">
        <w:rPr>
          <w:b/>
          <w:bCs/>
          <w:sz w:val="24"/>
          <w:szCs w:val="24"/>
        </w:rPr>
        <w:t>Specific:</w:t>
      </w:r>
      <w:r w:rsidRPr="00387AD6">
        <w:rPr>
          <w:sz w:val="24"/>
          <w:szCs w:val="24"/>
        </w:rPr>
        <w:t xml:space="preserve"> Identify and monitor customers with utilization above 70%. </w:t>
      </w:r>
    </w:p>
    <w:p w14:paraId="706140E9" w14:textId="77777777" w:rsidR="00387AD6" w:rsidRPr="00387AD6" w:rsidRDefault="00387AD6" w:rsidP="00387AD6">
      <w:pPr>
        <w:numPr>
          <w:ilvl w:val="0"/>
          <w:numId w:val="4"/>
        </w:numPr>
        <w:rPr>
          <w:sz w:val="24"/>
          <w:szCs w:val="24"/>
        </w:rPr>
      </w:pPr>
      <w:r w:rsidRPr="00387AD6">
        <w:rPr>
          <w:b/>
          <w:bCs/>
          <w:sz w:val="24"/>
          <w:szCs w:val="24"/>
        </w:rPr>
        <w:t>Measurable:</w:t>
      </w:r>
      <w:r w:rsidRPr="00387AD6">
        <w:rPr>
          <w:sz w:val="24"/>
          <w:szCs w:val="24"/>
        </w:rPr>
        <w:t xml:space="preserve"> Achieve a 15% reduction in delinquency. </w:t>
      </w:r>
    </w:p>
    <w:p w14:paraId="5E041FD5" w14:textId="77777777" w:rsidR="00387AD6" w:rsidRPr="00387AD6" w:rsidRDefault="00387AD6" w:rsidP="00387AD6">
      <w:pPr>
        <w:numPr>
          <w:ilvl w:val="0"/>
          <w:numId w:val="4"/>
        </w:numPr>
        <w:rPr>
          <w:sz w:val="24"/>
          <w:szCs w:val="24"/>
        </w:rPr>
      </w:pPr>
      <w:r w:rsidRPr="00387AD6">
        <w:rPr>
          <w:b/>
          <w:bCs/>
          <w:sz w:val="24"/>
          <w:szCs w:val="24"/>
        </w:rPr>
        <w:t>Actionable:</w:t>
      </w:r>
      <w:r w:rsidRPr="00387AD6">
        <w:rPr>
          <w:sz w:val="24"/>
          <w:szCs w:val="24"/>
        </w:rPr>
        <w:t xml:space="preserve"> Use alerts, reminders, and repayment assistance. </w:t>
      </w:r>
    </w:p>
    <w:p w14:paraId="5F460B83" w14:textId="77777777" w:rsidR="00387AD6" w:rsidRPr="00387AD6" w:rsidRDefault="00387AD6" w:rsidP="00387AD6">
      <w:pPr>
        <w:numPr>
          <w:ilvl w:val="0"/>
          <w:numId w:val="4"/>
        </w:numPr>
        <w:rPr>
          <w:sz w:val="24"/>
          <w:szCs w:val="24"/>
        </w:rPr>
      </w:pPr>
      <w:r w:rsidRPr="00387AD6">
        <w:rPr>
          <w:b/>
          <w:bCs/>
          <w:sz w:val="24"/>
          <w:szCs w:val="24"/>
        </w:rPr>
        <w:t>Relevant:</w:t>
      </w:r>
      <w:r w:rsidRPr="00387AD6">
        <w:rPr>
          <w:sz w:val="24"/>
          <w:szCs w:val="24"/>
        </w:rPr>
        <w:t xml:space="preserve"> Addresses a key predictor of delinquency. </w:t>
      </w:r>
    </w:p>
    <w:p w14:paraId="1D349854" w14:textId="77777777" w:rsidR="00387AD6" w:rsidRDefault="00387AD6" w:rsidP="00387AD6">
      <w:pPr>
        <w:numPr>
          <w:ilvl w:val="0"/>
          <w:numId w:val="4"/>
        </w:numPr>
        <w:rPr>
          <w:sz w:val="24"/>
          <w:szCs w:val="24"/>
        </w:rPr>
      </w:pPr>
      <w:r w:rsidRPr="00387AD6">
        <w:rPr>
          <w:b/>
          <w:bCs/>
          <w:sz w:val="24"/>
          <w:szCs w:val="24"/>
        </w:rPr>
        <w:t>Time-bound:</w:t>
      </w:r>
      <w:r w:rsidRPr="00387AD6">
        <w:rPr>
          <w:sz w:val="24"/>
          <w:szCs w:val="24"/>
        </w:rPr>
        <w:t xml:space="preserve"> Results measured within 6 months. </w:t>
      </w:r>
    </w:p>
    <w:p w14:paraId="4A703182" w14:textId="77777777" w:rsidR="00387AD6" w:rsidRPr="00387AD6" w:rsidRDefault="00387AD6" w:rsidP="00387AD6">
      <w:pPr>
        <w:ind w:left="720"/>
        <w:rPr>
          <w:sz w:val="24"/>
          <w:szCs w:val="24"/>
        </w:rPr>
      </w:pPr>
    </w:p>
    <w:p w14:paraId="05C48C09" w14:textId="77777777" w:rsidR="00387AD6" w:rsidRPr="00387AD6" w:rsidRDefault="00387AD6" w:rsidP="00387AD6">
      <w:pPr>
        <w:rPr>
          <w:b/>
          <w:bCs/>
          <w:sz w:val="24"/>
          <w:szCs w:val="24"/>
        </w:rPr>
      </w:pPr>
      <w:r w:rsidRPr="00387AD6">
        <w:rPr>
          <w:b/>
          <w:bCs/>
          <w:sz w:val="28"/>
          <w:szCs w:val="28"/>
        </w:rPr>
        <w:t>Justification and Business Rationale</w:t>
      </w:r>
    </w:p>
    <w:p w14:paraId="603CED9D" w14:textId="77777777" w:rsidR="00387AD6" w:rsidRPr="00387AD6" w:rsidRDefault="00387AD6" w:rsidP="00387AD6">
      <w:pPr>
        <w:rPr>
          <w:sz w:val="24"/>
          <w:szCs w:val="24"/>
        </w:rPr>
      </w:pPr>
      <w:r w:rsidRPr="00387AD6">
        <w:rPr>
          <w:sz w:val="24"/>
          <w:szCs w:val="24"/>
        </w:rPr>
        <w:t>High credit utilization is a strong indicator of financial stress. Early intervention can help customers manage debt, reduce delinquency rates, and lower collection costs while supporting responsible lending.</w:t>
      </w:r>
    </w:p>
    <w:p w14:paraId="1C7490A8" w14:textId="2928BBE1" w:rsidR="00387AD6" w:rsidRPr="00387AD6" w:rsidRDefault="00387AD6" w:rsidP="00387AD6">
      <w:pPr>
        <w:rPr>
          <w:sz w:val="24"/>
          <w:szCs w:val="24"/>
        </w:rPr>
      </w:pPr>
    </w:p>
    <w:p w14:paraId="3EDE30BB" w14:textId="77777777" w:rsidR="00387AD6" w:rsidRPr="00387AD6" w:rsidRDefault="00387AD6" w:rsidP="00387AD6">
      <w:pPr>
        <w:rPr>
          <w:b/>
          <w:bCs/>
          <w:sz w:val="28"/>
          <w:szCs w:val="28"/>
        </w:rPr>
      </w:pPr>
      <w:r w:rsidRPr="00387AD6">
        <w:rPr>
          <w:b/>
          <w:bCs/>
          <w:sz w:val="28"/>
          <w:szCs w:val="28"/>
        </w:rPr>
        <w:t>3. Ethical and Responsible AI Considerations</w:t>
      </w:r>
    </w:p>
    <w:p w14:paraId="6D005C82" w14:textId="77777777" w:rsidR="00387AD6" w:rsidRPr="00387AD6" w:rsidRDefault="00387AD6" w:rsidP="00387AD6">
      <w:pPr>
        <w:rPr>
          <w:b/>
          <w:bCs/>
          <w:sz w:val="28"/>
          <w:szCs w:val="28"/>
        </w:rPr>
      </w:pPr>
      <w:r w:rsidRPr="00387AD6">
        <w:rPr>
          <w:b/>
          <w:bCs/>
          <w:sz w:val="28"/>
          <w:szCs w:val="28"/>
        </w:rPr>
        <w:t>Fairness Risk 1: Income-Based Bias</w:t>
      </w:r>
    </w:p>
    <w:p w14:paraId="41E9DA9E" w14:textId="77777777" w:rsidR="00387AD6" w:rsidRPr="00387AD6" w:rsidRDefault="00387AD6" w:rsidP="00387AD6">
      <w:pPr>
        <w:rPr>
          <w:sz w:val="24"/>
          <w:szCs w:val="24"/>
        </w:rPr>
      </w:pPr>
      <w:r w:rsidRPr="00387AD6">
        <w:rPr>
          <w:sz w:val="24"/>
          <w:szCs w:val="24"/>
        </w:rPr>
        <w:t>Lower-income customers may be classified as higher risk more often.</w:t>
      </w:r>
    </w:p>
    <w:p w14:paraId="4374AEBF" w14:textId="77777777" w:rsidR="00387AD6" w:rsidRPr="00387AD6" w:rsidRDefault="00387AD6" w:rsidP="00387AD6">
      <w:pPr>
        <w:rPr>
          <w:sz w:val="24"/>
          <w:szCs w:val="24"/>
        </w:rPr>
      </w:pPr>
      <w:r w:rsidRPr="00387AD6">
        <w:rPr>
          <w:b/>
          <w:bCs/>
          <w:sz w:val="28"/>
          <w:szCs w:val="28"/>
        </w:rPr>
        <w:t>Mitigation</w:t>
      </w:r>
      <w:r w:rsidRPr="00387AD6">
        <w:rPr>
          <w:b/>
          <w:bCs/>
          <w:sz w:val="24"/>
          <w:szCs w:val="24"/>
        </w:rPr>
        <w:t>:</w:t>
      </w:r>
      <w:r w:rsidRPr="00387AD6">
        <w:rPr>
          <w:sz w:val="24"/>
          <w:szCs w:val="24"/>
        </w:rPr>
        <w:t xml:space="preserve"> Monitor model performance across income groups and include human review for high-risk decisions.</w:t>
      </w:r>
    </w:p>
    <w:p w14:paraId="6E60BCEF" w14:textId="77777777" w:rsidR="00387AD6" w:rsidRPr="00387AD6" w:rsidRDefault="00387AD6" w:rsidP="00387AD6">
      <w:pPr>
        <w:rPr>
          <w:b/>
          <w:bCs/>
          <w:sz w:val="28"/>
          <w:szCs w:val="28"/>
        </w:rPr>
      </w:pPr>
      <w:r w:rsidRPr="00387AD6">
        <w:rPr>
          <w:b/>
          <w:bCs/>
          <w:sz w:val="28"/>
          <w:szCs w:val="28"/>
        </w:rPr>
        <w:t>Fairness Risk 2: Proxy Bias</w:t>
      </w:r>
    </w:p>
    <w:p w14:paraId="103D1E14" w14:textId="77777777" w:rsidR="00387AD6" w:rsidRPr="00387AD6" w:rsidRDefault="00387AD6" w:rsidP="00387AD6">
      <w:pPr>
        <w:rPr>
          <w:sz w:val="24"/>
          <w:szCs w:val="24"/>
        </w:rPr>
      </w:pPr>
      <w:r w:rsidRPr="00387AD6">
        <w:rPr>
          <w:sz w:val="24"/>
          <w:szCs w:val="24"/>
        </w:rPr>
        <w:t>Variables such as location or credit inquiries may indirectly represent sensitive characteristics.</w:t>
      </w:r>
    </w:p>
    <w:p w14:paraId="13B7A57B" w14:textId="77777777" w:rsidR="00387AD6" w:rsidRPr="00387AD6" w:rsidRDefault="00387AD6" w:rsidP="00387AD6">
      <w:pPr>
        <w:rPr>
          <w:sz w:val="24"/>
          <w:szCs w:val="24"/>
        </w:rPr>
      </w:pPr>
      <w:r w:rsidRPr="00387AD6">
        <w:rPr>
          <w:b/>
          <w:bCs/>
          <w:sz w:val="28"/>
          <w:szCs w:val="28"/>
        </w:rPr>
        <w:t>Mitigation</w:t>
      </w:r>
      <w:r w:rsidRPr="00387AD6">
        <w:rPr>
          <w:b/>
          <w:bCs/>
          <w:sz w:val="24"/>
          <w:szCs w:val="24"/>
        </w:rPr>
        <w:t>:</w:t>
      </w:r>
      <w:r w:rsidRPr="00387AD6">
        <w:rPr>
          <w:sz w:val="24"/>
          <w:szCs w:val="24"/>
        </w:rPr>
        <w:t xml:space="preserve"> Regularly test for bias, review feature selection, and compare prediction outcomes across customer groups.</w:t>
      </w:r>
    </w:p>
    <w:p w14:paraId="07542CB7" w14:textId="77777777" w:rsidR="00387AD6" w:rsidRPr="00387AD6" w:rsidRDefault="00387AD6" w:rsidP="00387AD6">
      <w:pPr>
        <w:rPr>
          <w:b/>
          <w:bCs/>
          <w:sz w:val="24"/>
          <w:szCs w:val="24"/>
        </w:rPr>
      </w:pPr>
      <w:r w:rsidRPr="00387AD6">
        <w:rPr>
          <w:b/>
          <w:bCs/>
          <w:sz w:val="28"/>
          <w:szCs w:val="28"/>
        </w:rPr>
        <w:t>Explainability and Transparency</w:t>
      </w:r>
    </w:p>
    <w:p w14:paraId="43441177" w14:textId="77777777" w:rsidR="00387AD6" w:rsidRPr="00387AD6" w:rsidRDefault="00387AD6" w:rsidP="00387AD6">
      <w:pPr>
        <w:rPr>
          <w:sz w:val="24"/>
          <w:szCs w:val="24"/>
        </w:rPr>
      </w:pPr>
      <w:r w:rsidRPr="00387AD6">
        <w:rPr>
          <w:sz w:val="24"/>
          <w:szCs w:val="24"/>
        </w:rPr>
        <w:t>The logistic regression model provides clear explanations of how factors such as missed payments, credit utilization, and credit score influence risk predictions. This makes the model easier to communicate to stakeholders and customers.</w:t>
      </w:r>
    </w:p>
    <w:p w14:paraId="255EE9C9" w14:textId="77777777" w:rsidR="00387AD6" w:rsidRPr="00387AD6" w:rsidRDefault="00387AD6" w:rsidP="00387AD6">
      <w:pPr>
        <w:rPr>
          <w:b/>
          <w:bCs/>
          <w:sz w:val="28"/>
          <w:szCs w:val="28"/>
        </w:rPr>
      </w:pPr>
      <w:r w:rsidRPr="00387AD6">
        <w:rPr>
          <w:b/>
          <w:bCs/>
          <w:sz w:val="28"/>
          <w:szCs w:val="28"/>
        </w:rPr>
        <w:t>Responsible AI</w:t>
      </w:r>
    </w:p>
    <w:p w14:paraId="453B788B" w14:textId="77777777" w:rsidR="00387AD6" w:rsidRPr="00387AD6" w:rsidRDefault="00387AD6" w:rsidP="00387AD6">
      <w:pPr>
        <w:rPr>
          <w:sz w:val="24"/>
          <w:szCs w:val="24"/>
        </w:rPr>
      </w:pPr>
      <w:r w:rsidRPr="00387AD6">
        <w:rPr>
          <w:sz w:val="24"/>
          <w:szCs w:val="24"/>
        </w:rPr>
        <w:t>The approach promotes fairness, transparency, accountability, and data privacy while ensuring that AI supports—not replaces—human decision-making.</w:t>
      </w:r>
    </w:p>
    <w:p w14:paraId="158C5300" w14:textId="13A7D87C" w:rsidR="00387AD6" w:rsidRPr="00387AD6" w:rsidRDefault="00387AD6" w:rsidP="00387AD6">
      <w:pPr>
        <w:rPr>
          <w:sz w:val="24"/>
          <w:szCs w:val="24"/>
        </w:rPr>
      </w:pPr>
    </w:p>
    <w:p w14:paraId="4358ED0F" w14:textId="77777777" w:rsidR="00387AD6" w:rsidRPr="00387AD6" w:rsidRDefault="00387AD6" w:rsidP="00387AD6">
      <w:pPr>
        <w:rPr>
          <w:b/>
          <w:bCs/>
          <w:sz w:val="28"/>
          <w:szCs w:val="28"/>
        </w:rPr>
      </w:pPr>
      <w:r w:rsidRPr="00387AD6">
        <w:rPr>
          <w:b/>
          <w:bCs/>
          <w:sz w:val="28"/>
          <w:szCs w:val="28"/>
        </w:rPr>
        <w:t>Conclusion</w:t>
      </w:r>
    </w:p>
    <w:p w14:paraId="458B2BEB" w14:textId="77777777" w:rsidR="00387AD6" w:rsidRPr="00387AD6" w:rsidRDefault="00387AD6" w:rsidP="00387AD6">
      <w:pPr>
        <w:rPr>
          <w:sz w:val="24"/>
          <w:szCs w:val="24"/>
        </w:rPr>
      </w:pPr>
      <w:r w:rsidRPr="00387AD6">
        <w:rPr>
          <w:sz w:val="24"/>
          <w:szCs w:val="24"/>
        </w:rPr>
        <w:t>Missed payments, high credit utilization, and low credit scores are the strongest indicators of delinquency. Proactive monitoring of high-risk customers can reduce delinquency while maintaining responsible and transparent lending practices.</w:t>
      </w:r>
    </w:p>
    <w:p w14:paraId="49F7F385" w14:textId="77777777" w:rsidR="00E46AD8" w:rsidRPr="00387AD6" w:rsidRDefault="00E46AD8">
      <w:pPr>
        <w:rPr>
          <w:sz w:val="24"/>
          <w:szCs w:val="24"/>
        </w:rPr>
      </w:pPr>
    </w:p>
    <w:sectPr w:rsidR="00E46AD8" w:rsidRPr="00387AD6" w:rsidSect="00387AD6">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F4DE" w14:textId="77777777" w:rsidR="00307425" w:rsidRDefault="00307425" w:rsidP="00387AD6">
      <w:pPr>
        <w:spacing w:after="0" w:line="240" w:lineRule="auto"/>
      </w:pPr>
      <w:r>
        <w:separator/>
      </w:r>
    </w:p>
  </w:endnote>
  <w:endnote w:type="continuationSeparator" w:id="0">
    <w:p w14:paraId="3E91A08B" w14:textId="77777777" w:rsidR="00307425" w:rsidRDefault="00307425" w:rsidP="0038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551738"/>
      <w:docPartObj>
        <w:docPartGallery w:val="Page Numbers (Bottom of Page)"/>
        <w:docPartUnique/>
      </w:docPartObj>
    </w:sdtPr>
    <w:sdtEndPr>
      <w:rPr>
        <w:noProof/>
      </w:rPr>
    </w:sdtEndPr>
    <w:sdtContent>
      <w:p w14:paraId="6DEC2755" w14:textId="014951DF" w:rsidR="00387AD6" w:rsidRDefault="00387A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380B0" w14:textId="77777777" w:rsidR="00387AD6" w:rsidRDefault="00387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0A53" w14:textId="77777777" w:rsidR="00307425" w:rsidRDefault="00307425" w:rsidP="00387AD6">
      <w:pPr>
        <w:spacing w:after="0" w:line="240" w:lineRule="auto"/>
      </w:pPr>
      <w:r>
        <w:separator/>
      </w:r>
    </w:p>
  </w:footnote>
  <w:footnote w:type="continuationSeparator" w:id="0">
    <w:p w14:paraId="5101A147" w14:textId="77777777" w:rsidR="00307425" w:rsidRDefault="00307425" w:rsidP="00387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1A40"/>
    <w:multiLevelType w:val="multilevel"/>
    <w:tmpl w:val="801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36453"/>
    <w:multiLevelType w:val="multilevel"/>
    <w:tmpl w:val="38E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F5A0B"/>
    <w:multiLevelType w:val="multilevel"/>
    <w:tmpl w:val="3F20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1E0CB6"/>
    <w:multiLevelType w:val="multilevel"/>
    <w:tmpl w:val="852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608554">
    <w:abstractNumId w:val="1"/>
  </w:num>
  <w:num w:numId="2" w16cid:durableId="1100443454">
    <w:abstractNumId w:val="2"/>
  </w:num>
  <w:num w:numId="3" w16cid:durableId="1103568563">
    <w:abstractNumId w:val="3"/>
  </w:num>
  <w:num w:numId="4" w16cid:durableId="70838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D6"/>
    <w:rsid w:val="00307425"/>
    <w:rsid w:val="00387AD6"/>
    <w:rsid w:val="004C4486"/>
    <w:rsid w:val="006D1024"/>
    <w:rsid w:val="00A7148A"/>
    <w:rsid w:val="00E46AD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0535"/>
  <w15:chartTrackingRefBased/>
  <w15:docId w15:val="{5B4789C8-7981-49B9-A16F-CCEA216E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AD6"/>
    <w:rPr>
      <w:rFonts w:eastAsiaTheme="majorEastAsia" w:cstheme="majorBidi"/>
      <w:color w:val="272727" w:themeColor="text1" w:themeTint="D8"/>
    </w:rPr>
  </w:style>
  <w:style w:type="paragraph" w:styleId="Title">
    <w:name w:val="Title"/>
    <w:basedOn w:val="Normal"/>
    <w:next w:val="Normal"/>
    <w:link w:val="TitleChar"/>
    <w:uiPriority w:val="10"/>
    <w:qFormat/>
    <w:rsid w:val="0038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AD6"/>
    <w:pPr>
      <w:spacing w:before="160"/>
      <w:jc w:val="center"/>
    </w:pPr>
    <w:rPr>
      <w:i/>
      <w:iCs/>
      <w:color w:val="404040" w:themeColor="text1" w:themeTint="BF"/>
    </w:rPr>
  </w:style>
  <w:style w:type="character" w:customStyle="1" w:styleId="QuoteChar">
    <w:name w:val="Quote Char"/>
    <w:basedOn w:val="DefaultParagraphFont"/>
    <w:link w:val="Quote"/>
    <w:uiPriority w:val="29"/>
    <w:rsid w:val="00387AD6"/>
    <w:rPr>
      <w:i/>
      <w:iCs/>
      <w:color w:val="404040" w:themeColor="text1" w:themeTint="BF"/>
    </w:rPr>
  </w:style>
  <w:style w:type="paragraph" w:styleId="ListParagraph">
    <w:name w:val="List Paragraph"/>
    <w:basedOn w:val="Normal"/>
    <w:uiPriority w:val="34"/>
    <w:qFormat/>
    <w:rsid w:val="00387AD6"/>
    <w:pPr>
      <w:ind w:left="720"/>
      <w:contextualSpacing/>
    </w:pPr>
  </w:style>
  <w:style w:type="character" w:styleId="IntenseEmphasis">
    <w:name w:val="Intense Emphasis"/>
    <w:basedOn w:val="DefaultParagraphFont"/>
    <w:uiPriority w:val="21"/>
    <w:qFormat/>
    <w:rsid w:val="00387AD6"/>
    <w:rPr>
      <w:i/>
      <w:iCs/>
      <w:color w:val="2F5496" w:themeColor="accent1" w:themeShade="BF"/>
    </w:rPr>
  </w:style>
  <w:style w:type="paragraph" w:styleId="IntenseQuote">
    <w:name w:val="Intense Quote"/>
    <w:basedOn w:val="Normal"/>
    <w:next w:val="Normal"/>
    <w:link w:val="IntenseQuoteChar"/>
    <w:uiPriority w:val="30"/>
    <w:qFormat/>
    <w:rsid w:val="00387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AD6"/>
    <w:rPr>
      <w:i/>
      <w:iCs/>
      <w:color w:val="2F5496" w:themeColor="accent1" w:themeShade="BF"/>
    </w:rPr>
  </w:style>
  <w:style w:type="character" w:styleId="IntenseReference">
    <w:name w:val="Intense Reference"/>
    <w:basedOn w:val="DefaultParagraphFont"/>
    <w:uiPriority w:val="32"/>
    <w:qFormat/>
    <w:rsid w:val="00387AD6"/>
    <w:rPr>
      <w:b/>
      <w:bCs/>
      <w:smallCaps/>
      <w:color w:val="2F5496" w:themeColor="accent1" w:themeShade="BF"/>
      <w:spacing w:val="5"/>
    </w:rPr>
  </w:style>
  <w:style w:type="paragraph" w:styleId="Header">
    <w:name w:val="header"/>
    <w:basedOn w:val="Normal"/>
    <w:link w:val="HeaderChar"/>
    <w:uiPriority w:val="99"/>
    <w:unhideWhenUsed/>
    <w:rsid w:val="00387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AD6"/>
  </w:style>
  <w:style w:type="paragraph" w:styleId="Footer">
    <w:name w:val="footer"/>
    <w:basedOn w:val="Normal"/>
    <w:link w:val="FooterChar"/>
    <w:uiPriority w:val="99"/>
    <w:unhideWhenUsed/>
    <w:rsid w:val="00387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ponesakki m</dc:creator>
  <cp:keywords/>
  <dc:description/>
  <cp:lastModifiedBy>ponesakki m</cp:lastModifiedBy>
  <cp:revision>1</cp:revision>
  <dcterms:created xsi:type="dcterms:W3CDTF">2026-06-01T13:56:00Z</dcterms:created>
  <dcterms:modified xsi:type="dcterms:W3CDTF">2026-06-01T14:00:00Z</dcterms:modified>
</cp:coreProperties>
</file>