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Outlier Channel Investigation</w:t>
      </w:r>
    </w:p>
    <w:p>
      <w:pPr>
        <w:jc w:val="center"/>
      </w:pPr>
      <w:r>
        <w:rPr>
          <w:i/>
          <w:iCs/>
          <w:sz w:val="22"/>
          <w:szCs w:val="22"/>
        </w:rPr>
        <w:t xml:space="preserve">Satellite Telemetry Anomaly Detection — Capstone Project</w:t>
      </w:r>
    </w:p>
    <w:p>
      <w:pPr>
        <w:jc w:val="center"/>
      </w:pPr>
      <w:r>
        <w:rPr>
          <w:color w:val="555555"/>
          <w:sz w:val="20"/>
          <w:szCs w:val="20"/>
        </w:rPr>
        <w:t xml:space="preserve">Day 20 — Data Engineering track</w:t>
      </w:r>
    </w:p>
    <w:p>
      <w:pPr>
        <w:spacing w:after="200"/>
      </w:pPr>
    </w:p>
    <w:p>
      <w:pPr>
        <w:pStyle w:val="Heading1"/>
      </w:pPr>
      <w:r>
        <w:t xml:space="preserve">1. Cross-Referencing Day 19 Against Day 6</w:t>
      </w:r>
    </w:p>
    <w:p>
      <w:pPr>
        <w:spacing w:after="150"/>
      </w:pPr>
      <w:r>
        <w:rPr>
          <w:sz w:val="22"/>
          <w:szCs w:val="22"/>
        </w:rPr>
        <w:t xml:space="preserve">Day 19's investigation found that live prediction accuracy rises through a segment for most channels, but CADC0874 and CADC0894 stayed weak even by the end of the segment. Cross-referencing against the Day 6 offline per-channel F1 results reveals these two channels do NOT share the same underlying cause — an earlier assumption that both reflected the same data-scarcity issue was incorrect and is corrected 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0"/>
      </w:tblGrid>
      <w:tr>
        <w:tc>
          <w:tcPr>
            <w:tcW w:type="dxa" w:w="2000"/>
            <w:shd w:fill="2F5496" w:val="clear"/>
          </w:tcPr>
          <w:p>
            <w:r>
              <w:rPr>
                <w:b/>
                <w:bCs/>
                <w:color w:val="FFFFFF"/>
                <w:sz w:val="20"/>
                <w:szCs w:val="20"/>
              </w:rPr>
              <w:t xml:space="preserve">Channel</w:t>
            </w:r>
          </w:p>
        </w:tc>
        <w:tc>
          <w:tcPr>
            <w:tcW w:type="dxa" w:w="2500"/>
            <w:shd w:fill="2F5496" w:val="clear"/>
          </w:tcPr>
          <w:p>
            <w:r>
              <w:rPr>
                <w:b/>
                <w:bCs/>
                <w:color w:val="FFFFFF"/>
                <w:sz w:val="20"/>
                <w:szCs w:val="20"/>
              </w:rPr>
              <w:t xml:space="preserve">Offline F1 (Day 6)</w:t>
            </w:r>
          </w:p>
        </w:tc>
        <w:tc>
          <w:tcPr>
            <w:tcW w:type="dxa" w:w="2500"/>
            <w:shd w:fill="2F5496" w:val="clear"/>
          </w:tcPr>
          <w:p>
            <w:r>
              <w:rPr>
                <w:b/>
                <w:bCs/>
                <w:color w:val="FFFFFF"/>
                <w:sz w:val="20"/>
                <w:szCs w:val="20"/>
              </w:rPr>
              <w:t xml:space="preserve">Live, first half</w:t>
            </w:r>
          </w:p>
        </w:tc>
        <w:tc>
          <w:tcPr>
            <w:tcW w:type="dxa" w:w="2500"/>
            <w:shd w:fill="2F5496" w:val="clear"/>
          </w:tcPr>
          <w:p>
            <w:r>
              <w:rPr>
                <w:b/>
                <w:bCs/>
                <w:color w:val="FFFFFF"/>
                <w:sz w:val="20"/>
                <w:szCs w:val="20"/>
              </w:rPr>
              <w:t xml:space="preserve">Live, second half</w:t>
            </w:r>
          </w:p>
        </w:tc>
      </w:tr>
      <w:tr>
        <w:tc>
          <w:tcPr>
            <w:tcW w:type="dxa" w:w="2500"/>
          </w:tcPr>
          <w:p>
            <w:r>
              <w:rPr>
                <w:b w:val="false"/>
                <w:bCs w:val="false"/>
                <w:color w:val="000000"/>
                <w:sz w:val="20"/>
                <w:szCs w:val="20"/>
              </w:rPr>
              <w:t xml:space="preserve">CADC0894</w:t>
            </w:r>
          </w:p>
        </w:tc>
        <w:tc>
          <w:tcPr>
            <w:tcW w:type="dxa" w:w="2500"/>
          </w:tcPr>
          <w:p>
            <w:r>
              <w:rPr>
                <w:b w:val="false"/>
                <w:bCs w:val="false"/>
                <w:color w:val="000000"/>
                <w:sz w:val="20"/>
                <w:szCs w:val="20"/>
              </w:rPr>
              <w:t xml:space="preserve">0.59 (worst offline)</w:t>
            </w:r>
          </w:p>
        </w:tc>
        <w:tc>
          <w:tcPr>
            <w:tcW w:type="dxa" w:w="2500"/>
          </w:tcPr>
          <w:p>
            <w:r>
              <w:rPr>
                <w:b w:val="false"/>
                <w:bCs w:val="false"/>
                <w:color w:val="000000"/>
                <w:sz w:val="20"/>
                <w:szCs w:val="20"/>
              </w:rPr>
              <w:t xml:space="preserve">0.109</w:t>
            </w:r>
          </w:p>
        </w:tc>
        <w:tc>
          <w:tcPr>
            <w:tcW w:type="dxa" w:w="2500"/>
          </w:tcPr>
          <w:p>
            <w:r>
              <w:rPr>
                <w:b w:val="false"/>
                <w:bCs w:val="false"/>
                <w:color w:val="000000"/>
                <w:sz w:val="20"/>
                <w:szCs w:val="20"/>
              </w:rPr>
              <w:t xml:space="preserve">0.369</w:t>
            </w:r>
          </w:p>
        </w:tc>
      </w:tr>
      <w:tr>
        <w:tc>
          <w:tcPr>
            <w:tcW w:type="dxa" w:w="2500"/>
          </w:tcPr>
          <w:p>
            <w:r>
              <w:rPr>
                <w:b w:val="false"/>
                <w:bCs w:val="false"/>
                <w:color w:val="000000"/>
                <w:sz w:val="20"/>
                <w:szCs w:val="20"/>
              </w:rPr>
              <w:t xml:space="preserve">CADC0874</w:t>
            </w:r>
          </w:p>
        </w:tc>
        <w:tc>
          <w:tcPr>
            <w:tcW w:type="dxa" w:w="2500"/>
          </w:tcPr>
          <w:p>
            <w:r>
              <w:rPr>
                <w:b w:val="false"/>
                <w:bCs w:val="false"/>
                <w:color w:val="000000"/>
                <w:sz w:val="20"/>
                <w:szCs w:val="20"/>
              </w:rPr>
              <w:t xml:space="preserve">0.98 (best offline)</w:t>
            </w:r>
          </w:p>
        </w:tc>
        <w:tc>
          <w:tcPr>
            <w:tcW w:type="dxa" w:w="2500"/>
          </w:tcPr>
          <w:p>
            <w:r>
              <w:rPr>
                <w:b w:val="false"/>
                <w:bCs w:val="false"/>
                <w:color w:val="000000"/>
                <w:sz w:val="20"/>
                <w:szCs w:val="20"/>
              </w:rPr>
              <w:t xml:space="preserve">0.248</w:t>
            </w:r>
          </w:p>
        </w:tc>
        <w:tc>
          <w:tcPr>
            <w:tcW w:type="dxa" w:w="2500"/>
          </w:tcPr>
          <w:p>
            <w:r>
              <w:rPr>
                <w:b w:val="false"/>
                <w:bCs w:val="false"/>
                <w:color w:val="000000"/>
                <w:sz w:val="20"/>
                <w:szCs w:val="20"/>
              </w:rPr>
              <w:t xml:space="preserve">0.730</w:t>
            </w:r>
          </w:p>
        </w:tc>
      </w:tr>
    </w:tbl>
    <w:p>
      <w:pPr>
        <w:spacing w:after="150"/>
      </w:pPr>
    </w:p>
    <w:p>
      <w:pPr>
        <w:pStyle w:val="Heading1"/>
      </w:pPr>
      <w:r>
        <w:t xml:space="preserve">2. CADC0894 — Genuine Data Scarcity (confirmed)</w:t>
      </w:r>
    </w:p>
    <w:p>
      <w:pPr>
        <w:spacing w:after="150"/>
      </w:pPr>
      <w:r>
        <w:rPr>
          <w:sz w:val="22"/>
          <w:szCs w:val="22"/>
        </w:rPr>
        <w:t xml:space="preserve">This channel fits the original hypothesis cleanly: it has only 144 total segments and 21 anomalies (14.6%), and only 5 anomaly examples in the entire test set. It performs poorly both offline (0.59 F1, the worst of any channel) and live (weak throughout, even by the segment's end). The explanation holds: there simply isn't enough labeled anomaly data for this channel for the model to learn a reliable pattern, in either the offline or live setting. No further live-specific fix is likely to help here — more labeled data for this channel is the real solution.</w:t>
      </w:r>
    </w:p>
    <w:p>
      <w:pPr>
        <w:spacing w:after="150"/>
      </w:pPr>
    </w:p>
    <w:p>
      <w:pPr>
        <w:pStyle w:val="Heading1"/>
      </w:pPr>
      <w:r>
        <w:t xml:space="preserve">3. CADC0874 — A Different, More Interesting Problem</w:t>
      </w:r>
    </w:p>
    <w:p>
      <w:pPr>
        <w:spacing w:after="150"/>
      </w:pPr>
      <w:r>
        <w:rPr>
          <w:sz w:val="22"/>
          <w:szCs w:val="22"/>
        </w:rPr>
        <w:t xml:space="preserve">This channel is NOT data-scarce: it has 194 segments with 69 anomalies (35.6% anomaly rate, one of the highest of any channel) and scores the BEST offline F1 of any channel (0.98). Yet its live, early-segment accuracy is the second-worst of all channels (24.8%). This is a genuinely different failure mode from CADC0894 and deserves its own explanation.</w:t>
      </w:r>
    </w:p>
    <w:p>
      <w:pPr>
        <w:spacing w:after="150"/>
      </w:pPr>
      <w:r>
        <w:rPr>
          <w:sz w:val="22"/>
          <w:szCs w:val="22"/>
        </w:rPr>
        <w:t xml:space="preserve">Working hypothesis, tested empirically: CADC0874's anomalies may be identified primarily through peak-based features (n_peaks, smooth10_n_peaks, diff_peaks, etc.), which mathematically require a meaningful number of readings to register at all — a segment's first few readings cannot yet contain enough data points for a real peak or oscillation pattern to be detected, regardless of how distinctive that pattern eventually becomes.</w:t>
      </w:r>
    </w:p>
    <w:p>
      <w:pPr>
        <w:spacing w:after="150"/>
      </w:pPr>
      <w:r>
        <w:rPr>
          <w:sz w:val="22"/>
          <w:szCs w:val="22"/>
        </w:rPr>
        <w:t xml:space="preserve">This was tested directly: comparing the average correlation strength between anomaly labels and the five peak-based features across channels. CADC0874 shows a mean |correlation| of 0.494 with peak-based features, notably higher than CADC0873 (0.320) and CADC0894 (0.191). This confirms the hypothesis — CADC0874's anomalies genuinely rely more heavily on peak-pattern features than other channels do, which explains why the model needs more of the segment to arrive before peak counts stabilize enough to be useful, even though the fully-formed pattern is highly distinctive once complete (hence the 0.98 offline F1).</w:t>
      </w:r>
    </w:p>
    <w:p>
      <w:pPr>
        <w:spacing w:after="150"/>
      </w:pPr>
    </w:p>
    <w:p>
      <w:pPr>
        <w:pStyle w:val="Heading1"/>
      </w:pPr>
      <w:r>
        <w:t xml:space="preserve">4. Practical Implication</w:t>
      </w:r>
    </w:p>
    <w:p>
      <w:pPr>
        <w:spacing w:after="150"/>
      </w:pPr>
      <w:r>
        <w:rPr>
          <w:sz w:val="22"/>
          <w:szCs w:val="22"/>
        </w:rPr>
        <w:t xml:space="preserve">These are two distinct problems requiring two distinct responses: CADC0894 needs more labeled training data (a data collection / augmentation problem), while CADC0874 may need either a longer minimum buffer before making live predictions on this specific channel, or a feature set that produces meaningful signal earlier in a segment (a live-inference-timing problem, not a data problem). Treating both channels the same way going forward would be a mistake — this distinction should inform how live prediction confidence is communicated per channel in the dashboard (Prince's track), for example by delaying or flagging low-confidence early predictions on channels like CADC0874.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2026-08-22T05:20:47.155Z</dcterms:created>
  <dcterms:modified xsi:type="dcterms:W3CDTF">2026-08-22T05:20:47.156Z</dcterms:modified>
</cp:coreProperties>
</file>

<file path=docProps/custom.xml><?xml version="1.0" encoding="utf-8"?>
<Properties xmlns="http://schemas.openxmlformats.org/officeDocument/2006/custom-properties" xmlns:vt="http://schemas.openxmlformats.org/officeDocument/2006/docPropsVTypes"/>
</file>