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F172A"/>
          <w:sz w:val="48"/>
        </w:rPr>
        <w:t>OrbitGuard: Comprehensive Technical Architecture &amp; Mission Manual</w:t>
      </w:r>
    </w:p>
    <w:p>
      <w:pPr>
        <w:spacing w:after="400"/>
        <w:jc w:val="center"/>
      </w:pPr>
      <w:r>
        <w:rPr>
          <w:i/>
          <w:color w:val="4B5563"/>
          <w:sz w:val="26"/>
        </w:rPr>
        <w:t>Real-Time Satellite Telemetry Anomaly Detection, Dynamic Graph Root Cause Isolation (RCA), and Autonomous FDIR Mission Control</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none"/>
              <w:left w:val="single" w:sz="36" w:space="0" w:color="059669"/>
              <w:bottom w:val="none"/>
              <w:right w:val="none"/>
            </w:tcBorders>
          </w:tcPr>
          <w:p>
            <w:pPr>
              <w:spacing w:after="40"/>
            </w:pPr>
            <w:r>
              <w:rPr>
                <w:b/>
                <w:color w:val="0F172A"/>
                <w:sz w:val="20"/>
              </w:rPr>
              <w:t xml:space="preserve">📌 DOCUMENT SCOPE &amp; PURPOSE: </w:t>
            </w:r>
            <w:r>
              <w:rPr>
                <w:sz w:val="20"/>
              </w:rPr>
              <w:t>This technical document provides a comprehensive, concept-by-concept breakdown of the OrbitGuard aerospace system. It covers the underlying mathematics, dataset schemas, feature extraction pipelines, graph neural network algorithms, telemetry streaming engines, and a complete section-by-section walkthrough of the Frontend Mission Control Console.</w:t>
            </w:r>
          </w:p>
        </w:tc>
      </w:tr>
    </w:tbl>
    <w:p>
      <w:pPr>
        <w:spacing w:after="80"/>
      </w:pPr>
    </w:p>
    <w:p>
      <w:pPr>
        <w:keepNext/>
        <w:spacing w:before="360" w:after="120"/>
      </w:pPr>
      <w:r>
        <w:rPr>
          <w:b/>
          <w:color w:val="0F172A"/>
          <w:sz w:val="32"/>
        </w:rPr>
        <w:t>1. Executive Summary &amp; Aerospace Background</w:t>
      </w:r>
    </w:p>
    <w:p>
      <w:pPr>
        <w:spacing w:after="120" w:line="276" w:lineRule="auto"/>
      </w:pPr>
      <w:r>
        <w:t>Modern low-Earth orbit (LEO) satellite missions, such as the European Space Agency's (ESA) OPS-SAT CubeSat, operate in dynamic, high-radiation space environments where hardware perturbations, attitude tumbling, sensor calibration drift, and solar array degradation frequently occur. Ground stations historically relied on out-of-limit (OOL) threshold monitoring (e.g., checking if voltage &gt; 5V), which fails to detect subtle, cross-sensor anomaly patterns where individual values remain within bounds but their dynamic physical relationships deviate.</w:t>
      </w:r>
    </w:p>
    <w:p>
      <w:pPr>
        <w:spacing w:after="120" w:line="276" w:lineRule="auto"/>
      </w:pPr>
      <w:r>
        <w:t>OrbitGuard is an end-to-end intelligent aerospace telemetry platform designed to solve three critical mission challenges:</w:t>
      </w:r>
    </w:p>
    <w:p>
      <w:pPr>
        <w:pStyle w:val="ListBullet"/>
        <w:spacing w:after="60" w:line="276" w:lineRule="auto"/>
      </w:pPr>
      <w:r>
        <w:rPr>
          <w:b/>
          <w:color w:val="0F172A"/>
        </w:rPr>
        <w:t>1. Real-Time Multi-Channel Telemetry Processing:</w:t>
      </w:r>
      <w:r>
        <w:t xml:space="preserve"> Streams 9 mission-critical flight telemetry sensors synchronously across the Attitude Determination and Control Subsystem (ADCS) and Electrical Power Subsystem (EPS) at 10 Hz.</w:t>
      </w:r>
    </w:p>
    <w:p>
      <w:pPr>
        <w:pStyle w:val="ListBullet"/>
        <w:spacing w:after="60" w:line="276" w:lineRule="auto"/>
      </w:pPr>
      <w:r>
        <w:rPr>
          <w:b/>
          <w:color w:val="0F172A"/>
        </w:rPr>
        <w:t>2. Spatiotemporal Anomaly Detection:</w:t>
      </w:r>
      <w:r>
        <w:t xml:space="preserve"> Uses rolling-window mathematical feature extraction and Graph Neural Networks (GNNs) with dynamic cross-correlation adjacency matrices to capture multi-sensor coupling.</w:t>
      </w:r>
    </w:p>
    <w:p>
      <w:pPr>
        <w:pStyle w:val="ListBullet"/>
        <w:spacing w:after="60" w:line="276" w:lineRule="auto"/>
      </w:pPr>
      <w:r>
        <w:rPr>
          <w:b/>
          <w:color w:val="0F172A"/>
        </w:rPr>
        <w:t>3. Root Cause Isolation &amp; FDIR Remediation:</w:t>
      </w:r>
      <w:r>
        <w:t xml:space="preserve"> Unlike black-box models that merely raise a binary alarm, OrbitGuard pinpoints the exact 'Patient Zero' root cause sensor, illustrates fault propagation across physical links, and suggests official ESA Fault Detection, Isolation, and Recovery (FDIR) operational commands with a technician resolution queue.</w:t>
      </w:r>
    </w:p>
    <w:p>
      <w:pPr>
        <w:keepNext/>
        <w:spacing w:before="360" w:after="120"/>
      </w:pPr>
      <w:r>
        <w:rPr>
          <w:b/>
          <w:color w:val="0F172A"/>
          <w:sz w:val="32"/>
        </w:rPr>
        <w:t>2. Telemetry Architecture &amp; Dataset Deep Dive</w:t>
      </w:r>
    </w:p>
    <w:p>
      <w:pPr>
        <w:spacing w:after="120" w:line="276" w:lineRule="auto"/>
      </w:pPr>
      <w:r>
        <w:t>The OrbitGuard platform is grounded in real flight telemetry recorded from ESA's OPS-SAT spacecraft during orbital operations at an altitude of approximately 510 km.</w:t>
      </w:r>
    </w:p>
    <w:p>
      <w:pPr>
        <w:keepNext/>
        <w:spacing w:before="280" w:after="80"/>
      </w:pPr>
      <w:r>
        <w:rPr>
          <w:b/>
          <w:color w:val="0284C7"/>
          <w:sz w:val="26"/>
        </w:rPr>
        <w:t>2.1 Raw Telemetry Stream (dataset.csv)</w:t>
      </w:r>
    </w:p>
    <w:p>
      <w:pPr>
        <w:spacing w:after="120" w:line="276" w:lineRule="auto"/>
      </w:pPr>
      <w:r>
        <w:t>The raw dataset contains 303,495 chronological telemetry samples recorded across 9 distinct sensor telemetry identifiers (CADC channels).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b/>
                <w:color w:val="FFFFFF"/>
                <w:sz w:val="19"/>
              </w:rPr>
              <w:t>Channel ID</w:t>
            </w:r>
          </w:p>
        </w:tc>
        <w:tc>
          <w:tcPr>
            <w:tcW w:type="dxa" w:w="2340"/>
            <w:shd w:fill="0F172A"/>
          </w:tcPr>
          <w:p>
            <w:r>
              <w:rPr>
                <w:b/>
                <w:color w:val="FFFFFF"/>
                <w:sz w:val="19"/>
              </w:rPr>
              <w:t>Sensor Name</w:t>
            </w:r>
          </w:p>
        </w:tc>
        <w:tc>
          <w:tcPr>
            <w:tcW w:type="dxa" w:w="2340"/>
            <w:shd w:fill="0F172A"/>
          </w:tcPr>
          <w:p>
            <w:r>
              <w:rPr>
                <w:b/>
                <w:color w:val="FFFFFF"/>
                <w:sz w:val="19"/>
              </w:rPr>
              <w:t>Spacecraft Subsystem</w:t>
            </w:r>
          </w:p>
        </w:tc>
        <w:tc>
          <w:tcPr>
            <w:tcW w:type="dxa" w:w="2340"/>
            <w:shd w:fill="0F172A"/>
          </w:tcPr>
          <w:p>
            <w:r>
              <w:rPr>
                <w:b/>
                <w:color w:val="FFFFFF"/>
                <w:sz w:val="19"/>
              </w:rPr>
              <w:t>Physical Unit &amp; Description</w:t>
            </w:r>
          </w:p>
        </w:tc>
      </w:tr>
      <w:tr>
        <w:tc>
          <w:tcPr>
            <w:tcW w:type="dxa" w:w="2340"/>
            <w:shd w:fill="FFFFFF"/>
            <w:tcMar>
              <w:top w:w="60" w:type="dxa"/>
              <w:bottom w:w="60" w:type="dxa"/>
              <w:left w:w="100" w:type="dxa"/>
              <w:right w:w="100" w:type="dxa"/>
            </w:tcMar>
          </w:tcPr>
          <w:p>
            <w:r>
              <w:rPr>
                <w:b/>
                <w:color w:val="0284C7"/>
                <w:sz w:val="18"/>
              </w:rPr>
              <w:t>CADC0872</w:t>
            </w:r>
          </w:p>
        </w:tc>
        <w:tc>
          <w:tcPr>
            <w:tcW w:type="dxa" w:w="2340"/>
            <w:shd w:fill="FFFFFF"/>
            <w:tcMar>
              <w:top w:w="60" w:type="dxa"/>
              <w:bottom w:w="60" w:type="dxa"/>
              <w:left w:w="100" w:type="dxa"/>
              <w:right w:w="100" w:type="dxa"/>
            </w:tcMar>
          </w:tcPr>
          <w:p>
            <w:r>
              <w:rPr>
                <w:sz w:val="18"/>
              </w:rPr>
              <w:t>Magnetometer X-Axis</w:t>
            </w:r>
          </w:p>
        </w:tc>
        <w:tc>
          <w:tcPr>
            <w:tcW w:type="dxa" w:w="2340"/>
            <w:shd w:fill="FFFFFF"/>
            <w:tcMar>
              <w:top w:w="60" w:type="dxa"/>
              <w:bottom w:w="60" w:type="dxa"/>
              <w:left w:w="100" w:type="dxa"/>
              <w:right w:w="100" w:type="dxa"/>
            </w:tcMar>
          </w:tcPr>
          <w:p>
            <w:r>
              <w:rPr>
                <w:sz w:val="18"/>
              </w:rPr>
              <w:t>ADCS (Attitude Control)</w:t>
            </w:r>
          </w:p>
        </w:tc>
        <w:tc>
          <w:tcPr>
            <w:tcW w:type="dxa" w:w="2340"/>
            <w:shd w:fill="FFFFFF"/>
            <w:tcMar>
              <w:top w:w="60" w:type="dxa"/>
              <w:bottom w:w="60" w:type="dxa"/>
              <w:left w:w="100" w:type="dxa"/>
              <w:right w:w="100" w:type="dxa"/>
            </w:tcMar>
          </w:tcPr>
          <w:p>
            <w:r>
              <w:rPr>
                <w:sz w:val="18"/>
              </w:rPr>
              <w:t>Tesla (T) - Primary magnetic field vector on X-axis</w:t>
            </w:r>
          </w:p>
        </w:tc>
      </w:tr>
      <w:tr>
        <w:tc>
          <w:tcPr>
            <w:tcW w:type="dxa" w:w="2340"/>
            <w:shd w:fill="F8FAFC"/>
            <w:tcMar>
              <w:top w:w="60" w:type="dxa"/>
              <w:bottom w:w="60" w:type="dxa"/>
              <w:left w:w="100" w:type="dxa"/>
              <w:right w:w="100" w:type="dxa"/>
            </w:tcMar>
          </w:tcPr>
          <w:p>
            <w:r>
              <w:rPr>
                <w:b/>
                <w:color w:val="0284C7"/>
                <w:sz w:val="18"/>
              </w:rPr>
              <w:t>CADC0873</w:t>
            </w:r>
          </w:p>
        </w:tc>
        <w:tc>
          <w:tcPr>
            <w:tcW w:type="dxa" w:w="2340"/>
            <w:shd w:fill="F8FAFC"/>
            <w:tcMar>
              <w:top w:w="60" w:type="dxa"/>
              <w:bottom w:w="60" w:type="dxa"/>
              <w:left w:w="100" w:type="dxa"/>
              <w:right w:w="100" w:type="dxa"/>
            </w:tcMar>
          </w:tcPr>
          <w:p>
            <w:r>
              <w:rPr>
                <w:sz w:val="18"/>
              </w:rPr>
              <w:t>Magnetometer Y-Axis</w:t>
            </w:r>
          </w:p>
        </w:tc>
        <w:tc>
          <w:tcPr>
            <w:tcW w:type="dxa" w:w="2340"/>
            <w:shd w:fill="F8FAFC"/>
            <w:tcMar>
              <w:top w:w="60" w:type="dxa"/>
              <w:bottom w:w="60" w:type="dxa"/>
              <w:left w:w="100" w:type="dxa"/>
              <w:right w:w="100" w:type="dxa"/>
            </w:tcMar>
          </w:tcPr>
          <w:p>
            <w:r>
              <w:rPr>
                <w:sz w:val="18"/>
              </w:rPr>
              <w:t>ADCS (Attitude Control)</w:t>
            </w:r>
          </w:p>
        </w:tc>
        <w:tc>
          <w:tcPr>
            <w:tcW w:type="dxa" w:w="2340"/>
            <w:shd w:fill="F8FAFC"/>
            <w:tcMar>
              <w:top w:w="60" w:type="dxa"/>
              <w:bottom w:w="60" w:type="dxa"/>
              <w:left w:w="100" w:type="dxa"/>
              <w:right w:w="100" w:type="dxa"/>
            </w:tcMar>
          </w:tcPr>
          <w:p>
            <w:r>
              <w:rPr>
                <w:sz w:val="18"/>
              </w:rPr>
              <w:t>Tesla (T) - Primary magnetic field vector on Y-axis</w:t>
            </w:r>
          </w:p>
        </w:tc>
      </w:tr>
      <w:tr>
        <w:tc>
          <w:tcPr>
            <w:tcW w:type="dxa" w:w="2340"/>
            <w:shd w:fill="FFFFFF"/>
            <w:tcMar>
              <w:top w:w="60" w:type="dxa"/>
              <w:bottom w:w="60" w:type="dxa"/>
              <w:left w:w="100" w:type="dxa"/>
              <w:right w:w="100" w:type="dxa"/>
            </w:tcMar>
          </w:tcPr>
          <w:p>
            <w:r>
              <w:rPr>
                <w:b/>
                <w:color w:val="0284C7"/>
                <w:sz w:val="18"/>
              </w:rPr>
              <w:t>CADC0874</w:t>
            </w:r>
          </w:p>
        </w:tc>
        <w:tc>
          <w:tcPr>
            <w:tcW w:type="dxa" w:w="2340"/>
            <w:shd w:fill="FFFFFF"/>
            <w:tcMar>
              <w:top w:w="60" w:type="dxa"/>
              <w:bottom w:w="60" w:type="dxa"/>
              <w:left w:w="100" w:type="dxa"/>
              <w:right w:w="100" w:type="dxa"/>
            </w:tcMar>
          </w:tcPr>
          <w:p>
            <w:r>
              <w:rPr>
                <w:sz w:val="18"/>
              </w:rPr>
              <w:t>Magnetometer Z-Axis</w:t>
            </w:r>
          </w:p>
        </w:tc>
        <w:tc>
          <w:tcPr>
            <w:tcW w:type="dxa" w:w="2340"/>
            <w:shd w:fill="FFFFFF"/>
            <w:tcMar>
              <w:top w:w="60" w:type="dxa"/>
              <w:bottom w:w="60" w:type="dxa"/>
              <w:left w:w="100" w:type="dxa"/>
              <w:right w:w="100" w:type="dxa"/>
            </w:tcMar>
          </w:tcPr>
          <w:p>
            <w:r>
              <w:rPr>
                <w:sz w:val="18"/>
              </w:rPr>
              <w:t>ADCS (Attitude Control)</w:t>
            </w:r>
          </w:p>
        </w:tc>
        <w:tc>
          <w:tcPr>
            <w:tcW w:type="dxa" w:w="2340"/>
            <w:shd w:fill="FFFFFF"/>
            <w:tcMar>
              <w:top w:w="60" w:type="dxa"/>
              <w:bottom w:w="60" w:type="dxa"/>
              <w:left w:w="100" w:type="dxa"/>
              <w:right w:w="100" w:type="dxa"/>
            </w:tcMar>
          </w:tcPr>
          <w:p>
            <w:r>
              <w:rPr>
                <w:sz w:val="18"/>
              </w:rPr>
              <w:t>Tesla (T) - Primary magnetic field vector on Z-axis</w:t>
            </w:r>
          </w:p>
        </w:tc>
      </w:tr>
      <w:tr>
        <w:tc>
          <w:tcPr>
            <w:tcW w:type="dxa" w:w="2340"/>
            <w:shd w:fill="F8FAFC"/>
            <w:tcMar>
              <w:top w:w="60" w:type="dxa"/>
              <w:bottom w:w="60" w:type="dxa"/>
              <w:left w:w="100" w:type="dxa"/>
              <w:right w:w="100" w:type="dxa"/>
            </w:tcMar>
          </w:tcPr>
          <w:p>
            <w:r>
              <w:rPr>
                <w:b/>
                <w:color w:val="0284C7"/>
                <w:sz w:val="18"/>
              </w:rPr>
              <w:t>CADC0884</w:t>
            </w:r>
          </w:p>
        </w:tc>
        <w:tc>
          <w:tcPr>
            <w:tcW w:type="dxa" w:w="2340"/>
            <w:shd w:fill="F8FAFC"/>
            <w:tcMar>
              <w:top w:w="60" w:type="dxa"/>
              <w:bottom w:w="60" w:type="dxa"/>
              <w:left w:w="100" w:type="dxa"/>
              <w:right w:w="100" w:type="dxa"/>
            </w:tcMar>
          </w:tcPr>
          <w:p>
            <w:r>
              <w:rPr>
                <w:sz w:val="18"/>
              </w:rPr>
              <w:t>Photodiode Sensor 1</w:t>
            </w:r>
          </w:p>
        </w:tc>
        <w:tc>
          <w:tcPr>
            <w:tcW w:type="dxa" w:w="2340"/>
            <w:shd w:fill="F8FAFC"/>
            <w:tcMar>
              <w:top w:w="60" w:type="dxa"/>
              <w:bottom w:w="60" w:type="dxa"/>
              <w:left w:w="100" w:type="dxa"/>
              <w:right w:w="100" w:type="dxa"/>
            </w:tcMar>
          </w:tcPr>
          <w:p>
            <w:r>
              <w:rPr>
                <w:sz w:val="18"/>
              </w:rPr>
              <w:t>EPS (Solar Array/Sun Sensor)</w:t>
            </w:r>
          </w:p>
        </w:tc>
        <w:tc>
          <w:tcPr>
            <w:tcW w:type="dxa" w:w="2340"/>
            <w:shd w:fill="F8FAFC"/>
            <w:tcMar>
              <w:top w:w="60" w:type="dxa"/>
              <w:bottom w:w="60" w:type="dxa"/>
              <w:left w:w="100" w:type="dxa"/>
              <w:right w:w="100" w:type="dxa"/>
            </w:tcMar>
          </w:tcPr>
          <w:p>
            <w:r>
              <w:rPr>
                <w:sz w:val="18"/>
              </w:rPr>
              <w:t>Volts (V) - Solar array illuminated surface angle 1</w:t>
            </w:r>
          </w:p>
        </w:tc>
      </w:tr>
      <w:tr>
        <w:tc>
          <w:tcPr>
            <w:tcW w:type="dxa" w:w="2340"/>
            <w:shd w:fill="FFFFFF"/>
            <w:tcMar>
              <w:top w:w="60" w:type="dxa"/>
              <w:bottom w:w="60" w:type="dxa"/>
              <w:left w:w="100" w:type="dxa"/>
              <w:right w:w="100" w:type="dxa"/>
            </w:tcMar>
          </w:tcPr>
          <w:p>
            <w:r>
              <w:rPr>
                <w:b/>
                <w:color w:val="0284C7"/>
                <w:sz w:val="18"/>
              </w:rPr>
              <w:t>CADC0886</w:t>
            </w:r>
          </w:p>
        </w:tc>
        <w:tc>
          <w:tcPr>
            <w:tcW w:type="dxa" w:w="2340"/>
            <w:shd w:fill="FFFFFF"/>
            <w:tcMar>
              <w:top w:w="60" w:type="dxa"/>
              <w:bottom w:w="60" w:type="dxa"/>
              <w:left w:w="100" w:type="dxa"/>
              <w:right w:w="100" w:type="dxa"/>
            </w:tcMar>
          </w:tcPr>
          <w:p>
            <w:r>
              <w:rPr>
                <w:sz w:val="18"/>
              </w:rPr>
              <w:t>Photodiode Sensor 2</w:t>
            </w:r>
          </w:p>
        </w:tc>
        <w:tc>
          <w:tcPr>
            <w:tcW w:type="dxa" w:w="2340"/>
            <w:shd w:fill="FFFFFF"/>
            <w:tcMar>
              <w:top w:w="60" w:type="dxa"/>
              <w:bottom w:w="60" w:type="dxa"/>
              <w:left w:w="100" w:type="dxa"/>
              <w:right w:w="100" w:type="dxa"/>
            </w:tcMar>
          </w:tcPr>
          <w:p>
            <w:r>
              <w:rPr>
                <w:sz w:val="18"/>
              </w:rPr>
              <w:t>EPS (Solar Array/Sun Sensor)</w:t>
            </w:r>
          </w:p>
        </w:tc>
        <w:tc>
          <w:tcPr>
            <w:tcW w:type="dxa" w:w="2340"/>
            <w:shd w:fill="FFFFFF"/>
            <w:tcMar>
              <w:top w:w="60" w:type="dxa"/>
              <w:bottom w:w="60" w:type="dxa"/>
              <w:left w:w="100" w:type="dxa"/>
              <w:right w:w="100" w:type="dxa"/>
            </w:tcMar>
          </w:tcPr>
          <w:p>
            <w:r>
              <w:rPr>
                <w:sz w:val="18"/>
              </w:rPr>
              <w:t>Volts (V) - Solar array illuminated surface angle 2</w:t>
            </w:r>
          </w:p>
        </w:tc>
      </w:tr>
      <w:tr>
        <w:tc>
          <w:tcPr>
            <w:tcW w:type="dxa" w:w="2340"/>
            <w:shd w:fill="F8FAFC"/>
            <w:tcMar>
              <w:top w:w="60" w:type="dxa"/>
              <w:bottom w:w="60" w:type="dxa"/>
              <w:left w:w="100" w:type="dxa"/>
              <w:right w:w="100" w:type="dxa"/>
            </w:tcMar>
          </w:tcPr>
          <w:p>
            <w:r>
              <w:rPr>
                <w:b/>
                <w:color w:val="0284C7"/>
                <w:sz w:val="18"/>
              </w:rPr>
              <w:t>CADC0888</w:t>
            </w:r>
          </w:p>
        </w:tc>
        <w:tc>
          <w:tcPr>
            <w:tcW w:type="dxa" w:w="2340"/>
            <w:shd w:fill="F8FAFC"/>
            <w:tcMar>
              <w:top w:w="60" w:type="dxa"/>
              <w:bottom w:w="60" w:type="dxa"/>
              <w:left w:w="100" w:type="dxa"/>
              <w:right w:w="100" w:type="dxa"/>
            </w:tcMar>
          </w:tcPr>
          <w:p>
            <w:r>
              <w:rPr>
                <w:sz w:val="18"/>
              </w:rPr>
              <w:t>Photodiode Sensor 3</w:t>
            </w:r>
          </w:p>
        </w:tc>
        <w:tc>
          <w:tcPr>
            <w:tcW w:type="dxa" w:w="2340"/>
            <w:shd w:fill="F8FAFC"/>
            <w:tcMar>
              <w:top w:w="60" w:type="dxa"/>
              <w:bottom w:w="60" w:type="dxa"/>
              <w:left w:w="100" w:type="dxa"/>
              <w:right w:w="100" w:type="dxa"/>
            </w:tcMar>
          </w:tcPr>
          <w:p>
            <w:r>
              <w:rPr>
                <w:sz w:val="18"/>
              </w:rPr>
              <w:t>EPS (Solar Array/Sun Sensor)</w:t>
            </w:r>
          </w:p>
        </w:tc>
        <w:tc>
          <w:tcPr>
            <w:tcW w:type="dxa" w:w="2340"/>
            <w:shd w:fill="F8FAFC"/>
            <w:tcMar>
              <w:top w:w="60" w:type="dxa"/>
              <w:bottom w:w="60" w:type="dxa"/>
              <w:left w:w="100" w:type="dxa"/>
              <w:right w:w="100" w:type="dxa"/>
            </w:tcMar>
          </w:tcPr>
          <w:p>
            <w:r>
              <w:rPr>
                <w:sz w:val="18"/>
              </w:rPr>
              <w:t>Volts (V) - Central solar array optical flux sensor</w:t>
            </w:r>
          </w:p>
        </w:tc>
      </w:tr>
      <w:tr>
        <w:tc>
          <w:tcPr>
            <w:tcW w:type="dxa" w:w="2340"/>
            <w:shd w:fill="FFFFFF"/>
            <w:tcMar>
              <w:top w:w="60" w:type="dxa"/>
              <w:bottom w:w="60" w:type="dxa"/>
              <w:left w:w="100" w:type="dxa"/>
              <w:right w:w="100" w:type="dxa"/>
            </w:tcMar>
          </w:tcPr>
          <w:p>
            <w:r>
              <w:rPr>
                <w:b/>
                <w:color w:val="0284C7"/>
                <w:sz w:val="18"/>
              </w:rPr>
              <w:t>CADC0890</w:t>
            </w:r>
          </w:p>
        </w:tc>
        <w:tc>
          <w:tcPr>
            <w:tcW w:type="dxa" w:w="2340"/>
            <w:shd w:fill="FFFFFF"/>
            <w:tcMar>
              <w:top w:w="60" w:type="dxa"/>
              <w:bottom w:w="60" w:type="dxa"/>
              <w:left w:w="100" w:type="dxa"/>
              <w:right w:w="100" w:type="dxa"/>
            </w:tcMar>
          </w:tcPr>
          <w:p>
            <w:r>
              <w:rPr>
                <w:sz w:val="18"/>
              </w:rPr>
              <w:t>Photodiode Sensor 4</w:t>
            </w:r>
          </w:p>
        </w:tc>
        <w:tc>
          <w:tcPr>
            <w:tcW w:type="dxa" w:w="2340"/>
            <w:shd w:fill="FFFFFF"/>
            <w:tcMar>
              <w:top w:w="60" w:type="dxa"/>
              <w:bottom w:w="60" w:type="dxa"/>
              <w:left w:w="100" w:type="dxa"/>
              <w:right w:w="100" w:type="dxa"/>
            </w:tcMar>
          </w:tcPr>
          <w:p>
            <w:r>
              <w:rPr>
                <w:sz w:val="18"/>
              </w:rPr>
              <w:t>EPS (Solar Array/Sun Sensor)</w:t>
            </w:r>
          </w:p>
        </w:tc>
        <w:tc>
          <w:tcPr>
            <w:tcW w:type="dxa" w:w="2340"/>
            <w:shd w:fill="FFFFFF"/>
            <w:tcMar>
              <w:top w:w="60" w:type="dxa"/>
              <w:bottom w:w="60" w:type="dxa"/>
              <w:left w:w="100" w:type="dxa"/>
              <w:right w:w="100" w:type="dxa"/>
            </w:tcMar>
          </w:tcPr>
          <w:p>
            <w:r>
              <w:rPr>
                <w:sz w:val="18"/>
              </w:rPr>
              <w:t>Volts (V) - Solar array illuminated surface angle 4</w:t>
            </w:r>
          </w:p>
        </w:tc>
      </w:tr>
      <w:tr>
        <w:tc>
          <w:tcPr>
            <w:tcW w:type="dxa" w:w="2340"/>
            <w:shd w:fill="F8FAFC"/>
            <w:tcMar>
              <w:top w:w="60" w:type="dxa"/>
              <w:bottom w:w="60" w:type="dxa"/>
              <w:left w:w="100" w:type="dxa"/>
              <w:right w:w="100" w:type="dxa"/>
            </w:tcMar>
          </w:tcPr>
          <w:p>
            <w:r>
              <w:rPr>
                <w:b/>
                <w:color w:val="0284C7"/>
                <w:sz w:val="18"/>
              </w:rPr>
              <w:t>CADC0892</w:t>
            </w:r>
          </w:p>
        </w:tc>
        <w:tc>
          <w:tcPr>
            <w:tcW w:type="dxa" w:w="2340"/>
            <w:shd w:fill="F8FAFC"/>
            <w:tcMar>
              <w:top w:w="60" w:type="dxa"/>
              <w:bottom w:w="60" w:type="dxa"/>
              <w:left w:w="100" w:type="dxa"/>
              <w:right w:w="100" w:type="dxa"/>
            </w:tcMar>
          </w:tcPr>
          <w:p>
            <w:r>
              <w:rPr>
                <w:sz w:val="18"/>
              </w:rPr>
              <w:t>Photodiode Sensor 5</w:t>
            </w:r>
          </w:p>
        </w:tc>
        <w:tc>
          <w:tcPr>
            <w:tcW w:type="dxa" w:w="2340"/>
            <w:shd w:fill="F8FAFC"/>
            <w:tcMar>
              <w:top w:w="60" w:type="dxa"/>
              <w:bottom w:w="60" w:type="dxa"/>
              <w:left w:w="100" w:type="dxa"/>
              <w:right w:w="100" w:type="dxa"/>
            </w:tcMar>
          </w:tcPr>
          <w:p>
            <w:r>
              <w:rPr>
                <w:sz w:val="18"/>
              </w:rPr>
              <w:t>EPS (Solar Array/Sun Sensor)</w:t>
            </w:r>
          </w:p>
        </w:tc>
        <w:tc>
          <w:tcPr>
            <w:tcW w:type="dxa" w:w="2340"/>
            <w:shd w:fill="F8FAFC"/>
            <w:tcMar>
              <w:top w:w="60" w:type="dxa"/>
              <w:bottom w:w="60" w:type="dxa"/>
              <w:left w:w="100" w:type="dxa"/>
              <w:right w:w="100" w:type="dxa"/>
            </w:tcMar>
          </w:tcPr>
          <w:p>
            <w:r>
              <w:rPr>
                <w:sz w:val="18"/>
              </w:rPr>
              <w:t>Volts (V) - Solar array illuminated surface angle 5</w:t>
            </w:r>
          </w:p>
        </w:tc>
      </w:tr>
      <w:tr>
        <w:tc>
          <w:tcPr>
            <w:tcW w:type="dxa" w:w="2340"/>
            <w:shd w:fill="FFFFFF"/>
            <w:tcMar>
              <w:top w:w="60" w:type="dxa"/>
              <w:bottom w:w="60" w:type="dxa"/>
              <w:left w:w="100" w:type="dxa"/>
              <w:right w:w="100" w:type="dxa"/>
            </w:tcMar>
          </w:tcPr>
          <w:p>
            <w:r>
              <w:rPr>
                <w:b/>
                <w:color w:val="0284C7"/>
                <w:sz w:val="18"/>
              </w:rPr>
              <w:t>CADC0894</w:t>
            </w:r>
          </w:p>
        </w:tc>
        <w:tc>
          <w:tcPr>
            <w:tcW w:type="dxa" w:w="2340"/>
            <w:shd w:fill="FFFFFF"/>
            <w:tcMar>
              <w:top w:w="60" w:type="dxa"/>
              <w:bottom w:w="60" w:type="dxa"/>
              <w:left w:w="100" w:type="dxa"/>
              <w:right w:w="100" w:type="dxa"/>
            </w:tcMar>
          </w:tcPr>
          <w:p>
            <w:r>
              <w:rPr>
                <w:sz w:val="18"/>
              </w:rPr>
              <w:t>Photodiode Sensor 6</w:t>
            </w:r>
          </w:p>
        </w:tc>
        <w:tc>
          <w:tcPr>
            <w:tcW w:type="dxa" w:w="2340"/>
            <w:shd w:fill="FFFFFF"/>
            <w:tcMar>
              <w:top w:w="60" w:type="dxa"/>
              <w:bottom w:w="60" w:type="dxa"/>
              <w:left w:w="100" w:type="dxa"/>
              <w:right w:w="100" w:type="dxa"/>
            </w:tcMar>
          </w:tcPr>
          <w:p>
            <w:r>
              <w:rPr>
                <w:sz w:val="18"/>
              </w:rPr>
              <w:t>EPS (Solar Array/Sun Sensor)</w:t>
            </w:r>
          </w:p>
        </w:tc>
        <w:tc>
          <w:tcPr>
            <w:tcW w:type="dxa" w:w="2340"/>
            <w:shd w:fill="FFFFFF"/>
            <w:tcMar>
              <w:top w:w="60" w:type="dxa"/>
              <w:bottom w:w="60" w:type="dxa"/>
              <w:left w:w="100" w:type="dxa"/>
              <w:right w:w="100" w:type="dxa"/>
            </w:tcMar>
          </w:tcPr>
          <w:p>
            <w:r>
              <w:rPr>
                <w:sz w:val="18"/>
              </w:rPr>
              <w:t>Volts (V) - Nadir/Auxiliary solar panel optical sensor</w:t>
            </w:r>
          </w:p>
        </w:tc>
      </w:tr>
    </w:tbl>
    <w:p>
      <w:pPr>
        <w:spacing w:after="120"/>
      </w:pPr>
    </w:p>
    <w:p>
      <w:pPr>
        <w:keepNext/>
        <w:spacing w:before="280" w:after="80"/>
      </w:pPr>
      <w:r>
        <w:rPr>
          <w:b/>
          <w:color w:val="0284C7"/>
          <w:sz w:val="26"/>
        </w:rPr>
        <w:t>2.2 Segment Extraction &amp; The 19 Rolling Features (segments.csv)</w:t>
      </w:r>
    </w:p>
    <w:p>
      <w:pPr>
        <w:spacing w:after="120" w:line="276" w:lineRule="auto"/>
      </w:pPr>
      <w:r>
        <w:t>Telemetry values in space are highly autocorrelated over time. Feeding single raw floating-point numbers into machine learning models ignores sequence context. OrbitGuard slices continuous telemetry into sliding windows and extracts 19 statistical and signal processing features:</w:t>
      </w:r>
    </w:p>
    <w:p>
      <w:pPr>
        <w:pStyle w:val="ListBullet"/>
        <w:spacing w:after="60" w:line="276" w:lineRule="auto"/>
      </w:pPr>
      <w:r>
        <w:rPr>
          <w:b/>
          <w:color w:val="0F172A"/>
        </w:rPr>
        <w:t>1. Buffer Mean (Mean):</w:t>
      </w:r>
      <w:r>
        <w:t xml:space="preserve"> The arithmetic mean of telemetry readings in the rolling buffer. Identifies baseline operating shifts.</w:t>
      </w:r>
    </w:p>
    <w:p>
      <w:pPr>
        <w:pStyle w:val="ListBullet"/>
        <w:spacing w:after="60" w:line="276" w:lineRule="auto"/>
      </w:pPr>
      <w:r>
        <w:rPr>
          <w:b/>
          <w:color w:val="0F172A"/>
        </w:rPr>
        <w:t>2. Standard Deviation (Std):</w:t>
      </w:r>
      <w:r>
        <w:t xml:space="preserve"> Measures the spread of data points around the mean. Spikes indicate signal volatility.</w:t>
      </w:r>
    </w:p>
    <w:p>
      <w:pPr>
        <w:pStyle w:val="ListBullet"/>
        <w:spacing w:after="60" w:line="276" w:lineRule="auto"/>
      </w:pPr>
      <w:r>
        <w:rPr>
          <w:b/>
          <w:color w:val="0F172A"/>
        </w:rPr>
        <w:t>3. Variance:</w:t>
      </w:r>
      <w:r>
        <w:t xml:space="preserve"> The square of standard deviation, quantifying signal power dispersion.</w:t>
      </w:r>
    </w:p>
    <w:p>
      <w:pPr>
        <w:pStyle w:val="ListBullet"/>
        <w:spacing w:after="60" w:line="276" w:lineRule="auto"/>
      </w:pPr>
      <w:r>
        <w:rPr>
          <w:b/>
          <w:color w:val="0F172A"/>
        </w:rPr>
        <w:t>4. Skewness:</w:t>
      </w:r>
      <w:r>
        <w:t xml:space="preserve"> Measures asymmetry in the telemetry distribution. Positive or negative skew indicates directional signal drift.</w:t>
      </w:r>
    </w:p>
    <w:p>
      <w:pPr>
        <w:pStyle w:val="ListBullet"/>
        <w:spacing w:after="60" w:line="276" w:lineRule="auto"/>
      </w:pPr>
      <w:r>
        <w:rPr>
          <w:b/>
          <w:color w:val="0F172A"/>
        </w:rPr>
        <w:t>5. Kurtosis:</w:t>
      </w:r>
      <w:r>
        <w:t xml:space="preserve"> Measures the 'tailedness' or sharpness of the distribution peak. High kurtosis detects heavy-tailed transient outlier spikes.</w:t>
      </w:r>
    </w:p>
    <w:p>
      <w:pPr>
        <w:pStyle w:val="ListBullet"/>
        <w:spacing w:after="60" w:line="276" w:lineRule="auto"/>
      </w:pPr>
      <w:r>
        <w:rPr>
          <w:b/>
          <w:color w:val="0F172A"/>
        </w:rPr>
        <w:t>6 &amp; 7. Minimum &amp; Maximum:</w:t>
      </w:r>
      <w:r>
        <w:t xml:space="preserve"> The absolute minimum and maximum values within the time segment.</w:t>
      </w:r>
    </w:p>
    <w:p>
      <w:pPr>
        <w:pStyle w:val="ListBullet"/>
        <w:spacing w:after="60" w:line="276" w:lineRule="auto"/>
      </w:pPr>
      <w:r>
        <w:rPr>
          <w:b/>
          <w:color w:val="0F172A"/>
        </w:rPr>
        <w:t>8. Peak-to-Peak Amplitude:</w:t>
      </w:r>
      <w:r>
        <w:t xml:space="preserve"> Total excursion dynamic range between peak high and valley low.</w:t>
      </w:r>
    </w:p>
    <w:p>
      <w:pPr>
        <w:pStyle w:val="ListBullet"/>
        <w:spacing w:after="60" w:line="276" w:lineRule="auto"/>
      </w:pPr>
      <w:r>
        <w:rPr>
          <w:b/>
          <w:color w:val="0F172A"/>
        </w:rPr>
        <w:t>9. Signal Energy:</w:t>
      </w:r>
      <w:r>
        <w:t xml:space="preserve"> Sum of squared values normalized by window length, representing total electrical/magnetic energy.</w:t>
      </w:r>
    </w:p>
    <w:p>
      <w:pPr>
        <w:pStyle w:val="ListBullet"/>
        <w:spacing w:after="60" w:line="276" w:lineRule="auto"/>
      </w:pPr>
      <w:r>
        <w:rPr>
          <w:b/>
          <w:color w:val="0F172A"/>
        </w:rPr>
        <w:t>10. Zero-Crossing Rate:</w:t>
      </w:r>
      <w:r>
        <w:t xml:space="preserve"> Frequency at which telemetry crosses the mean baseline. Higher rates indicate high-frequency noise or oscillation.</w:t>
      </w:r>
    </w:p>
    <w:p>
      <w:pPr>
        <w:pStyle w:val="ListBullet"/>
        <w:spacing w:after="60" w:line="276" w:lineRule="auto"/>
      </w:pPr>
      <w:r>
        <w:rPr>
          <w:b/>
          <w:color w:val="0F172A"/>
        </w:rPr>
        <w:t>11 &amp; 12. First-Difference Statistics:</w:t>
      </w:r>
      <w:r>
        <w:t xml:space="preserve"> Mean and variance of first-order discrete differences (dx/dt), measuring rate-of-change velocity and acceleration.</w:t>
      </w:r>
    </w:p>
    <w:p>
      <w:pPr>
        <w:pStyle w:val="ListBullet"/>
        <w:spacing w:after="60" w:line="276" w:lineRule="auto"/>
      </w:pPr>
      <w:r>
        <w:rPr>
          <w:b/>
          <w:color w:val="0F172A"/>
        </w:rPr>
        <w:t>13, 14, 15. Quantile Distributions (Q25, Q50, Q75):</w:t>
      </w:r>
      <w:r>
        <w:t xml:space="preserve"> The 25th, 50th (median), and 75th percentiles of signal amplitude.</w:t>
      </w:r>
    </w:p>
    <w:p>
      <w:pPr>
        <w:pStyle w:val="ListBullet"/>
        <w:spacing w:after="60" w:line="276" w:lineRule="auto"/>
      </w:pPr>
      <w:r>
        <w:rPr>
          <w:b/>
          <w:color w:val="0F172A"/>
        </w:rPr>
        <w:t>16. Interquartile Range (IQR):</w:t>
      </w:r>
      <w:r>
        <w:t xml:space="preserve"> Difference between Q75 and Q25, robustly measuring core signal spread independent of outliers.</w:t>
      </w:r>
    </w:p>
    <w:p>
      <w:pPr>
        <w:pStyle w:val="ListBullet"/>
        <w:spacing w:after="60" w:line="276" w:lineRule="auto"/>
      </w:pPr>
      <w:r>
        <w:rPr>
          <w:b/>
          <w:color w:val="0F172A"/>
        </w:rPr>
        <w:t>17. Crest Factor:</w:t>
      </w:r>
      <w:r>
        <w:t xml:space="preserve"> Ratio of peak amplitude to the RMS value, detecting sudden sharp shock spikes.</w:t>
      </w:r>
    </w:p>
    <w:p>
      <w:pPr>
        <w:pStyle w:val="ListBullet"/>
        <w:spacing w:after="60" w:line="276" w:lineRule="auto"/>
      </w:pPr>
      <w:r>
        <w:rPr>
          <w:b/>
          <w:color w:val="0F172A"/>
        </w:rPr>
        <w:t>18. Shape Factor:</w:t>
      </w:r>
      <w:r>
        <w:t xml:space="preserve"> Ratio of RMS value to the mean absolute value, characterizing signal waveform profile.</w:t>
      </w:r>
    </w:p>
    <w:p>
      <w:pPr>
        <w:pStyle w:val="ListBullet"/>
        <w:spacing w:after="60" w:line="276" w:lineRule="auto"/>
      </w:pPr>
      <w:r>
        <w:rPr>
          <w:b/>
          <w:color w:val="0F172A"/>
        </w:rPr>
        <w:t>19. Coupling Correlation Coefficient:</w:t>
      </w:r>
      <w:r>
        <w:t xml:space="preserve"> Normalized inter-channel Pearson correlation coefficient against coupled sister channels.</w:t>
      </w:r>
    </w:p>
    <w:p>
      <w:pPr>
        <w:keepNext/>
        <w:spacing w:before="360" w:after="120"/>
      </w:pPr>
      <w:r>
        <w:rPr>
          <w:b/>
          <w:color w:val="0F172A"/>
          <w:sz w:val="32"/>
        </w:rPr>
        <w:t>3. Artificial Intelligence &amp; Dynamic Graph Formulation</w:t>
      </w:r>
    </w:p>
    <w:p>
      <w:pPr>
        <w:keepNext/>
        <w:spacing w:before="280" w:after="80"/>
      </w:pPr>
      <w:r>
        <w:rPr>
          <w:b/>
          <w:color w:val="0284C7"/>
          <w:sz w:val="26"/>
        </w:rPr>
        <w:t>3.1 The Multi-Sensor Coupling Problem (Why Traditional ML Fails)</w:t>
      </w:r>
    </w:p>
    <w:p>
      <w:pPr>
        <w:spacing w:after="120" w:line="276" w:lineRule="auto"/>
      </w:pPr>
      <w:r>
        <w:t>Traditional machine learning evaluates each sensor in a vacuum ('siloed models'). However, on a spacecraft:</w:t>
      </w:r>
    </w:p>
    <w:p>
      <w:pPr>
        <w:pStyle w:val="ListBullet"/>
        <w:spacing w:after="60" w:line="276" w:lineRule="auto"/>
      </w:pPr>
      <w:r>
        <w:rPr>
          <w:b/>
          <w:color w:val="0F172A"/>
        </w:rPr>
        <w:t>Physical Attitude Coupling:</w:t>
      </w:r>
      <w:r>
        <w:t>If the satellite experiences an attitude tumble, Magnetometer X, Y, and Z will simultaneously undergo phase shifts, while Photodiodes 1-6 will see rotating sunlight angles.</w:t>
      </w:r>
    </w:p>
    <w:p>
      <w:pPr>
        <w:pStyle w:val="ListBullet"/>
        <w:spacing w:after="60" w:line="276" w:lineRule="auto"/>
      </w:pPr>
      <w:r>
        <w:rPr>
          <w:b/>
          <w:color w:val="0F172A"/>
        </w:rPr>
        <w:t>Physical Power Isolation:</w:t>
      </w:r>
      <w:r>
        <w:t>If a solar array regulator fails, the Photodiode readings collapse, while magnetometers remain unaffected.</w:t>
      </w:r>
    </w:p>
    <w:p>
      <w:pPr>
        <w:spacing w:after="120" w:line="276" w:lineRule="auto"/>
      </w:pPr>
      <w:r>
        <w:t>A simple model cannot distinguish between a legitimate attitude maneuver and a single failed sensor. OrbitGuard resolves this using Dynamic Graph Neural Networks.</w:t>
      </w:r>
    </w:p>
    <w:p>
      <w:pPr>
        <w:keepNext/>
        <w:spacing w:before="280" w:after="80"/>
      </w:pPr>
      <w:r>
        <w:rPr>
          <w:b/>
          <w:color w:val="0284C7"/>
          <w:sz w:val="26"/>
        </w:rPr>
        <w:t>3.2 Dynamic Graph Anomaly Detector (ai/graph_model/)</w:t>
      </w:r>
    </w:p>
    <w:p>
      <w:pPr>
        <w:spacing w:after="120" w:line="276" w:lineRule="auto"/>
      </w:pPr>
      <w:r>
        <w:t>OrbitGuard represents the 9 sensors as a dynamic attributed graph G(t) = (V, E(t), X(t)):</w:t>
      </w:r>
    </w:p>
    <w:p>
      <w:pPr>
        <w:pStyle w:val="ListBullet"/>
        <w:spacing w:after="60" w:line="276" w:lineRule="auto"/>
      </w:pPr>
      <w:r>
        <w:rPr>
          <w:b/>
          <w:color w:val="0F172A"/>
        </w:rPr>
        <w:t>• Node Set V:</w:t>
      </w:r>
      <w:r>
        <w:t xml:space="preserve"> The 9 spacecraft sensors (3 ADCS Magnetometers + 6 EPS Photodiodes).</w:t>
      </w:r>
    </w:p>
    <w:p>
      <w:pPr>
        <w:pStyle w:val="ListBullet"/>
        <w:spacing w:after="60" w:line="276" w:lineRule="auto"/>
      </w:pPr>
      <w:r>
        <w:rPr>
          <w:b/>
          <w:color w:val="0F172A"/>
        </w:rPr>
        <w:t>• Dynamic Edge Matrix E(t):</w:t>
      </w:r>
      <w:r>
        <w:t xml:space="preserve"> Dynamic adjacency matrix where edge weights represent rolling Pearson correlation coefficients between sensor pairs: A_ij(t) = Corr(s_i, s_j).</w:t>
      </w:r>
    </w:p>
    <w:p>
      <w:pPr>
        <w:pStyle w:val="ListBullet"/>
        <w:spacing w:after="60" w:line="276" w:lineRule="auto"/>
      </w:pPr>
      <w:r>
        <w:rPr>
          <w:b/>
          <w:color w:val="0F172A"/>
        </w:rPr>
        <w:t>• Node Feature Matrix X(t):</w:t>
      </w:r>
      <w:r>
        <w:t xml:space="preserve"> The 19-dimensional mathematical feature vectors extracted from each sensor.</w:t>
      </w:r>
    </w:p>
    <w:p>
      <w:pPr>
        <w:spacing w:after="120" w:line="276" w:lineRule="auto"/>
      </w:pPr>
      <w:r>
        <w:t>The model operates in two stages:</w:t>
      </w:r>
    </w:p>
    <w:p>
      <w:pPr>
        <w:pStyle w:val="ListBullet"/>
        <w:spacing w:after="60" w:line="276" w:lineRule="auto"/>
      </w:pPr>
      <w:r>
        <w:rPr>
          <w:b/>
          <w:color w:val="0F172A"/>
        </w:rPr>
        <w:t>1. Spatial Message Passing:</w:t>
      </w:r>
      <w:r>
        <w:t xml:space="preserve"> Multi-layer graph convolutional layers perform spatial message passing across coupled sensors, aggregating neighbor representations according to the correlation adjacency matrix.</w:t>
      </w:r>
    </w:p>
    <w:p>
      <w:pPr>
        <w:pStyle w:val="ListBullet"/>
        <w:spacing w:after="60" w:line="276" w:lineRule="auto"/>
      </w:pPr>
      <w:r>
        <w:rPr>
          <w:b/>
          <w:color w:val="0F172A"/>
        </w:rPr>
        <w:t>2. Temporal Recurrent Aggregation:</w:t>
      </w:r>
      <w:r>
        <w:t xml:space="preserve"> A Gated Recurrent Unit (GRU) layer processes the sequence of graph embeddings across sliding time windows, capturing temporal degradation patterns.</w:t>
      </w:r>
    </w:p>
    <w:p>
      <w:pPr>
        <w:pStyle w:val="ListBullet"/>
        <w:spacing w:after="60" w:line="276" w:lineRule="auto"/>
      </w:pPr>
      <w:r>
        <w:rPr>
          <w:b/>
          <w:color w:val="0F172A"/>
        </w:rPr>
        <w:t>3. Multi-Task Output:</w:t>
      </w:r>
      <w:r>
        <w:t xml:space="preserve"> The model outputs a global anomaly probability score P(Anomaly) and per-node anomaly attribution scores identifying which node contributed most heavily to the graph-level loss.</w:t>
      </w:r>
    </w:p>
    <w:p>
      <w:pPr>
        <w:keepNext/>
        <w:spacing w:before="280" w:after="80"/>
      </w:pPr>
      <w:r>
        <w:rPr>
          <w:b/>
          <w:color w:val="0284C7"/>
          <w:sz w:val="26"/>
        </w:rPr>
        <w:t>3.3 The Streaming Window Reality Gap (ai/investigations/findings.py)</w:t>
      </w:r>
    </w:p>
    <w:p>
      <w:pPr>
        <w:spacing w:after="120" w:line="276" w:lineRule="auto"/>
      </w:pPr>
      <w:r>
        <w:t>A critical scientific finding documented in the project repository is the 'Streaming Window Reality Gap'. During offline training, models have access to pre-sliced, fully populated window segments. In real-time streaming operations, as new telemetry arrives:</w:t>
      </w:r>
    </w:p>
    <w:p>
      <w:pPr>
        <w:pStyle w:val="ListBullet"/>
        <w:spacing w:after="60" w:line="276" w:lineRule="auto"/>
      </w:pPr>
      <w:r>
        <w:t>Early Buffer (&lt; 10 samples): ~81.4% Detection Accuracy (due to incomplete statistical variance estimation).</w:t>
      </w:r>
    </w:p>
    <w:p>
      <w:pPr>
        <w:pStyle w:val="ListBullet"/>
        <w:spacing w:after="60" w:line="276" w:lineRule="auto"/>
      </w:pPr>
      <w:r>
        <w:t>Half Buffer (10-25 samples): ~91.2% Detection Accuracy.</w:t>
      </w:r>
    </w:p>
    <w:p>
      <w:pPr>
        <w:pStyle w:val="ListBullet"/>
        <w:spacing w:after="60" w:line="276" w:lineRule="auto"/>
      </w:pPr>
      <w:r>
        <w:t>Full Rolling Buffer (40+ samples): ~98.6% Detection Accuracy.</w:t>
      </w:r>
    </w:p>
    <w:p>
      <w:pPr>
        <w:spacing w:after="120" w:line="276" w:lineRule="auto"/>
      </w:pPr>
      <w:r>
        <w:t>OrbitGuard incorporates a calibrated rolling window buffer that ensures maximum detection fidelity while streaming live data.</w:t>
      </w:r>
    </w:p>
    <w:p>
      <w:pPr>
        <w:keepNext/>
        <w:spacing w:before="360" w:after="120"/>
      </w:pPr>
      <w:r>
        <w:rPr>
          <w:b/>
          <w:color w:val="0F172A"/>
          <w:sz w:val="32"/>
        </w:rPr>
        <w:t>4. Autonomous Root Cause Isolation (RCA) &amp; FDIR Framework</w:t>
      </w:r>
    </w:p>
    <w:p>
      <w:pPr>
        <w:spacing w:after="120" w:line="276" w:lineRule="auto"/>
      </w:pPr>
      <w:r>
        <w:t>When an anomaly is detected, OrbitGuard immediately runs the Root Cause Isolation algorithm:</w:t>
      </w:r>
    </w:p>
    <w:p>
      <w:pPr>
        <w:pStyle w:val="ListBullet"/>
        <w:spacing w:after="60" w:line="276" w:lineRule="auto"/>
      </w:pPr>
      <w:r>
        <w:rPr>
          <w:b/>
          <w:color w:val="0F172A"/>
        </w:rPr>
        <w:t>1. Patient Zero Identification:</w:t>
      </w:r>
      <w:r>
        <w:t xml:space="preserve"> The sensor node exhibiting the highest reconstruction residual and deviation from baseline nominal correlation.</w:t>
      </w:r>
    </w:p>
    <w:p>
      <w:pPr>
        <w:pStyle w:val="ListBullet"/>
        <w:spacing w:after="60" w:line="276" w:lineRule="auto"/>
      </w:pPr>
      <w:r>
        <w:rPr>
          <w:b/>
          <w:color w:val="0F172A"/>
        </w:rPr>
        <w:t>2. Propagation Radius Tracing:</w:t>
      </w:r>
      <w:r>
        <w:t xml:space="preserve"> Tracing dynamic graph edges to identify which secondary sensors were pulled off-nominal by the root fault.</w:t>
      </w:r>
    </w:p>
    <w:p>
      <w:pPr>
        <w:pStyle w:val="ListBullet"/>
        <w:spacing w:after="60" w:line="276" w:lineRule="auto"/>
      </w:pPr>
      <w:r>
        <w:rPr>
          <w:b/>
          <w:color w:val="0F172A"/>
        </w:rPr>
        <w:t>3. Actionable FDIR Recovery Mapping:</w:t>
      </w:r>
      <w:r>
        <w:t xml:space="preserve"> Translates the fault into official ESA OPS-SAT aerospace remediation procedures:</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sz w:val="19"/>
              </w:rPr>
              <w:t>Subsystem &amp; Root Sensor</w:t>
            </w:r>
          </w:p>
        </w:tc>
        <w:tc>
          <w:tcPr>
            <w:tcW w:type="dxa" w:w="3120"/>
            <w:shd w:fill="0F172A"/>
          </w:tcPr>
          <w:p>
            <w:r>
              <w:rPr>
                <w:b/>
                <w:color w:val="FFFFFF"/>
                <w:sz w:val="19"/>
              </w:rPr>
              <w:t>Detected Spacecraft Failure Pattern</w:t>
            </w:r>
          </w:p>
        </w:tc>
        <w:tc>
          <w:tcPr>
            <w:tcW w:type="dxa" w:w="3120"/>
            <w:shd w:fill="0F172A"/>
          </w:tcPr>
          <w:p>
            <w:r>
              <w:rPr>
                <w:b/>
                <w:color w:val="FFFFFF"/>
                <w:sz w:val="19"/>
              </w:rPr>
              <w:t>Recommended FDIR Recovery Action</w:t>
            </w:r>
          </w:p>
        </w:tc>
      </w:tr>
      <w:tr>
        <w:tc>
          <w:tcPr>
            <w:tcW w:type="dxa" w:w="3120"/>
            <w:shd w:fill="FFFFFF"/>
            <w:tcMar>
              <w:top w:w="60" w:type="dxa"/>
              <w:bottom w:w="60" w:type="dxa"/>
              <w:left w:w="100" w:type="dxa"/>
              <w:right w:w="100" w:type="dxa"/>
            </w:tcMar>
          </w:tcPr>
          <w:p>
            <w:r>
              <w:rPr>
                <w:b/>
                <w:sz w:val="18"/>
              </w:rPr>
              <w:t>ADCS (CADC0872–0874: Magnetometers)</w:t>
            </w:r>
          </w:p>
        </w:tc>
        <w:tc>
          <w:tcPr>
            <w:tcW w:type="dxa" w:w="3120"/>
            <w:shd w:fill="FFFFFF"/>
            <w:tcMar>
              <w:top w:w="60" w:type="dxa"/>
              <w:bottom w:w="60" w:type="dxa"/>
              <w:left w:w="100" w:type="dxa"/>
              <w:right w:w="100" w:type="dxa"/>
            </w:tcMar>
          </w:tcPr>
          <w:p>
            <w:r>
              <w:rPr>
                <w:sz w:val="18"/>
              </w:rPr>
              <w:t>Magnetic Dipole Inversion / Attitude Axis Drift</w:t>
            </w:r>
          </w:p>
        </w:tc>
        <w:tc>
          <w:tcPr>
            <w:tcW w:type="dxa" w:w="3120"/>
            <w:shd w:fill="FFFFFF"/>
            <w:tcMar>
              <w:top w:w="60" w:type="dxa"/>
              <w:bottom w:w="60" w:type="dxa"/>
              <w:left w:w="100" w:type="dxa"/>
              <w:right w:w="100" w:type="dxa"/>
            </w:tcMar>
          </w:tcPr>
          <w:p>
            <w:r>
              <w:rPr>
                <w:sz w:val="18"/>
              </w:rPr>
              <w:t>Execute ADCS Stabilization: Re-calibrate magnetometer bias, engage reaction wheel torque damping, and recalculate B-dot reference vector.</w:t>
            </w:r>
          </w:p>
        </w:tc>
      </w:tr>
      <w:tr>
        <w:tc>
          <w:tcPr>
            <w:tcW w:type="dxa" w:w="3120"/>
            <w:shd w:fill="F8FAFC"/>
            <w:tcMar>
              <w:top w:w="60" w:type="dxa"/>
              <w:bottom w:w="60" w:type="dxa"/>
              <w:left w:w="100" w:type="dxa"/>
              <w:right w:w="100" w:type="dxa"/>
            </w:tcMar>
          </w:tcPr>
          <w:p>
            <w:r>
              <w:rPr>
                <w:b/>
                <w:sz w:val="18"/>
              </w:rPr>
              <w:t>EPS (CADC0884–0894: Photodiodes)</w:t>
            </w:r>
          </w:p>
        </w:tc>
        <w:tc>
          <w:tcPr>
            <w:tcW w:type="dxa" w:w="3120"/>
            <w:shd w:fill="F8FAFC"/>
            <w:tcMar>
              <w:top w:w="60" w:type="dxa"/>
              <w:bottom w:w="60" w:type="dxa"/>
              <w:left w:w="100" w:type="dxa"/>
              <w:right w:w="100" w:type="dxa"/>
            </w:tcMar>
          </w:tcPr>
          <w:p>
            <w:r>
              <w:rPr>
                <w:sz w:val="18"/>
              </w:rPr>
              <w:t>Solar Array Shadowing / Photodiode Discrepancy</w:t>
            </w:r>
          </w:p>
        </w:tc>
        <w:tc>
          <w:tcPr>
            <w:tcW w:type="dxa" w:w="3120"/>
            <w:shd w:fill="F8FAFC"/>
            <w:tcMar>
              <w:top w:w="60" w:type="dxa"/>
              <w:bottom w:w="60" w:type="dxa"/>
              <w:left w:w="100" w:type="dxa"/>
              <w:right w:w="100" w:type="dxa"/>
            </w:tcMar>
          </w:tcPr>
          <w:p>
            <w:r>
              <w:rPr>
                <w:sz w:val="18"/>
              </w:rPr>
              <w:t>Execute EPS Safe-Mode: Verify solar panel sun-tracking orientation vector, check power bus regulation, and reset optical photodiode bus.</w:t>
            </w:r>
          </w:p>
        </w:tc>
      </w:tr>
    </w:tbl>
    <w:p>
      <w:pPr>
        <w:spacing w:after="120"/>
      </w:pPr>
    </w:p>
    <w:p>
      <w:pPr>
        <w:keepNext/>
        <w:spacing w:before="360" w:after="120"/>
      </w:pPr>
      <w:r>
        <w:rPr>
          <w:b/>
          <w:color w:val="0F172A"/>
          <w:sz w:val="32"/>
        </w:rPr>
        <w:t>5. Backend Software Architecture</w:t>
      </w:r>
    </w:p>
    <w:p>
      <w:pPr>
        <w:spacing w:after="120" w:line="276" w:lineRule="auto"/>
      </w:pPr>
      <w:r>
        <w:t>The backend is built with high-performance Python 3, FastAPI, and WebSockets to handle real-time streaming at 10 Hz without thread blocking:</w:t>
      </w:r>
    </w:p>
    <w:p>
      <w:pPr>
        <w:pStyle w:val="ListBullet"/>
        <w:spacing w:after="60" w:line="276" w:lineRule="auto"/>
      </w:pPr>
      <w:r>
        <w:rPr>
          <w:b/>
          <w:color w:val="0F172A"/>
        </w:rPr>
        <w:t>• backend/telemetry_source.py:</w:t>
      </w:r>
      <w:r>
        <w:t xml:space="preserve"> Reads 303,495 rows from dataset.csv, chronologically interleaves all 9 channels, and streams them asynchronously to connected clients.</w:t>
      </w:r>
    </w:p>
    <w:p>
      <w:pPr>
        <w:pStyle w:val="ListBullet"/>
        <w:spacing w:after="60" w:line="276" w:lineRule="auto"/>
      </w:pPr>
      <w:r>
        <w:rPr>
          <w:b/>
          <w:color w:val="0F172A"/>
        </w:rPr>
        <w:t>• backend/feature_extractor.py:</w:t>
      </w:r>
      <w:r>
        <w:t xml:space="preserve"> Maintains an in-memory sliding buffer for each channel and calculates the 19 mathematical features on-the-fly.</w:t>
      </w:r>
    </w:p>
    <w:p>
      <w:pPr>
        <w:pStyle w:val="ListBullet"/>
        <w:spacing w:after="60" w:line="276" w:lineRule="auto"/>
      </w:pPr>
      <w:r>
        <w:rPr>
          <w:b/>
          <w:color w:val="0F172A"/>
        </w:rPr>
        <w:t>• backend/model_service.py:</w:t>
      </w:r>
      <w:r>
        <w:t xml:space="preserve"> Loads the trained Scaler and Model pipelines, generates real-time predictions and calibrated probability scores.</w:t>
      </w:r>
    </w:p>
    <w:p>
      <w:pPr>
        <w:pStyle w:val="ListBullet"/>
        <w:spacing w:after="60" w:line="276" w:lineRule="auto"/>
      </w:pPr>
      <w:r>
        <w:rPr>
          <w:b/>
          <w:color w:val="0F172A"/>
        </w:rPr>
        <w:t>• backend/main.py:</w:t>
      </w:r>
      <w:r>
        <w:t xml:space="preserve"> Exposes the REST health check endpoint and the high-throughput ws://127.0.0.1:8000/stream WebSocket route.</w:t>
      </w:r>
    </w:p>
    <w:p>
      <w:pPr>
        <w:keepNext/>
        <w:spacing w:before="360" w:after="120"/>
      </w:pPr>
      <w:r>
        <w:rPr>
          <w:b/>
          <w:color w:val="0F172A"/>
          <w:sz w:val="32"/>
        </w:rPr>
        <w:t>6. Frontend Mission Control Console: Section-by-Section Guide</w:t>
      </w:r>
    </w:p>
    <w:p>
      <w:pPr>
        <w:spacing w:after="120" w:line="276" w:lineRule="auto"/>
      </w:pPr>
      <w:r>
        <w:t>The frontend dashboard is designed to provide high visual acuity, zero eye strain during extended mission monitoring, and seamless technician interaction. Below is the detailed breakdown of every section and visual element:</w:t>
      </w:r>
    </w:p>
    <w:p>
      <w:pPr>
        <w:keepNext/>
        <w:spacing w:before="280" w:after="80"/>
      </w:pPr>
      <w:r>
        <w:rPr>
          <w:b/>
          <w:color w:val="0284C7"/>
          <w:sz w:val="26"/>
        </w:rPr>
        <w:t>6.1 Top Mission Header</w:t>
      </w:r>
    </w:p>
    <w:p>
      <w:pPr>
        <w:pStyle w:val="ListBullet"/>
        <w:spacing w:after="60" w:line="276" w:lineRule="auto"/>
      </w:pPr>
      <w:r>
        <w:rPr>
          <w:b/>
          <w:color w:val="0F172A"/>
        </w:rPr>
        <w:t>• Mission Identity Badge:</w:t>
      </w:r>
      <w:r>
        <w:t xml:space="preserve"> Displays the project identifier ('ORBITGUARD') in a warm amber gold badge.</w:t>
      </w:r>
    </w:p>
    <w:p>
      <w:pPr>
        <w:pStyle w:val="ListBullet"/>
        <w:spacing w:after="60" w:line="276" w:lineRule="auto"/>
      </w:pPr>
      <w:r>
        <w:rPr>
          <w:b/>
          <w:color w:val="0F172A"/>
        </w:rPr>
        <w:t>• Mission Title:</w:t>
      </w:r>
      <w:r>
        <w:t xml:space="preserve"> 'ESA OPS-SAT Telemetry &amp; Anomaly Analysis Console' with an orbital altitude badge ('LEO 510 km').</w:t>
      </w:r>
    </w:p>
    <w:p>
      <w:pPr>
        <w:pStyle w:val="ListBullet"/>
        <w:spacing w:after="60" w:line="276" w:lineRule="auto"/>
      </w:pPr>
      <w:r>
        <w:rPr>
          <w:b/>
          <w:color w:val="0F172A"/>
        </w:rPr>
        <w:t>• Live Telemetry Stream Heartbeat:</w:t>
      </w:r>
      <w:r>
        <w:t xml:space="preserve"> A live pulsing dot that blinks green during active telemetry transmission.</w:t>
      </w:r>
    </w:p>
    <w:p>
      <w:pPr>
        <w:pStyle w:val="ListBullet"/>
        <w:spacing w:after="60" w:line="276" w:lineRule="auto"/>
      </w:pPr>
      <w:r>
        <w:rPr>
          <w:b/>
          <w:color w:val="0F172A"/>
        </w:rPr>
        <w:t>• Unresolved Fault Counter:</w:t>
      </w:r>
      <w:r>
        <w:t xml:space="preserve"> Displays the exact number of unresolved incidents in red (e.g., '14 UNRESOLVED FAULTS') or green ('✓ 0 UNRESOLVED FAULTS').</w:t>
      </w:r>
    </w:p>
    <w:p>
      <w:pPr>
        <w:pStyle w:val="ListBullet"/>
        <w:spacing w:after="60" w:line="276" w:lineRule="auto"/>
      </w:pPr>
      <w:r>
        <w:rPr>
          <w:b/>
          <w:color w:val="0F172A"/>
        </w:rPr>
        <w:t>• UTC Mission Clock:</w:t>
      </w:r>
      <w:r>
        <w:t xml:space="preserve"> Real-time Coordinated Universal Time (UTC) clock formatted down to the second.</w:t>
      </w:r>
    </w:p>
    <w:p>
      <w:pPr>
        <w:pStyle w:val="ListBullet"/>
        <w:spacing w:after="60" w:line="276" w:lineRule="auto"/>
      </w:pPr>
      <w:r>
        <w:rPr>
          <w:b/>
          <w:color w:val="0F172A"/>
        </w:rPr>
        <w:t>• [PAUSE / RESUME] Stream Controls:</w:t>
      </w:r>
      <w:r>
        <w:t xml:space="preserve"> A prominent button allowing operators to freeze incoming stream frames for inspection or resume live telemetry.</w:t>
      </w:r>
    </w:p>
    <w:p>
      <w:pPr>
        <w:keepNext/>
        <w:spacing w:before="280" w:after="80"/>
      </w:pPr>
      <w:r>
        <w:rPr>
          <w:b/>
          <w:color w:val="0284C7"/>
          <w:sz w:val="26"/>
        </w:rPr>
        <w:t>6.2 Telemetry Waveform Oscilloscope (Top Left Panel)</w:t>
      </w:r>
    </w:p>
    <w:p>
      <w:pPr>
        <w:pStyle w:val="ListBullet"/>
        <w:spacing w:after="60" w:line="276" w:lineRule="auto"/>
      </w:pPr>
      <w:r>
        <w:rPr>
          <w:b/>
          <w:color w:val="0F172A"/>
        </w:rPr>
        <w:t>• High-Resolution Signal Canvas:</w:t>
      </w:r>
      <w:r>
        <w:t xml:space="preserve"> Plots real-time telemetry signal amplitude over rolling time frames in clean Emerald Green (#10B981).</w:t>
      </w:r>
    </w:p>
    <w:p>
      <w:pPr>
        <w:pStyle w:val="ListBullet"/>
        <w:spacing w:after="60" w:line="276" w:lineRule="auto"/>
      </w:pPr>
      <w:r>
        <w:rPr>
          <w:b/>
          <w:color w:val="0F172A"/>
        </w:rPr>
        <w:t>• Anomaly Excursion Points:</w:t>
      </w:r>
      <w:r>
        <w:t xml:space="preserve"> When an anomaly occurs, the corresponding data point turns into a distinct Crimson Red (#EF4444) excursion marker.</w:t>
      </w:r>
    </w:p>
    <w:p>
      <w:pPr>
        <w:pStyle w:val="ListBullet"/>
        <w:spacing w:after="60" w:line="276" w:lineRule="auto"/>
      </w:pPr>
      <w:r>
        <w:rPr>
          <w:b/>
          <w:color w:val="0F172A"/>
        </w:rPr>
        <w:t>• 9-Channel Selector Strip:</w:t>
      </w:r>
      <w:r>
        <w:t xml:space="preserve"> 9 dedicated channel buttons (CADC0872–0894). Each button features a live status dot: Bright Emerald Green for nominal, Pulsing Crimson Red for active fault. Selected channels feature an amber gold outline.</w:t>
      </w:r>
    </w:p>
    <w:p>
      <w:pPr>
        <w:pStyle w:val="ListBullet"/>
        <w:spacing w:after="60" w:line="276" w:lineRule="auto"/>
      </w:pPr>
      <w:r>
        <w:rPr>
          <w:b/>
          <w:color w:val="0F172A"/>
        </w:rPr>
        <w:t>• Latest Reading Display:</w:t>
      </w:r>
      <w:r>
        <w:t xml:space="preserve"> Displays the latest value in 4-digit scientific notation (e.g. 1.3400e-05 T).</w:t>
      </w:r>
    </w:p>
    <w:p>
      <w:pPr>
        <w:pStyle w:val="ListBullet"/>
        <w:spacing w:after="60" w:line="276" w:lineRule="auto"/>
      </w:pPr>
      <w:r>
        <w:rPr>
          <w:b/>
          <w:color w:val="0F172A"/>
        </w:rPr>
        <w:t>• Channel State Badge:</w:t>
      </w:r>
      <w:r>
        <w:t xml:space="preserve"> Displays '✓ NOMINAL STABLE' in green or '⚠️ FAULT DETECTED' in red.</w:t>
      </w:r>
    </w:p>
    <w:p>
      <w:pPr>
        <w:pStyle w:val="ListBullet"/>
        <w:spacing w:after="60" w:line="276" w:lineRule="auto"/>
      </w:pPr>
      <w:r>
        <w:rPr>
          <w:b/>
          <w:color w:val="0F172A"/>
        </w:rPr>
        <w:t>• Anomaly Risk Percentage:</w:t>
      </w:r>
      <w:r>
        <w:t xml:space="preserve"> Calibrated AI anomaly probability score (e.g. 98.4%).</w:t>
      </w:r>
    </w:p>
    <w:p>
      <w:pPr>
        <w:keepNext/>
        <w:spacing w:before="280" w:after="80"/>
      </w:pPr>
      <w:r>
        <w:rPr>
          <w:b/>
          <w:color w:val="0284C7"/>
          <w:sz w:val="26"/>
        </w:rPr>
        <w:t>6.3 Dynamic Graph Topology &amp; Root Cause Propagation (Bottom Left Panel)</w:t>
      </w:r>
    </w:p>
    <w:p>
      <w:pPr>
        <w:pStyle w:val="ListBullet"/>
        <w:spacing w:after="60" w:line="276" w:lineRule="auto"/>
      </w:pPr>
      <w:r>
        <w:rPr>
          <w:b/>
          <w:color w:val="0F172A"/>
        </w:rPr>
        <w:t>• ADCS Attitude Triad Cluster:</w:t>
      </w:r>
      <w:r>
        <w:t xml:space="preserve"> Upper bounding container grouping the 3-axis magnetometers (Mag X, Mag Y, Mag Z).</w:t>
      </w:r>
    </w:p>
    <w:p>
      <w:pPr>
        <w:pStyle w:val="ListBullet"/>
        <w:spacing w:after="60" w:line="276" w:lineRule="auto"/>
      </w:pPr>
      <w:r>
        <w:rPr>
          <w:b/>
          <w:color w:val="0F172A"/>
        </w:rPr>
        <w:t>• EPS Solar Sensor Cluster:</w:t>
      </w:r>
      <w:r>
        <w:t xml:space="preserve"> Lower bounding container housing the 6 solar array photodiode sensors (PD 1 through PD 6).</w:t>
      </w:r>
    </w:p>
    <w:p>
      <w:pPr>
        <w:pStyle w:val="ListBullet"/>
        <w:spacing w:after="60" w:line="276" w:lineRule="auto"/>
      </w:pPr>
      <w:r>
        <w:rPr>
          <w:b/>
          <w:color w:val="0F172A"/>
        </w:rPr>
        <w:t>• Interactive Sensor Nodes:</w:t>
      </w:r>
      <w:r>
        <w:t xml:space="preserve"> 18px radius nodes with high-contrast white channel numbers and descriptive titles below. Clicking any node instantly focuses the oscilloscope on that channel.</w:t>
      </w:r>
    </w:p>
    <w:p>
      <w:pPr>
        <w:pStyle w:val="ListBullet"/>
        <w:spacing w:after="60" w:line="276" w:lineRule="auto"/>
      </w:pPr>
      <w:r>
        <w:rPr>
          <w:b/>
          <w:color w:val="0F172A"/>
        </w:rPr>
        <w:t>• Root Cause Pulse &amp; Fault Propagation Lines:</w:t>
      </w:r>
      <w:r>
        <w:t xml:space="preserve"> When a fault occurs, the identified root cause node pulses with an outer alert ring, and its correlation edges turn Crimson Red to illustrate physical cross-sensor propagation.</w:t>
      </w:r>
    </w:p>
    <w:p>
      <w:pPr>
        <w:keepNext/>
        <w:spacing w:before="280" w:after="80"/>
      </w:pPr>
      <w:r>
        <w:rPr>
          <w:b/>
          <w:color w:val="0284C7"/>
          <w:sz w:val="26"/>
        </w:rPr>
        <w:t>6.4 Root Cause &amp; Actionable FDIR Diagnostics Panel (Top Right Panel)</w:t>
      </w:r>
    </w:p>
    <w:p>
      <w:pPr>
        <w:pStyle w:val="ListBullet"/>
        <w:spacing w:after="60" w:line="276" w:lineRule="auto"/>
      </w:pPr>
      <w:r>
        <w:rPr>
          <w:b/>
          <w:color w:val="0F172A"/>
        </w:rPr>
        <w:t>• Root Cause Identification:</w:t>
      </w:r>
      <w:r>
        <w:t xml:space="preserve"> Large bold readout displaying the exact channel ID, sensor title, and calibrated fault probability.</w:t>
      </w:r>
    </w:p>
    <w:p>
      <w:pPr>
        <w:pStyle w:val="ListBullet"/>
        <w:spacing w:after="60" w:line="276" w:lineRule="auto"/>
      </w:pPr>
      <w:r>
        <w:rPr>
          <w:b/>
          <w:color w:val="0F172A"/>
        </w:rPr>
        <w:t>• Affected Subsystem:</w:t>
      </w:r>
      <w:r>
        <w:t xml:space="preserve"> Explicitly identifies whether the fault originates in Attitude Control (ADCS) or Power/Optical (EPS).</w:t>
      </w:r>
    </w:p>
    <w:p>
      <w:pPr>
        <w:pStyle w:val="ListBullet"/>
        <w:spacing w:after="60" w:line="276" w:lineRule="auto"/>
      </w:pPr>
      <w:r>
        <w:rPr>
          <w:b/>
          <w:color w:val="0F172A"/>
        </w:rPr>
        <w:t>• Failure Pattern:</w:t>
      </w:r>
      <w:r>
        <w:t xml:space="preserve"> Detailed failure description (e.g., Magnetic Dipole Inversion / Solar Shadowing).</w:t>
      </w:r>
    </w:p>
    <w:p>
      <w:pPr>
        <w:pStyle w:val="ListBullet"/>
        <w:spacing w:after="60" w:line="276" w:lineRule="auto"/>
      </w:pPr>
      <w:r>
        <w:rPr>
          <w:b/>
          <w:color w:val="0F172A"/>
        </w:rPr>
        <w:t>• Propagation Radius:</w:t>
      </w:r>
      <w:r>
        <w:t xml:space="preserve"> Lists all secondary sensors experiencing coupled ripple effects.</w:t>
      </w:r>
    </w:p>
    <w:p>
      <w:pPr>
        <w:pStyle w:val="ListBullet"/>
        <w:spacing w:after="60" w:line="276" w:lineRule="auto"/>
      </w:pPr>
      <w:r>
        <w:rPr>
          <w:b/>
          <w:color w:val="0F172A"/>
        </w:rPr>
        <w:t>• Recommended FDIR Remediation:</w:t>
      </w:r>
      <w:r>
        <w:t xml:space="preserve"> Step-by-step operational recovery instructions following official ESA OPS-SAT mission guidelines.</w:t>
      </w:r>
    </w:p>
    <w:p>
      <w:pPr>
        <w:pStyle w:val="ListBullet"/>
        <w:spacing w:after="60" w:line="276" w:lineRule="auto"/>
      </w:pPr>
      <w:r>
        <w:rPr>
          <w:b/>
          <w:color w:val="0F172A"/>
        </w:rPr>
        <w:t>• [EXECUTE FIX &amp; RESOLVE] Action Button:</w:t>
      </w:r>
      <w:r>
        <w:t xml:space="preserve"> A prominent green button allowing the operator to execute the fix, mark the issue as resolved, and log the action.</w:t>
      </w:r>
    </w:p>
    <w:p>
      <w:pPr>
        <w:keepNext/>
        <w:spacing w:before="280" w:after="80"/>
      </w:pPr>
      <w:r>
        <w:rPr>
          <w:b/>
          <w:color w:val="0284C7"/>
          <w:sz w:val="26"/>
        </w:rPr>
        <w:t>6.5 Technician Incident Inbox (Bottom Right Panel)</w:t>
      </w:r>
    </w:p>
    <w:p>
      <w:pPr>
        <w:pStyle w:val="ListBullet"/>
        <w:spacing w:after="60" w:line="276" w:lineRule="auto"/>
      </w:pPr>
      <w:r>
        <w:rPr>
          <w:b/>
          <w:color w:val="0F172A"/>
        </w:rPr>
        <w:t>• Persistent Problem Queue:</w:t>
      </w:r>
      <w:r>
        <w:t xml:space="preserve"> Unlike standard dashboards where anomalies vanish on the next data packet, OrbitGuard generates persistent tickets (INC-101, INC-102...) that stay visible until resolved.</w:t>
      </w:r>
    </w:p>
    <w:p>
      <w:pPr>
        <w:pStyle w:val="ListBullet"/>
        <w:spacing w:after="60" w:line="276" w:lineRule="auto"/>
      </w:pPr>
      <w:r>
        <w:rPr>
          <w:b/>
          <w:color w:val="0F172A"/>
        </w:rPr>
        <w:t>• Smooth Scrollable Feed:</w:t>
      </w:r>
      <w:r>
        <w:t xml:space="preserve"> A dedicated container with a custom titanium scrollbar allowing technicians to scroll smoothly through all recorded incident events.</w:t>
      </w:r>
    </w:p>
    <w:p>
      <w:pPr>
        <w:pStyle w:val="ListBullet"/>
        <w:spacing w:after="60" w:line="276" w:lineRule="auto"/>
      </w:pPr>
      <w:r>
        <w:rPr>
          <w:b/>
          <w:color w:val="0F172A"/>
        </w:rPr>
        <w:t>• Exact Ticket Counter:</w:t>
      </w:r>
      <w:r>
        <w:t xml:space="preserve"> Displays the exact number of open vs resolved tickets (e.g. 'Open (18)').</w:t>
      </w:r>
    </w:p>
    <w:p>
      <w:pPr>
        <w:pStyle w:val="ListBullet"/>
        <w:spacing w:after="60" w:line="276" w:lineRule="auto"/>
      </w:pPr>
      <w:r>
        <w:rPr>
          <w:b/>
          <w:color w:val="0F172A"/>
        </w:rPr>
        <w:t>• Open vs Resolved Tabs:</w:t>
      </w:r>
      <w:r>
        <w:t xml:space="preserve"> Switch between active 'Unresolved' issues and archived 'Resolved' history with resolution timestamps.</w:t>
      </w:r>
    </w:p>
    <w:p>
      <w:pPr>
        <w:pStyle w:val="ListBullet"/>
        <w:spacing w:after="60" w:line="276" w:lineRule="auto"/>
      </w:pPr>
      <w:r>
        <w:rPr>
          <w:b/>
          <w:color w:val="0F172A"/>
        </w:rPr>
        <w:t>• 'Resolve All' Action:</w:t>
      </w:r>
      <w:r>
        <w:t xml:space="preserve"> Quick one-click action to clear and resolve all open incidents simultaneously.</w:t>
      </w:r>
    </w:p>
    <w:p>
      <w:pPr>
        <w:keepNext/>
        <w:spacing w:before="280" w:after="80"/>
      </w:pPr>
      <w:r>
        <w:rPr>
          <w:b/>
          <w:color w:val="0284C7"/>
          <w:sz w:val="26"/>
        </w:rPr>
        <w:t>6.6 Stream Journal Footer</w:t>
      </w:r>
    </w:p>
    <w:p>
      <w:pPr>
        <w:pStyle w:val="ListBullet"/>
        <w:spacing w:after="60" w:line="276" w:lineRule="auto"/>
      </w:pPr>
      <w:r>
        <w:rPr>
          <w:b/>
          <w:color w:val="0F172A"/>
        </w:rPr>
        <w:t>• Logged Frames Counter:</w:t>
      </w:r>
      <w:r>
        <w:t xml:space="preserve"> Displays the total count of logged telemetry frames in the active session.</w:t>
      </w:r>
    </w:p>
    <w:p>
      <w:pPr>
        <w:pStyle w:val="ListBullet"/>
        <w:spacing w:after="60" w:line="276" w:lineRule="auto"/>
      </w:pPr>
      <w:r>
        <w:rPr>
          <w:b/>
          <w:color w:val="0F172A"/>
        </w:rPr>
        <w:t>• Active Sensor Tally:</w:t>
      </w:r>
      <w:r>
        <w:t xml:space="preserve"> Confirms health of all 9 spacecraft sensors ('9 / 9 OPERATIONAL').</w:t>
      </w:r>
    </w:p>
    <w:p>
      <w:pPr>
        <w:pStyle w:val="ListBullet"/>
        <w:spacing w:after="60" w:line="276" w:lineRule="auto"/>
      </w:pPr>
      <w:r>
        <w:rPr>
          <w:b/>
          <w:color w:val="0F172A"/>
        </w:rPr>
        <w:t>• AI Model Badge:</w:t>
      </w:r>
      <w:r>
        <w:t xml:space="preserve"> Displays active AI architecture ('DYNAMIC GRAPH ANOMALY DETECTOR + FDIR').</w:t>
      </w:r>
    </w:p>
    <w:p>
      <w:pPr>
        <w:keepNext/>
        <w:spacing w:before="360" w:after="120"/>
      </w:pPr>
      <w:r>
        <w:rPr>
          <w:b/>
          <w:color w:val="0F172A"/>
          <w:sz w:val="32"/>
        </w:rPr>
        <w:t>7. System Execution &amp; Verification Guide</w:t>
      </w:r>
    </w:p>
    <w:p>
      <w:pPr>
        <w:spacing w:after="120" w:line="276" w:lineRule="auto"/>
      </w:pPr>
      <w:r>
        <w:t>To launch and operate the OrbitGuard platform:</w:t>
      </w:r>
    </w:p>
    <w:p>
      <w:pPr>
        <w:keepNext/>
        <w:spacing w:before="280" w:after="80"/>
      </w:pPr>
      <w:r>
        <w:rPr>
          <w:b/>
          <w:color w:val="0284C7"/>
          <w:sz w:val="26"/>
        </w:rPr>
        <w:t>Step 1: Start Backend Telemetry Server</w:t>
      </w:r>
    </w:p>
    <w:p>
      <w:pPr>
        <w:spacing w:after="120" w:line="276" w:lineRule="auto"/>
      </w:pPr>
      <w:r>
        <w:t>Run the following command in the project root directory:</w:t>
      </w:r>
    </w:p>
    <w:p>
      <w:pPr>
        <w:pStyle w:val="ListBullet"/>
        <w:spacing w:after="60" w:line="276" w:lineRule="auto"/>
      </w:pPr>
      <w:r>
        <w:rPr>
          <w:b/>
          <w:color w:val="0F172A"/>
        </w:rPr>
        <w:t xml:space="preserve">Command: </w:t>
      </w:r>
      <w:r>
        <w:t>uvicorn backend.main:app --reload --port 8000</w:t>
      </w:r>
    </w:p>
    <w:p>
      <w:pPr>
        <w:spacing w:after="120" w:line="276" w:lineRule="auto"/>
      </w:pPr>
      <w:r>
        <w:t>The server will initialize the multi-channel streaming engine and start listening on http://127.0.0.1:8000 and ws://127.0.0.1:8000/stream.</w:t>
      </w:r>
    </w:p>
    <w:p>
      <w:pPr>
        <w:keepNext/>
        <w:spacing w:before="280" w:after="80"/>
      </w:pPr>
      <w:r>
        <w:rPr>
          <w:b/>
          <w:color w:val="0284C7"/>
          <w:sz w:val="26"/>
        </w:rPr>
        <w:t>Step 2: Start Frontend Mission Console</w:t>
      </w:r>
    </w:p>
    <w:p>
      <w:pPr>
        <w:spacing w:after="120" w:line="276" w:lineRule="auto"/>
      </w:pPr>
      <w:r>
        <w:t>In a separate terminal, navigate to the frontend directory and start the Vite dev server:</w:t>
      </w:r>
    </w:p>
    <w:p>
      <w:pPr>
        <w:pStyle w:val="ListBullet"/>
        <w:spacing w:after="60" w:line="276" w:lineRule="auto"/>
      </w:pPr>
      <w:r>
        <w:rPr>
          <w:b/>
          <w:color w:val="0F172A"/>
        </w:rPr>
        <w:t xml:space="preserve">Command: </w:t>
      </w:r>
      <w:r>
        <w:t>cd frontend &amp;&amp; npm run dev</w:t>
      </w:r>
    </w:p>
    <w:p>
      <w:pPr>
        <w:spacing w:after="120" w:line="276" w:lineRule="auto"/>
      </w:pPr>
      <w:r>
        <w:t>Open http://localhost:5173 in your browser to access the OrbitGuard console.</w:t>
      </w:r>
    </w:p>
    <w:p>
      <w:pPr>
        <w:keepNext/>
        <w:spacing w:before="280" w:after="80"/>
      </w:pPr>
      <w:r>
        <w:rPr>
          <w:b/>
          <w:color w:val="0284C7"/>
          <w:sz w:val="26"/>
        </w:rPr>
        <w:t>Step 3: Verify Anomaly Handling &amp; Incident Resolution</w:t>
      </w:r>
    </w:p>
    <w:p>
      <w:pPr>
        <w:pStyle w:val="ListBullet"/>
        <w:spacing w:after="60" w:line="276" w:lineRule="auto"/>
      </w:pPr>
      <w:r>
        <w:rPr>
          <w:b/>
          <w:color w:val="0F172A"/>
        </w:rPr>
        <w:t>1. Normal Stream:</w:t>
      </w:r>
      <w:r>
        <w:t xml:space="preserve"> Observe the green waveform oscilloscope and live values streaming at 10 Hz across all 9 sensors.</w:t>
      </w:r>
    </w:p>
    <w:p>
      <w:pPr>
        <w:pStyle w:val="ListBullet"/>
        <w:spacing w:after="60" w:line="276" w:lineRule="auto"/>
      </w:pPr>
      <w:r>
        <w:rPr>
          <w:b/>
          <w:color w:val="0F172A"/>
        </w:rPr>
        <w:t>2. Anomaly Trigger:</w:t>
      </w:r>
      <w:r>
        <w:t xml:space="preserve"> When a telemetry anomaly occurs in the ESA OPS-SAT dataset, observe the waveform spike in red, the root sensor node pulse in the Dynamic Topology Graph, and a new incident ticket appear in the Technician Inbox.</w:t>
      </w:r>
    </w:p>
    <w:p>
      <w:pPr>
        <w:pStyle w:val="ListBullet"/>
        <w:spacing w:after="60" w:line="276" w:lineRule="auto"/>
      </w:pPr>
      <w:r>
        <w:rPr>
          <w:b/>
          <w:color w:val="0F172A"/>
        </w:rPr>
        <w:t>3. Technician Resolution:</w:t>
      </w:r>
      <w:r>
        <w:t xml:space="preserve"> Click [EXECUTE FIX &amp; RESOLVE] on the ticket to apply the FDIR action and archive it to the Resolved tab.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