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before="120" w:lineRule="auto"/>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1900238</wp:posOffset>
            </wp:positionH>
            <wp:positionV relativeFrom="paragraph">
              <wp:posOffset>133350</wp:posOffset>
            </wp:positionV>
            <wp:extent cx="2143125" cy="214312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43125" cy="2143125"/>
                    </a:xfrm>
                    <a:prstGeom prst="rect"/>
                    <a:ln/>
                  </pic:spPr>
                </pic:pic>
              </a:graphicData>
            </a:graphic>
          </wp:anchor>
        </w:drawing>
      </w:r>
    </w:p>
    <w:p w:rsidR="00000000" w:rsidDel="00000000" w:rsidP="00000000" w:rsidRDefault="00000000" w:rsidRPr="00000000" w14:paraId="00000005">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Improving Intent Routing in a Production Chatbot: A Comparative NLP Study on Maersk Customer Support Tickets</w:t>
      </w:r>
    </w:p>
    <w:p w:rsidR="00000000" w:rsidDel="00000000" w:rsidP="00000000" w:rsidRDefault="00000000" w:rsidRPr="00000000" w14:paraId="0000000E">
      <w:pPr>
        <w:spacing w:before="12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for </w:t>
      </w:r>
      <w:r w:rsidDel="00000000" w:rsidR="00000000" w:rsidRPr="00000000">
        <w:rPr>
          <w:rFonts w:ascii="Times New Roman" w:cs="Times New Roman" w:eastAsia="Times New Roman" w:hAnsi="Times New Roman"/>
          <w:rtl w:val="0"/>
        </w:rPr>
        <w:t xml:space="preserve">Natural Language Processing and Text Analytics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CDSCO1002U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Alejandro Laurlund Gato (161989), Alexander Myrup (160363), Linus Stamov Yu (160714)</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18/12/2025</w:t>
      </w:r>
    </w:p>
    <w:p w:rsidR="00000000" w:rsidDel="00000000" w:rsidP="00000000" w:rsidRDefault="00000000" w:rsidRPr="00000000" w14:paraId="00000013">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before="12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before="12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53,910</w:t>
      </w:r>
    </w:p>
    <w:p w:rsidR="00000000" w:rsidDel="00000000" w:rsidP="00000000" w:rsidRDefault="00000000" w:rsidRPr="00000000" w14:paraId="0000001F">
      <w:pPr>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Pages: 24</w:t>
      </w:r>
      <w:r w:rsidDel="00000000" w:rsidR="00000000" w:rsidRPr="00000000">
        <w:br w:type="page"/>
      </w:r>
      <w:r w:rsidDel="00000000" w:rsidR="00000000" w:rsidRPr="00000000">
        <w:rPr>
          <w:rtl w:val="0"/>
        </w:rPr>
      </w:r>
    </w:p>
    <w:p w:rsidR="00000000" w:rsidDel="00000000" w:rsidP="00000000" w:rsidRDefault="00000000" w:rsidRPr="00000000" w14:paraId="00000020">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1"/>
        <w:spacing w:before="0" w:lineRule="auto"/>
        <w:jc w:val="both"/>
        <w:rPr>
          <w:rFonts w:ascii="Times New Roman" w:cs="Times New Roman" w:eastAsia="Times New Roman" w:hAnsi="Times New Roman"/>
          <w:b w:val="1"/>
          <w:bCs w:val="1"/>
        </w:rPr>
      </w:pPr>
      <w:bookmarkStart w:colFirst="0" w:colLast="0" w:name="_2b2u5hf1zute" w:id="0"/>
      <w:bookmarkEnd w:id="0"/>
      <w:r w:rsidDel="00000000" w:rsidR="00000000" w:rsidRPr="00000000">
        <w:rPr>
          <w:rFonts w:ascii="Times New Roman" w:cs="Times New Roman" w:eastAsia="Times New Roman" w:hAnsi="Times New Roman"/>
          <w:b w:val="1"/>
          <w:bCs w:val="1"/>
          <w:rtl w:val="0"/>
        </w:rPr>
        <w:t xml:space="preserve">Table of Contents:</w:t>
      </w:r>
    </w:p>
    <w:sdt>
      <w:sdtPr>
        <w:id w:val="-1515243384"/>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rPr>
              <w:rFonts w:ascii="Times New Roman" w:cs="Times New Roman" w:eastAsia="Times New Roman" w:hAnsi="Times New Roman"/>
              <w:b w:val="1"/>
              <w:bCs w:val="1"/>
            </w:rPr>
          </w:pPr>
          <w:r w:rsidDel="00000000" w:rsidR="00000000" w:rsidRPr="00000000">
            <w:fldChar w:fldCharType="begin"/>
            <w:instrText xml:space="preserve"> TOC \h \u \z \t "Heading 1,1,Heading 4,4,Heading 5,5,Heading 6,6,"</w:instrText>
            <w:fldChar w:fldCharType="separate"/>
          </w:r>
          <w:hyperlink w:anchor="_2b2u5hf1zute">
            <w:r w:rsidDel="00000000" w:rsidR="00000000" w:rsidRPr="00000000">
              <w:rPr>
                <w:rFonts w:ascii="Times New Roman" w:cs="Times New Roman" w:eastAsia="Times New Roman" w:hAnsi="Times New Roman"/>
                <w:b w:val="1"/>
                <w:bCs w:val="1"/>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Times New Roman" w:cs="Times New Roman" w:eastAsia="Times New Roman" w:hAnsi="Times New Roman"/>
              <w:b w:val="1"/>
              <w:bCs w:val="1"/>
            </w:rPr>
          </w:pPr>
          <w:hyperlink r:id="rId7">
            <w:r w:rsidDel="00000000" w:rsidR="00000000" w:rsidRPr="00000000">
              <w:rPr>
                <w:rFonts w:ascii="Times New Roman" w:cs="Times New Roman" w:eastAsia="Times New Roman" w:hAnsi="Times New Roman"/>
                <w:b w:val="1"/>
                <w:bCs w:val="1"/>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Times New Roman" w:cs="Times New Roman" w:eastAsia="Times New Roman" w:hAnsi="Times New Roman"/>
              <w:b w:val="1"/>
              <w:bCs w:val="1"/>
            </w:rPr>
          </w:pPr>
          <w:hyperlink r:id="rId8">
            <w:r w:rsidDel="00000000" w:rsidR="00000000" w:rsidRPr="00000000">
              <w:rPr>
                <w:rFonts w:ascii="Times New Roman" w:cs="Times New Roman" w:eastAsia="Times New Roman" w:hAnsi="Times New Roman"/>
                <w:b w:val="1"/>
                <w:bCs w:val="1"/>
                <w:rtl w:val="0"/>
              </w:rPr>
              <w:t xml:space="preserve">Introduction</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Times New Roman" w:cs="Times New Roman" w:eastAsia="Times New Roman" w:hAnsi="Times New Roman"/>
              <w:b w:val="1"/>
              <w:bCs w:val="1"/>
            </w:rPr>
          </w:pPr>
          <w:hyperlink r:id="rId9">
            <w:r w:rsidDel="00000000" w:rsidR="00000000" w:rsidRPr="00000000">
              <w:rPr>
                <w:rFonts w:ascii="Times New Roman" w:cs="Times New Roman" w:eastAsia="Times New Roman" w:hAnsi="Times New Roman"/>
                <w:b w:val="1"/>
                <w:bCs w:val="1"/>
                <w:rtl w:val="0"/>
              </w:rPr>
              <w:t xml:space="preserve">Data Description</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Times New Roman" w:cs="Times New Roman" w:eastAsia="Times New Roman" w:hAnsi="Times New Roman"/>
              <w:b w:val="1"/>
              <w:bCs w:val="1"/>
            </w:rPr>
          </w:pPr>
          <w:hyperlink r:id="rId10">
            <w:r w:rsidDel="00000000" w:rsidR="00000000" w:rsidRPr="00000000">
              <w:rPr>
                <w:rFonts w:ascii="Times New Roman" w:cs="Times New Roman" w:eastAsia="Times New Roman" w:hAnsi="Times New Roman"/>
                <w:b w:val="1"/>
                <w:bCs w:val="1"/>
                <w:rtl w:val="0"/>
              </w:rPr>
              <w:t xml:space="preserve">Methodology</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Times New Roman" w:cs="Times New Roman" w:eastAsia="Times New Roman" w:hAnsi="Times New Roman"/>
              <w:b w:val="1"/>
              <w:bCs w:val="1"/>
            </w:rPr>
          </w:pPr>
          <w:hyperlink r:id="rId11">
            <w:r w:rsidDel="00000000" w:rsidR="00000000" w:rsidRPr="00000000">
              <w:rPr>
                <w:rFonts w:ascii="Times New Roman" w:cs="Times New Roman" w:eastAsia="Times New Roman" w:hAnsi="Times New Roman"/>
                <w:b w:val="1"/>
                <w:bCs w:val="1"/>
                <w:rtl w:val="0"/>
              </w:rPr>
              <w:t xml:space="preserve">Exploratory Data Analysis &amp; Results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Times New Roman" w:cs="Times New Roman" w:eastAsia="Times New Roman" w:hAnsi="Times New Roman"/>
              <w:b w:val="1"/>
              <w:bCs w:val="1"/>
            </w:rPr>
          </w:pPr>
          <w:hyperlink r:id="rId12">
            <w:r w:rsidDel="00000000" w:rsidR="00000000" w:rsidRPr="00000000">
              <w:rPr>
                <w:rFonts w:ascii="Times New Roman" w:cs="Times New Roman" w:eastAsia="Times New Roman" w:hAnsi="Times New Roman"/>
                <w:b w:val="1"/>
                <w:bCs w:val="1"/>
                <w:rtl w:val="0"/>
              </w:rPr>
              <w:t xml:space="preserve">Business Analysis &amp; Implications</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Times New Roman" w:cs="Times New Roman" w:eastAsia="Times New Roman" w:hAnsi="Times New Roman"/>
              <w:b w:val="1"/>
              <w:bCs w:val="1"/>
            </w:rPr>
          </w:pPr>
          <w:hyperlink r:id="rId13">
            <w:r w:rsidDel="00000000" w:rsidR="00000000" w:rsidRPr="00000000">
              <w:rPr>
                <w:rFonts w:ascii="Times New Roman" w:cs="Times New Roman" w:eastAsia="Times New Roman" w:hAnsi="Times New Roman"/>
                <w:b w:val="1"/>
                <w:bCs w:val="1"/>
                <w:rtl w:val="0"/>
              </w:rPr>
              <w:t xml:space="preserve">Dashboard Design</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Times New Roman" w:cs="Times New Roman" w:eastAsia="Times New Roman" w:hAnsi="Times New Roman"/>
              <w:b w:val="1"/>
              <w:bCs w:val="1"/>
            </w:rPr>
          </w:pPr>
          <w:hyperlink r:id="rId14">
            <w:r w:rsidDel="00000000" w:rsidR="00000000" w:rsidRPr="00000000">
              <w:rPr>
                <w:rFonts w:ascii="Times New Roman" w:cs="Times New Roman" w:eastAsia="Times New Roman" w:hAnsi="Times New Roman"/>
                <w:b w:val="1"/>
                <w:bCs w:val="1"/>
                <w:rtl w:val="0"/>
              </w:rPr>
              <w:t xml:space="preserve">Conclusion</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Times New Roman" w:cs="Times New Roman" w:eastAsia="Times New Roman" w:hAnsi="Times New Roman"/>
              <w:b w:val="1"/>
              <w:bCs w:val="1"/>
            </w:rPr>
          </w:pPr>
          <w:hyperlink r:id="rId15">
            <w:r w:rsidDel="00000000" w:rsidR="00000000" w:rsidRPr="00000000">
              <w:rPr>
                <w:rFonts w:ascii="Times New Roman" w:cs="Times New Roman" w:eastAsia="Times New Roman" w:hAnsi="Times New Roman"/>
                <w:b w:val="1"/>
                <w:bCs w:val="1"/>
                <w:rtl w:val="0"/>
              </w:rPr>
              <w:t xml:space="preserve">Bibliography</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Times New Roman" w:cs="Times New Roman" w:eastAsia="Times New Roman" w:hAnsi="Times New Roman"/>
              <w:b w:val="1"/>
              <w:bCs w:val="1"/>
            </w:rPr>
          </w:pPr>
          <w:hyperlink r:id="rId16">
            <w:r w:rsidDel="00000000" w:rsidR="00000000" w:rsidRPr="00000000">
              <w:rPr>
                <w:rFonts w:ascii="Times New Roman" w:cs="Times New Roman" w:eastAsia="Times New Roman" w:hAnsi="Times New Roman"/>
                <w:b w:val="1"/>
                <w:bCs w:val="1"/>
                <w:rtl w:val="0"/>
              </w:rPr>
              <w:t xml:space="preserve">Appendix</w:t>
              <w:tab/>
              <w:t xml:space="preserve">26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Times New Roman" w:cs="Times New Roman" w:eastAsia="Times New Roman" w:hAnsi="Times New Roman"/>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1"/>
        <w:spacing w:before="0" w:lineRule="auto"/>
        <w:jc w:val="both"/>
        <w:rPr/>
      </w:pPr>
      <w:bookmarkStart w:colFirst="0" w:colLast="0" w:name="_yigdunypzduk" w:id="1"/>
      <w:bookmarkEnd w:id="1"/>
      <w:r w:rsidDel="00000000" w:rsidR="00000000" w:rsidRPr="00000000">
        <w:br w:type="page"/>
      </w:r>
      <w:r w:rsidDel="00000000" w:rsidR="00000000" w:rsidRPr="00000000">
        <w:rPr>
          <w:rtl w:val="0"/>
        </w:rPr>
      </w:r>
    </w:p>
    <w:p w:rsidR="00000000" w:rsidDel="00000000" w:rsidP="00000000" w:rsidRDefault="00000000" w:rsidRPr="00000000" w14:paraId="00000030">
      <w:pPr>
        <w:rPr>
          <w:b w:val="1"/>
          <w:bCs w:val="1"/>
          <w:sz w:val="34"/>
          <w:szCs w:val="34"/>
        </w:rPr>
      </w:pPr>
      <w:r w:rsidDel="00000000" w:rsidR="00000000" w:rsidRPr="00000000">
        <w:rPr>
          <w:b w:val="1"/>
          <w:bCs w:val="1"/>
          <w:sz w:val="34"/>
          <w:szCs w:val="34"/>
          <w:rtl w:val="0"/>
        </w:rPr>
        <w:t xml:space="preserve">2. Relevant Literature</w:t>
      </w:r>
    </w:p>
    <w:p w:rsidR="00000000" w:rsidDel="00000000" w:rsidP="00000000" w:rsidRDefault="00000000" w:rsidRPr="00000000" w14:paraId="00000031">
      <w:pPr>
        <w:spacing w:after="240" w:before="240" w:lineRule="auto"/>
        <w:rPr/>
      </w:pPr>
      <w:r w:rsidDel="00000000" w:rsidR="00000000" w:rsidRPr="00000000">
        <w:rPr>
          <w:rtl w:val="0"/>
        </w:rPr>
        <w:t xml:space="preserve">Automating the classification of customer support tickets using natural language processing (NLP) has become an increasingly important research area, particularly as organizations handle large volumes of user queries across diverse domains. A recurring theme in the literature is that model choice plays a critical role, especially when intent categories are numerous, domain-specific, and unevenly represented in the data. This section reviews five key papers that are highly relevant to the Maersk chatbot routing problem, spanning approaches from traditional bag-of-words models to more recent retrieval-augmented large language model (LLM) systems.</w:t>
      </w:r>
    </w:p>
    <w:p w:rsidR="00000000" w:rsidDel="00000000" w:rsidP="00000000" w:rsidRDefault="00000000" w:rsidRPr="00000000" w14:paraId="00000032">
      <w:pPr>
        <w:rPr>
          <w:b w:val="1"/>
          <w:bCs w:val="1"/>
          <w:color w:val="000000"/>
          <w:sz w:val="26"/>
          <w:szCs w:val="26"/>
        </w:rPr>
      </w:pPr>
      <w:r w:rsidDel="00000000" w:rsidR="00000000" w:rsidRPr="00000000">
        <w:rPr>
          <w:b w:val="1"/>
          <w:bCs w:val="1"/>
          <w:color w:val="000000"/>
          <w:sz w:val="26"/>
          <w:szCs w:val="26"/>
          <w:rtl w:val="0"/>
        </w:rPr>
        <w:t xml:space="preserve">2.1 REIC: RAG-Enhanced Intent Classification at Scale (Zhang et al., 2025)</w:t>
      </w:r>
    </w:p>
    <w:p w:rsidR="00000000" w:rsidDel="00000000" w:rsidP="00000000" w:rsidRDefault="00000000" w:rsidRPr="00000000" w14:paraId="00000033">
      <w:pPr>
        <w:spacing w:after="240" w:before="240" w:lineRule="auto"/>
        <w:rPr/>
      </w:pPr>
      <w:r w:rsidDel="00000000" w:rsidR="00000000" w:rsidRPr="00000000">
        <w:rPr>
          <w:rtl w:val="0"/>
        </w:rPr>
        <w:t xml:space="preserve">One of the most relevant contributions is </w:t>
      </w:r>
      <w:r w:rsidDel="00000000" w:rsidR="00000000" w:rsidRPr="00000000">
        <w:rPr>
          <w:i w:val="1"/>
          <w:iCs w:val="1"/>
          <w:rtl w:val="0"/>
        </w:rPr>
        <w:t xml:space="preserve">REIC: RAG-Enhanced Intent Classification at Scale</w:t>
      </w:r>
      <w:r w:rsidDel="00000000" w:rsidR="00000000" w:rsidRPr="00000000">
        <w:rPr>
          <w:rtl w:val="0"/>
        </w:rPr>
        <w:t xml:space="preserve"> by Zhang et al., presented at the EMNLP 2025 Industry Track. The paper tackles a problem that closely mirrors the one addressed in this project: as the number of intent categories increases and user queries become more varied, traditional classifiers begin to struggle, leading to incorrect routing decisions.</w:t>
      </w:r>
    </w:p>
    <w:p w:rsidR="00000000" w:rsidDel="00000000" w:rsidP="00000000" w:rsidRDefault="00000000" w:rsidRPr="00000000" w14:paraId="00000034">
      <w:pPr>
        <w:spacing w:after="240" w:before="240" w:lineRule="auto"/>
        <w:rPr/>
      </w:pPr>
      <w:r w:rsidDel="00000000" w:rsidR="00000000" w:rsidRPr="00000000">
        <w:rPr>
          <w:rtl w:val="0"/>
        </w:rPr>
        <w:t xml:space="preserve">The authors propose a hybrid pipeline that combines retrieval and generation. First, the system retrieves semantically similar historical examples and intent descriptions from a knowledge base. This context is then passed to an LLM, which makes the final classification decision. By integrating retrieval with generative reasoning, the model benefits from both grounded examples and flexible language understanding.</w:t>
      </w:r>
    </w:p>
    <w:p w:rsidR="00000000" w:rsidDel="00000000" w:rsidP="00000000" w:rsidRDefault="00000000" w:rsidRPr="00000000" w14:paraId="00000035">
      <w:pPr>
        <w:spacing w:after="240" w:before="240" w:lineRule="auto"/>
        <w:rPr/>
      </w:pPr>
      <w:r w:rsidDel="00000000" w:rsidR="00000000" w:rsidRPr="00000000">
        <w:rPr>
          <w:rtl w:val="0"/>
        </w:rPr>
        <w:t xml:space="preserve">Empirically, REIC outperforms several strong baselines, including a fine-tuned RoBERTa model and both zero-shot and few-shot LLM approaches. The performance gains are particularly pronounced for rare intent categories, which is highly relevant in real-world settings where some types of requests appear infrequently. In the Maersk context, this includes niche queries such as dangerous goods handling or specialized cargo issues.</w:t>
      </w:r>
    </w:p>
    <w:p w:rsidR="00000000" w:rsidDel="00000000" w:rsidP="00000000" w:rsidRDefault="00000000" w:rsidRPr="00000000" w14:paraId="00000036">
      <w:pPr>
        <w:spacing w:after="240" w:before="240" w:lineRule="auto"/>
        <w:rPr/>
      </w:pPr>
      <w:r w:rsidDel="00000000" w:rsidR="00000000" w:rsidRPr="00000000">
        <w:rPr>
          <w:rtl w:val="0"/>
        </w:rPr>
        <w:t xml:space="preserve">The architecture also maps well onto the Dify system used in this project. The retrieval component corresponds to Dify’s knowledge retrieval node, while the LLM classifier aligns with the question classification node. However, unlike REIC, which operates at large industrial scale, this project explores whether similar benefits can be achieved in a smaller, domain-specific setting. Additionally, this project extends the comparison by including simpler baselines such as bag-of-words and embedding-based methods, which are not extensively evaluated in REIC.</w:t>
      </w:r>
    </w:p>
    <w:p w:rsidR="00000000" w:rsidDel="00000000" w:rsidP="00000000" w:rsidRDefault="00000000" w:rsidRPr="00000000" w14:paraId="00000037">
      <w:pPr>
        <w:rPr>
          <w:b w:val="1"/>
          <w:bCs w:val="1"/>
          <w:color w:val="000000"/>
          <w:sz w:val="26"/>
          <w:szCs w:val="26"/>
        </w:rPr>
      </w:pPr>
      <w:r w:rsidDel="00000000" w:rsidR="00000000" w:rsidRPr="00000000">
        <w:rPr>
          <w:b w:val="1"/>
          <w:bCs w:val="1"/>
          <w:color w:val="000000"/>
          <w:sz w:val="26"/>
          <w:szCs w:val="26"/>
          <w:rtl w:val="0"/>
        </w:rPr>
        <w:t xml:space="preserve">2.2 Customer Support Ticket Categorization and Prioritization Using NLP (Kanimozhi Selvi et al., 2025)</w:t>
      </w:r>
    </w:p>
    <w:p w:rsidR="00000000" w:rsidDel="00000000" w:rsidP="00000000" w:rsidRDefault="00000000" w:rsidRPr="00000000" w14:paraId="00000038">
      <w:pPr>
        <w:spacing w:after="240" w:before="240" w:lineRule="auto"/>
        <w:rPr/>
      </w:pPr>
      <w:r w:rsidDel="00000000" w:rsidR="00000000" w:rsidRPr="00000000">
        <w:rPr>
          <w:rtl w:val="0"/>
        </w:rPr>
        <w:t xml:space="preserve">The work by Kanimozhi Selvi et al. presents a comprehensive pipeline for analyzing over 78,000 real customer support tickets. Their approach combines unsupervised topic modeling with supervised classification. Specifically, they use Non-negative Matrix Factorization (NMF) to identify latent topics and then evaluate a range of models, including TF-IDF with Logistic Regression, Word2Vec with SVM, convolutional neural networks, bidirectional LSTMs, and fine-tuned BERT.</w:t>
      </w:r>
    </w:p>
    <w:p w:rsidR="00000000" w:rsidDel="00000000" w:rsidP="00000000" w:rsidRDefault="00000000" w:rsidRPr="00000000" w14:paraId="00000039">
      <w:pPr>
        <w:spacing w:after="240" w:before="240" w:lineRule="auto"/>
        <w:rPr/>
      </w:pPr>
      <w:r w:rsidDel="00000000" w:rsidR="00000000" w:rsidRPr="00000000">
        <w:rPr>
          <w:rtl w:val="0"/>
        </w:rPr>
        <w:t xml:space="preserve">This paper is particularly useful for two reasons. First, it clearly illustrates the progression from classical NLP methods to more advanced neural models, which aligns closely with the experimental design of this project. Second, the use of topic modeling for label discovery is highly relevant. In the Maersk dataset, existing labels generated by Copilot may be inconsistent or incomplete, and unsupervised methods such as NMF can help uncover the natural structure of the data before training a classifier.</w:t>
      </w:r>
    </w:p>
    <w:p w:rsidR="00000000" w:rsidDel="00000000" w:rsidP="00000000" w:rsidRDefault="00000000" w:rsidRPr="00000000" w14:paraId="0000003A">
      <w:pPr>
        <w:spacing w:after="240" w:before="240" w:lineRule="auto"/>
        <w:rPr/>
      </w:pPr>
      <w:r w:rsidDel="00000000" w:rsidR="00000000" w:rsidRPr="00000000">
        <w:rPr>
          <w:rtl w:val="0"/>
        </w:rPr>
        <w:t xml:space="preserve">A key difference, however, lies in domain specificity. While Kanimozhi Selvi et al. work with general customer service data, this project focuses on the shipping and logistics domain, which includes specialized terminology (e.g., bills of lading, reefer containers, demurrage). This raises additional challenges, as general-purpose embeddings may not fully capture such domain-specific language.</w:t>
      </w:r>
    </w:p>
    <w:p w:rsidR="00000000" w:rsidDel="00000000" w:rsidP="00000000" w:rsidRDefault="00000000" w:rsidRPr="00000000" w14:paraId="0000003B">
      <w:pPr>
        <w:rPr>
          <w:b w:val="1"/>
          <w:bCs w:val="1"/>
          <w:color w:val="000000"/>
          <w:sz w:val="26"/>
          <w:szCs w:val="26"/>
        </w:rPr>
      </w:pPr>
      <w:r w:rsidDel="00000000" w:rsidR="00000000" w:rsidRPr="00000000">
        <w:rPr>
          <w:b w:val="1"/>
          <w:bCs w:val="1"/>
          <w:color w:val="000000"/>
          <w:sz w:val="26"/>
          <w:szCs w:val="26"/>
          <w:rtl w:val="0"/>
        </w:rPr>
        <w:t xml:space="preserve">2.3 Exploring Zero and Few-Shot Techniques for Intent Classification (Parikh &amp; Vohra, 2023)</w:t>
      </w:r>
    </w:p>
    <w:p w:rsidR="00000000" w:rsidDel="00000000" w:rsidP="00000000" w:rsidRDefault="00000000" w:rsidRPr="00000000" w14:paraId="0000003C">
      <w:pPr>
        <w:spacing w:after="240" w:before="240" w:lineRule="auto"/>
        <w:rPr/>
      </w:pPr>
      <w:r w:rsidDel="00000000" w:rsidR="00000000" w:rsidRPr="00000000">
        <w:rPr>
          <w:rtl w:val="0"/>
        </w:rPr>
        <w:t xml:space="preserve">Parikh &amp; Vohra investigate how different techniques perform when labeled data is limited. They compare domain-adaptive pre-training, data augmentation, zero-shot prompting with LLMs, and parameter-efficient fine-tuning methods such as T-few on Flan-T5.</w:t>
      </w:r>
    </w:p>
    <w:p w:rsidR="00000000" w:rsidDel="00000000" w:rsidP="00000000" w:rsidRDefault="00000000" w:rsidRPr="00000000" w14:paraId="0000003D">
      <w:pPr>
        <w:spacing w:after="240" w:before="240" w:lineRule="auto"/>
        <w:rPr/>
      </w:pPr>
      <w:r w:rsidDel="00000000" w:rsidR="00000000" w:rsidRPr="00000000">
        <w:rPr>
          <w:rtl w:val="0"/>
        </w:rPr>
        <w:t xml:space="preserve">Their findings highlight the strength of LLM-based approaches in low-data settings. In particular, zero-shot prompting with well-crafted intent descriptions performs surprisingly well, often outperforming traditional few-shot classifiers. Even more notably, parameter-efficient fine-tuning can achieve strong results with minimal labeled data—sometimes as little as one example per intent.</w:t>
      </w:r>
    </w:p>
    <w:p w:rsidR="00000000" w:rsidDel="00000000" w:rsidP="00000000" w:rsidRDefault="00000000" w:rsidRPr="00000000" w14:paraId="0000003E">
      <w:pPr>
        <w:spacing w:after="240" w:before="240" w:lineRule="auto"/>
        <w:rPr/>
      </w:pPr>
      <w:r w:rsidDel="00000000" w:rsidR="00000000" w:rsidRPr="00000000">
        <w:rPr>
          <w:rtl w:val="0"/>
        </w:rPr>
        <w:t xml:space="preserve">These insights are highly relevant for the Maersk use case, where the dataset is likely to be imbalanced. Some routing categories may have abundant examples, while others may be underrepresented. The paper suggests that LLM-based methods could be particularly useful for handling these rare categories. However, it is important to note that their experiments are conducted on clean benchmark datasets, whereas this project deals with noisy, real-world ticket data, where performance may differ.</w:t>
      </w:r>
    </w:p>
    <w:p w:rsidR="00000000" w:rsidDel="00000000" w:rsidP="00000000" w:rsidRDefault="00000000" w:rsidRPr="00000000" w14:paraId="0000003F">
      <w:pPr>
        <w:rPr>
          <w:b w:val="1"/>
          <w:bCs w:val="1"/>
          <w:color w:val="000000"/>
          <w:sz w:val="26"/>
          <w:szCs w:val="26"/>
        </w:rPr>
      </w:pPr>
      <w:r w:rsidDel="00000000" w:rsidR="00000000" w:rsidRPr="00000000">
        <w:rPr>
          <w:b w:val="1"/>
          <w:bCs w:val="1"/>
          <w:color w:val="000000"/>
          <w:sz w:val="26"/>
          <w:szCs w:val="26"/>
          <w:rtl w:val="0"/>
        </w:rPr>
        <w:t xml:space="preserve">2.4 Sentence-BERT: Sentence Embeddings Using Siamese BERT-Networks (Reimers &amp; Gurevych, 2019)</w:t>
      </w:r>
    </w:p>
    <w:p w:rsidR="00000000" w:rsidDel="00000000" w:rsidP="00000000" w:rsidRDefault="00000000" w:rsidRPr="00000000" w14:paraId="00000040">
      <w:pPr>
        <w:spacing w:after="240" w:before="240" w:lineRule="auto"/>
        <w:rPr/>
      </w:pPr>
      <w:r w:rsidDel="00000000" w:rsidR="00000000" w:rsidRPr="00000000">
        <w:rPr>
          <w:rtl w:val="0"/>
        </w:rPr>
        <w:t xml:space="preserve">The introduction of Sentence-BERT (SBERT) by Nils Reimers and Iryna Gurevych represents an important step toward efficient semantic similarity modeling. SBERT modifies the standard BERT architecture into a siamese network that produces fixed-size sentence embeddings, which can be compared using cosine similarity.</w:t>
      </w:r>
    </w:p>
    <w:p w:rsidR="00000000" w:rsidDel="00000000" w:rsidP="00000000" w:rsidRDefault="00000000" w:rsidRPr="00000000" w14:paraId="00000041">
      <w:pPr>
        <w:spacing w:after="240" w:before="240" w:lineRule="auto"/>
        <w:rPr/>
      </w:pPr>
      <w:r w:rsidDel="00000000" w:rsidR="00000000" w:rsidRPr="00000000">
        <w:rPr>
          <w:rtl w:val="0"/>
        </w:rPr>
        <w:t xml:space="preserve">The main advantage of SBERT is computational efficiency. While standard BERT is computationally expensive for pairwise comparisons, SBERT enables fast similarity search, making it suitable for real-time applications such as chatbot routing. At the same time, it retains strong semantic understanding, achieving high performance on benchmark tasks.</w:t>
      </w:r>
    </w:p>
    <w:p w:rsidR="00000000" w:rsidDel="00000000" w:rsidP="00000000" w:rsidRDefault="00000000" w:rsidRPr="00000000" w14:paraId="00000042">
      <w:pPr>
        <w:spacing w:after="240" w:before="240" w:lineRule="auto"/>
        <w:rPr/>
      </w:pPr>
      <w:r w:rsidDel="00000000" w:rsidR="00000000" w:rsidRPr="00000000">
        <w:rPr>
          <w:rtl w:val="0"/>
        </w:rPr>
        <w:t xml:space="preserve">In this project, SBERT serves as a practical intermediate approach. Instead of training a full classifier, ticket queries can be embedded and matched to the closest intent representation. This approach is also closely related to how Dify performs knowledge retrieval. However, unlike RAG-based systems such as REIC, SBERT-based routing does not incorporate retrieved examples into a generative model, which may limit its performance on ambiguous or multi-intent queries.</w:t>
      </w:r>
    </w:p>
    <w:p w:rsidR="00000000" w:rsidDel="00000000" w:rsidP="00000000" w:rsidRDefault="00000000" w:rsidRPr="00000000" w14:paraId="00000043">
      <w:pPr>
        <w:rPr>
          <w:b w:val="1"/>
          <w:bCs w:val="1"/>
          <w:color w:val="000000"/>
          <w:sz w:val="26"/>
          <w:szCs w:val="26"/>
        </w:rPr>
      </w:pPr>
      <w:r w:rsidDel="00000000" w:rsidR="00000000" w:rsidRPr="00000000">
        <w:rPr>
          <w:b w:val="1"/>
          <w:bCs w:val="1"/>
          <w:color w:val="000000"/>
          <w:sz w:val="26"/>
          <w:szCs w:val="26"/>
          <w:rtl w:val="0"/>
        </w:rPr>
        <w:t xml:space="preserve">2.5 A Scalable NLP-Based Ticket Classification Engine (Thayumanavan, 2023)</w:t>
      </w:r>
    </w:p>
    <w:p w:rsidR="00000000" w:rsidDel="00000000" w:rsidP="00000000" w:rsidRDefault="00000000" w:rsidRPr="00000000" w14:paraId="00000044">
      <w:pPr>
        <w:spacing w:after="240" w:before="240" w:lineRule="auto"/>
        <w:rPr/>
      </w:pPr>
      <w:r w:rsidDel="00000000" w:rsidR="00000000" w:rsidRPr="00000000">
        <w:rPr>
          <w:rtl w:val="0"/>
        </w:rPr>
        <w:t xml:space="preserve">Finally, Thayumanavan presents a BERT-based classification system applied to telecom support tickets. Using a dataset of 6,000 tickets across six categories, the model achieves an accuracy of 94.2%, significantly outperforming classical baselines such as TF-IDF with Logistic Regression and SVM.</w:t>
      </w:r>
    </w:p>
    <w:p w:rsidR="00000000" w:rsidDel="00000000" w:rsidP="00000000" w:rsidRDefault="00000000" w:rsidRPr="00000000" w14:paraId="00000045">
      <w:pPr>
        <w:spacing w:after="240" w:before="240" w:lineRule="auto"/>
        <w:rPr/>
      </w:pPr>
      <w:r w:rsidDel="00000000" w:rsidR="00000000" w:rsidRPr="00000000">
        <w:rPr>
          <w:rtl w:val="0"/>
        </w:rPr>
        <w:t xml:space="preserve">The study demonstrates the effectiveness of standard BERT fine-tuning for real-world ticket classification tasks. It also addresses class imbalance through weighted loss functions, which is an important consideration for this project. Although the domain differs (telecommunications vs. shipping), the structure of the problem is similar: short, informal user queries that must be routed to the appropriate service category.</w:t>
      </w:r>
    </w:p>
    <w:p w:rsidR="00000000" w:rsidDel="00000000" w:rsidP="00000000" w:rsidRDefault="00000000" w:rsidRPr="00000000" w14:paraId="00000046">
      <w:pPr>
        <w:spacing w:after="240" w:before="240" w:lineRule="auto"/>
        <w:rPr/>
      </w:pPr>
      <w:r w:rsidDel="00000000" w:rsidR="00000000" w:rsidRPr="00000000">
        <w:rPr>
          <w:rtl w:val="0"/>
        </w:rPr>
        <w:t xml:space="preserve">One important distinction is the number of categories. Thayumanavan’s dataset includes only six classes, whereas the Maersk problem likely involves a more complex and granular taxonomy. This increases the difficulty of the task and may reduce the effectiveness of standard fine-tuning approaches, potentially making retrieval-augmented methods more attractive.</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TAoJv7ipTkMuWm5CjHeWNT-EjaRualf-z5pz_CEBZSM/edit?tab=t.0#heading=h.upy3ie84xjqz" TargetMode="External"/><Relationship Id="rId10" Type="http://schemas.openxmlformats.org/officeDocument/2006/relationships/hyperlink" Target="https://docs.google.com/document/d/1TAoJv7ipTkMuWm5CjHeWNT-EjaRualf-z5pz_CEBZSM/edit?tab=t.0#heading=h.b71x3brce0p6" TargetMode="External"/><Relationship Id="rId13" Type="http://schemas.openxmlformats.org/officeDocument/2006/relationships/hyperlink" Target="https://docs.google.com/document/d/1TAoJv7ipTkMuWm5CjHeWNT-EjaRualf-z5pz_CEBZSM/edit?tab=t.0#heading=h.w11eingbrryk" TargetMode="External"/><Relationship Id="rId12" Type="http://schemas.openxmlformats.org/officeDocument/2006/relationships/hyperlink" Target="https://docs.google.com/document/d/1TAoJv7ipTkMuWm5CjHeWNT-EjaRualf-z5pz_CEBZSM/edit?tab=t.0#heading=h.hi3mh0wjxaf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AoJv7ipTkMuWm5CjHeWNT-EjaRualf-z5pz_CEBZSM/edit?tab=t.0#heading=h.mj84z8of2xm9" TargetMode="External"/><Relationship Id="rId15" Type="http://schemas.openxmlformats.org/officeDocument/2006/relationships/hyperlink" Target="https://docs.google.com/document/d/1TAoJv7ipTkMuWm5CjHeWNT-EjaRualf-z5pz_CEBZSM/edit?tab=t.0#heading=h.uj2a6r82k7hr" TargetMode="External"/><Relationship Id="rId14" Type="http://schemas.openxmlformats.org/officeDocument/2006/relationships/hyperlink" Target="https://docs.google.com/document/d/1TAoJv7ipTkMuWm5CjHeWNT-EjaRualf-z5pz_CEBZSM/edit?tab=t.0#heading=h.9y8d14rpuph3" TargetMode="External"/><Relationship Id="rId16" Type="http://schemas.openxmlformats.org/officeDocument/2006/relationships/hyperlink" Target="https://docs.google.com/document/d/1TAoJv7ipTkMuWm5CjHeWNT-EjaRualf-z5pz_CEBZSM/edit?tab=t.0#heading=h.xk6zr5pbv5j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TAoJv7ipTkMuWm5CjHeWNT-EjaRualf-z5pz_CEBZSM/edit?tab=t.0#heading=h.eozbmb7lzuxh" TargetMode="External"/><Relationship Id="rId8" Type="http://schemas.openxmlformats.org/officeDocument/2006/relationships/hyperlink" Target="https://docs.google.com/document/d/1TAoJv7ipTkMuWm5CjHeWNT-EjaRualf-z5pz_CEBZSM/edit?tab=t.0#heading=h.uzgnuysledc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