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B0DE" w14:textId="35C60A9D" w:rsidR="001B7258" w:rsidRPr="001B7258" w:rsidRDefault="001B7258" w:rsidP="001B7258">
      <w:r w:rsidRPr="001B7258">
        <w:rPr>
          <w:cs/>
        </w:rPr>
        <w:t>ในวรรณกรรมด้านสัทศาสตร์ (</w:t>
      </w:r>
      <w:r w:rsidRPr="001B7258">
        <w:t xml:space="preserve">Phonetics) </w:t>
      </w:r>
      <w:r w:rsidRPr="001B7258">
        <w:rPr>
          <w:cs/>
        </w:rPr>
        <w:t>และจิตวิทยาภาษาศาสตร์ (</w:t>
      </w:r>
      <w:r w:rsidRPr="001B7258">
        <w:t xml:space="preserve">Psycholinguistics) </w:t>
      </w:r>
      <w:r w:rsidRPr="001B7258">
        <w:rPr>
          <w:cs/>
        </w:rPr>
        <w:t>มีงานวิจัยคลาสสิกและเปเปอร์มาตรฐานที่ได้รับการยอมรับและอ้างอิงอย่างกว้างขวางเกี่ยวกับเกณฑ์การตัดแบ่งความเงียบ (</w:t>
      </w:r>
      <w:r w:rsidRPr="001B7258">
        <w:t xml:space="preserve">Silence/Pause Threshold) </w:t>
      </w:r>
      <w:r w:rsidRPr="001B7258">
        <w:rPr>
          <w:cs/>
        </w:rPr>
        <w:t>ที่</w:t>
      </w:r>
      <w:r w:rsidRPr="001B7258">
        <w:t xml:space="preserve"> 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--</m:t>
        </m:r>
        <m:r>
          <w:rPr>
            <w:rFonts w:ascii="Cambria Math" w:hAnsi="Cambria Math"/>
          </w:rPr>
          <m:t>300</m:t>
        </m:r>
      </m:oMath>
      <w:r w:rsidRPr="001B7258">
        <w:t xml:space="preserve"> </w:t>
      </w:r>
      <w:r w:rsidRPr="001B7258">
        <w:rPr>
          <w:cs/>
        </w:rPr>
        <w:t>มิลลิวินาที (</w:t>
      </w:r>
      <w:r w:rsidRPr="001B7258">
        <w:t xml:space="preserve">ms) </w:t>
      </w:r>
      <w:r w:rsidRPr="001B7258">
        <w:rPr>
          <w:cs/>
        </w:rPr>
        <w:t>โดยมีเหตุผลทางสรีรวิทยาและกลไกทางสมองรองรับ ดังนี้:</w:t>
      </w:r>
    </w:p>
    <w:p w14:paraId="37382172" w14:textId="77777777" w:rsidR="001B7258" w:rsidRPr="001B7258" w:rsidRDefault="001B7258" w:rsidP="001B7258">
      <w:pPr>
        <w:rPr>
          <w:b/>
          <w:bCs/>
        </w:rPr>
      </w:pPr>
      <w:r w:rsidRPr="001B7258">
        <w:rPr>
          <w:b/>
          <w:bCs/>
          <w:cs/>
        </w:rPr>
        <w:t>เหตุผลทางวิชาการ (</w:t>
      </w:r>
      <w:r w:rsidRPr="001B7258">
        <w:rPr>
          <w:b/>
          <w:bCs/>
        </w:rPr>
        <w:t>Why 200–300 ms?)</w:t>
      </w:r>
    </w:p>
    <w:p w14:paraId="7F67E25C" w14:textId="6E6D01D8" w:rsidR="001B7258" w:rsidRPr="001B7258" w:rsidRDefault="001B7258" w:rsidP="001B7258">
      <w:pPr>
        <w:numPr>
          <w:ilvl w:val="0"/>
          <w:numId w:val="1"/>
        </w:numPr>
      </w:pPr>
      <w:r w:rsidRPr="001B7258">
        <w:rPr>
          <w:b/>
          <w:bCs/>
          <w:cs/>
        </w:rPr>
        <w:t xml:space="preserve">ช่วงเวลาต่ำกว่า </w:t>
      </w:r>
      <w:r w:rsidRPr="001B7258">
        <w:rPr>
          <w:b/>
          <w:bCs/>
        </w:rPr>
        <w:t>200 ms (Articulatory Pauses):</w:t>
      </w:r>
      <w:r w:rsidRPr="001B7258">
        <w:t xml:space="preserve"> </w:t>
      </w:r>
      <w:r w:rsidRPr="001B7258">
        <w:rPr>
          <w:cs/>
        </w:rPr>
        <w:t>มักเป็นความเงียบที่เกิดจากสรีรวิทยาของการออกเสียงตามธรรมชาติ เช่น จังหวะกักลมก่อนปล่อยของพยัญชนะระเบิด (</w:t>
      </w:r>
      <w:r w:rsidRPr="001B7258">
        <w:t xml:space="preserve">Stop Closures </w:t>
      </w:r>
      <w:r w:rsidRPr="001B7258">
        <w:rPr>
          <w:cs/>
        </w:rPr>
        <w:t>เช่น /</w:t>
      </w:r>
      <w:r w:rsidRPr="001B7258">
        <w:t xml:space="preserve">p/, /t/, /k/) </w:t>
      </w:r>
      <w:r w:rsidRPr="001B7258">
        <w:rPr>
          <w:cs/>
        </w:rPr>
        <w:t>ซึ่งกินเวลาประมาณ</w:t>
      </w:r>
      <w:r w:rsidRPr="001B7258">
        <w:t xml:space="preserve">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--</m:t>
        </m:r>
        <m:r>
          <w:rPr>
            <w:rFonts w:ascii="Cambria Math" w:hAnsi="Cambria Math"/>
          </w:rPr>
          <m:t>150</m:t>
        </m:r>
        <m:r>
          <m:rPr>
            <m:nor/>
          </m:rPr>
          <m:t> ms</m:t>
        </m:r>
      </m:oMath>
      <w:r w:rsidRPr="001B7258">
        <w:t xml:space="preserve"> </w:t>
      </w:r>
      <w:r w:rsidRPr="001B7258">
        <w:rPr>
          <w:cs/>
        </w:rPr>
        <w:t xml:space="preserve">การนับช่วงเวลานี้เป็นการหยุดพูดจะทำให้เกิด </w:t>
      </w:r>
      <w:r w:rsidRPr="001B7258">
        <w:t xml:space="preserve">False Positive </w:t>
      </w:r>
      <w:r w:rsidRPr="001B7258">
        <w:rPr>
          <w:cs/>
        </w:rPr>
        <w:t>สูง</w:t>
      </w:r>
    </w:p>
    <w:p w14:paraId="4F63DC5B" w14:textId="77777777" w:rsidR="001B7258" w:rsidRPr="001B7258" w:rsidRDefault="001B7258" w:rsidP="001B7258">
      <w:pPr>
        <w:numPr>
          <w:ilvl w:val="0"/>
          <w:numId w:val="1"/>
        </w:numPr>
      </w:pPr>
      <w:r w:rsidRPr="001B7258">
        <w:rPr>
          <w:b/>
          <w:bCs/>
          <w:cs/>
        </w:rPr>
        <w:t xml:space="preserve">ช่วงเวลาตั้งแต่ </w:t>
      </w:r>
      <w:r w:rsidRPr="001B7258">
        <w:rPr>
          <w:b/>
          <w:bCs/>
        </w:rPr>
        <w:t xml:space="preserve">200–300 ms </w:t>
      </w:r>
      <w:r w:rsidRPr="001B7258">
        <w:rPr>
          <w:b/>
          <w:bCs/>
          <w:cs/>
        </w:rPr>
        <w:t>ขึ้นไป (</w:t>
      </w:r>
      <w:r w:rsidRPr="001B7258">
        <w:rPr>
          <w:b/>
          <w:bCs/>
        </w:rPr>
        <w:t>Hesitation / Cognitive Pauses):</w:t>
      </w:r>
      <w:r w:rsidRPr="001B7258">
        <w:t xml:space="preserve"> </w:t>
      </w:r>
      <w:r w:rsidRPr="001B7258">
        <w:rPr>
          <w:cs/>
        </w:rPr>
        <w:t>เป็นช่วงเวลาที่กล้ามเนื้อการออกเสียงหยุดทำงานจริง ซึ่งสัมพันธ์กับกระบวนการทางพุทธิปัญญา (</w:t>
      </w:r>
      <w:r w:rsidRPr="001B7258">
        <w:t xml:space="preserve">Cognitive Processing) </w:t>
      </w:r>
      <w:r w:rsidRPr="001B7258">
        <w:rPr>
          <w:cs/>
        </w:rPr>
        <w:t>เช่น การวางแผนประโยค การนึกคำศัพท์ หรือความลังเลไม่มั่นใจ</w:t>
      </w:r>
    </w:p>
    <w:p w14:paraId="45096F7E" w14:textId="77777777" w:rsidR="001B7258" w:rsidRPr="001B7258" w:rsidRDefault="001B7258" w:rsidP="001B7258">
      <w:pPr>
        <w:rPr>
          <w:b/>
          <w:bCs/>
        </w:rPr>
      </w:pPr>
      <w:r w:rsidRPr="001B7258">
        <w:rPr>
          <w:b/>
          <w:bCs/>
          <w:cs/>
        </w:rPr>
        <w:t>แหล่งอ้างอิงระดับมาตรฐาน (</w:t>
      </w:r>
      <w:r w:rsidRPr="001B7258">
        <w:rPr>
          <w:b/>
          <w:bCs/>
        </w:rPr>
        <w:t>Key References)</w:t>
      </w:r>
    </w:p>
    <w:p w14:paraId="160705D9" w14:textId="77777777" w:rsidR="001B7258" w:rsidRPr="001B7258" w:rsidRDefault="001B7258" w:rsidP="001B7258">
      <w:r w:rsidRPr="001B7258">
        <w:rPr>
          <w:b/>
          <w:bCs/>
        </w:rPr>
        <w:t xml:space="preserve">1. </w:t>
      </w:r>
      <w:r w:rsidRPr="001B7258">
        <w:rPr>
          <w:b/>
          <w:bCs/>
          <w:cs/>
        </w:rPr>
        <w:t xml:space="preserve">งานวิจัยต้นตำรับที่กำหนดเกณฑ์ </w:t>
      </w:r>
      <w:r w:rsidRPr="001B7258">
        <w:rPr>
          <w:b/>
          <w:bCs/>
        </w:rPr>
        <w:t xml:space="preserve">250 ms </w:t>
      </w:r>
      <w:r w:rsidRPr="001B7258">
        <w:rPr>
          <w:b/>
          <w:bCs/>
          <w:cs/>
        </w:rPr>
        <w:t>เป็นมาตรฐาน (</w:t>
      </w:r>
      <w:r w:rsidRPr="001B7258">
        <w:rPr>
          <w:b/>
          <w:bCs/>
        </w:rPr>
        <w:t>The Foundational Baseline)</w:t>
      </w:r>
    </w:p>
    <w:p w14:paraId="26781DD7" w14:textId="77777777" w:rsidR="001B7258" w:rsidRPr="001B7258" w:rsidRDefault="001B7258" w:rsidP="001B7258">
      <w:r w:rsidRPr="001B7258">
        <w:rPr>
          <w:b/>
          <w:bCs/>
        </w:rPr>
        <w:t>Goldman-Eisler, F. (1968).</w:t>
      </w:r>
      <w:r w:rsidRPr="001B7258">
        <w:t xml:space="preserve"> </w:t>
      </w:r>
      <w:r w:rsidRPr="001B7258">
        <w:rPr>
          <w:i/>
          <w:iCs/>
        </w:rPr>
        <w:t>Psycholinguistics: Experiments in Spontaneous Speech</w:t>
      </w:r>
      <w:r w:rsidRPr="001B7258">
        <w:t>. Academic Press, London/New York.</w:t>
      </w:r>
    </w:p>
    <w:p w14:paraId="691D89EF" w14:textId="1D8427EF" w:rsidR="001B7258" w:rsidRPr="001B7258" w:rsidRDefault="001B7258" w:rsidP="001B7258">
      <w:pPr>
        <w:numPr>
          <w:ilvl w:val="0"/>
          <w:numId w:val="2"/>
        </w:numPr>
      </w:pPr>
      <w:r w:rsidRPr="001B7258">
        <w:rPr>
          <w:b/>
          <w:bCs/>
          <w:cs/>
        </w:rPr>
        <w:t>สาระสำคัญ:</w:t>
      </w:r>
      <w:r w:rsidRPr="001B7258">
        <w:t xml:space="preserve"> </w:t>
      </w:r>
      <w:r w:rsidRPr="001B7258">
        <w:rPr>
          <w:cs/>
        </w:rPr>
        <w:t>เป็นงานวิจัยชิ้นประวัติศาสตร์ที่ระบุว่าความเงียบที่ยาวกว่า</w:t>
      </w:r>
      <w:r w:rsidRPr="001B7258">
        <w:t xml:space="preserve"> </w:t>
      </w:r>
      <m:oMath>
        <m:r>
          <w:rPr>
            <w:rFonts w:ascii="Cambria Math" w:hAnsi="Cambria Math"/>
          </w:rPr>
          <m:t>250</m:t>
        </m:r>
        <m:r>
          <m:rPr>
            <m:nor/>
          </m:rPr>
          <m:t> ms</m:t>
        </m:r>
      </m:oMath>
      <w:r w:rsidRPr="001B7258">
        <w:t xml:space="preserve"> (</w:t>
      </w:r>
      <m:oMath>
        <m:r>
          <w:rPr>
            <w:rFonts w:ascii="Cambria Math" w:hAnsi="Cambria Math"/>
          </w:rPr>
          <m:t>0.25</m:t>
        </m:r>
        <m:r>
          <m:rPr>
            <m:nor/>
          </m:rPr>
          <m:t> </m:t>
        </m:r>
        <m:r>
          <m:rPr>
            <m:nor/>
          </m:rPr>
          <w:rPr>
            <w:rFonts w:ascii="Browallia New" w:hAnsi="Browallia New" w:cs="Browallia New"/>
          </w:rPr>
          <m:t>วินาที</m:t>
        </m:r>
      </m:oMath>
      <w:r w:rsidRPr="001B7258">
        <w:t xml:space="preserve">) </w:t>
      </w:r>
      <w:r w:rsidRPr="001B7258">
        <w:rPr>
          <w:cs/>
        </w:rPr>
        <w:t>ขึ้นไป คือจุดแบ่งระหว่างการกักลมของอวัยวะออกเสียงกับการหยุดเพื่อวางแผนภาษา (</w:t>
      </w:r>
      <w:r w:rsidRPr="001B7258">
        <w:t xml:space="preserve">Cognitive/Hesitation pause) </w:t>
      </w:r>
      <w:r w:rsidRPr="001B7258">
        <w:rPr>
          <w:cs/>
        </w:rPr>
        <w:t>และเป็นเกณฑ์ที่ถูกใช้อ้างอิงต่อเนื่องมาจนถึงปัจจุบัน</w:t>
      </w:r>
    </w:p>
    <w:p w14:paraId="2D4184F2" w14:textId="77777777" w:rsidR="001B7258" w:rsidRPr="001B7258" w:rsidRDefault="001B7258" w:rsidP="001B7258">
      <w:r w:rsidRPr="001B7258">
        <w:rPr>
          <w:b/>
          <w:bCs/>
        </w:rPr>
        <w:t xml:space="preserve">2. </w:t>
      </w:r>
      <w:r w:rsidRPr="001B7258">
        <w:rPr>
          <w:b/>
          <w:bCs/>
          <w:cs/>
        </w:rPr>
        <w:t xml:space="preserve">งานปริทัศน์วรรณกรรมว่าด้วยโครงสร้างของ </w:t>
      </w:r>
      <w:r w:rsidRPr="001B7258">
        <w:rPr>
          <w:b/>
          <w:bCs/>
        </w:rPr>
        <w:t xml:space="preserve">Pause </w:t>
      </w:r>
      <w:r w:rsidRPr="001B7258">
        <w:rPr>
          <w:b/>
          <w:bCs/>
          <w:cs/>
        </w:rPr>
        <w:t>ในการสังเคราะห์เสียง</w:t>
      </w:r>
    </w:p>
    <w:p w14:paraId="4595F9B3" w14:textId="77777777" w:rsidR="001B7258" w:rsidRPr="001B7258" w:rsidRDefault="001B7258" w:rsidP="001B7258">
      <w:r w:rsidRPr="001B7258">
        <w:rPr>
          <w:b/>
          <w:bCs/>
        </w:rPr>
        <w:t>Zellner, B. (1994).</w:t>
      </w:r>
      <w:r w:rsidRPr="001B7258">
        <w:t xml:space="preserve"> Pauses and the temporal organization of speech. In </w:t>
      </w:r>
      <w:r w:rsidRPr="001B7258">
        <w:rPr>
          <w:i/>
          <w:iCs/>
        </w:rPr>
        <w:t>Fundamentals of speech synthesis and speech recognition</w:t>
      </w:r>
      <w:r w:rsidRPr="001B7258">
        <w:t xml:space="preserve"> (pp. 41-62). John Wiley &amp; Sons.</w:t>
      </w:r>
    </w:p>
    <w:p w14:paraId="2599344D" w14:textId="53F3D7AF" w:rsidR="001B7258" w:rsidRPr="001B7258" w:rsidRDefault="001B7258" w:rsidP="001B7258">
      <w:pPr>
        <w:numPr>
          <w:ilvl w:val="0"/>
          <w:numId w:val="3"/>
        </w:numPr>
      </w:pPr>
      <w:r w:rsidRPr="001B7258">
        <w:rPr>
          <w:b/>
          <w:bCs/>
          <w:cs/>
        </w:rPr>
        <w:t>สาระสำคัญ:</w:t>
      </w:r>
      <w:r w:rsidRPr="001B7258">
        <w:t xml:space="preserve"> </w:t>
      </w:r>
      <w:r w:rsidRPr="001B7258">
        <w:rPr>
          <w:cs/>
        </w:rPr>
        <w:t>อธิบายและจัดหมวดหมู่ความเงียบว่า การหยุดที่สั้นกว่า</w:t>
      </w:r>
      <w:r w:rsidRPr="001B7258">
        <w:t xml:space="preserve"> 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 ms</m:t>
        </m:r>
      </m:oMath>
      <w:r w:rsidRPr="001B7258">
        <w:t xml:space="preserve"> </w:t>
      </w:r>
      <w:r w:rsidRPr="001B7258">
        <w:rPr>
          <w:cs/>
        </w:rPr>
        <w:t>คือ "</w:t>
      </w:r>
      <w:r w:rsidRPr="001B7258">
        <w:t>Micro-pauses" (</w:t>
      </w:r>
      <w:r w:rsidRPr="001B7258">
        <w:rPr>
          <w:cs/>
        </w:rPr>
        <w:t>เกิดจากระบบกล้ามเนื้อและเสียงหยุด) ส่วนการหยุดที่เกิน</w:t>
      </w:r>
      <w:r w:rsidRPr="001B7258">
        <w:t xml:space="preserve"> 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--</m:t>
        </m:r>
        <m:r>
          <w:rPr>
            <w:rFonts w:ascii="Cambria Math" w:hAnsi="Cambria Math"/>
          </w:rPr>
          <m:t>250</m:t>
        </m:r>
        <m:r>
          <m:rPr>
            <m:nor/>
          </m:rPr>
          <m:t> ms</m:t>
        </m:r>
      </m:oMath>
      <w:r w:rsidRPr="001B7258">
        <w:t xml:space="preserve"> </w:t>
      </w:r>
      <w:r w:rsidRPr="001B7258">
        <w:rPr>
          <w:cs/>
        </w:rPr>
        <w:t>คือ "</w:t>
      </w:r>
      <w:r w:rsidRPr="001B7258">
        <w:t xml:space="preserve">Unfilled Pauses" </w:t>
      </w:r>
      <w:r w:rsidRPr="001B7258">
        <w:rPr>
          <w:cs/>
        </w:rPr>
        <w:t>หรือการหยุดคิด/ลังเลจริง</w:t>
      </w:r>
    </w:p>
    <w:p w14:paraId="01783383" w14:textId="77777777" w:rsidR="001B7258" w:rsidRPr="001B7258" w:rsidRDefault="001B7258" w:rsidP="001B7258">
      <w:r w:rsidRPr="001B7258">
        <w:rPr>
          <w:b/>
          <w:bCs/>
        </w:rPr>
        <w:t xml:space="preserve">3. </w:t>
      </w:r>
      <w:r w:rsidRPr="001B7258">
        <w:rPr>
          <w:b/>
          <w:bCs/>
          <w:cs/>
        </w:rPr>
        <w:t>การศึกษาขนาดใหญ่ในระดับนานาชาติ (</w:t>
      </w:r>
      <w:r w:rsidRPr="001B7258">
        <w:rPr>
          <w:b/>
          <w:bCs/>
        </w:rPr>
        <w:t>Cross-linguistic Evidence)</w:t>
      </w:r>
    </w:p>
    <w:p w14:paraId="7B5CCB47" w14:textId="77777777" w:rsidR="001B7258" w:rsidRPr="001B7258" w:rsidRDefault="001B7258" w:rsidP="001B7258">
      <w:r w:rsidRPr="001B7258">
        <w:rPr>
          <w:b/>
          <w:bCs/>
        </w:rPr>
        <w:t>Campione, E., &amp; Véronis, J. (2002).</w:t>
      </w:r>
      <w:r w:rsidRPr="001B7258">
        <w:t xml:space="preserve"> A large-scale multilingual study of silent pause duration. In </w:t>
      </w:r>
      <w:r w:rsidRPr="001B7258">
        <w:rPr>
          <w:i/>
          <w:iCs/>
        </w:rPr>
        <w:t>Speech Prosody 2002, International Conference</w:t>
      </w:r>
      <w:r w:rsidRPr="001B7258">
        <w:t xml:space="preserve"> (pp. 199-202).</w:t>
      </w:r>
    </w:p>
    <w:p w14:paraId="31EF66D2" w14:textId="5D199AB9" w:rsidR="001B7258" w:rsidRPr="001B7258" w:rsidRDefault="001B7258" w:rsidP="001B7258">
      <w:pPr>
        <w:numPr>
          <w:ilvl w:val="0"/>
          <w:numId w:val="4"/>
        </w:numPr>
      </w:pPr>
      <w:r w:rsidRPr="001B7258">
        <w:rPr>
          <w:b/>
          <w:bCs/>
          <w:cs/>
        </w:rPr>
        <w:t>สาระสำคัญ:</w:t>
      </w:r>
      <w:r w:rsidRPr="001B7258">
        <w:t xml:space="preserve"> </w:t>
      </w:r>
      <w:r w:rsidRPr="001B7258">
        <w:rPr>
          <w:cs/>
        </w:rPr>
        <w:t xml:space="preserve">ศึกษาความเงียบใน </w:t>
      </w:r>
      <w:r w:rsidRPr="001B7258">
        <w:t xml:space="preserve">5 </w:t>
      </w:r>
      <w:r w:rsidRPr="001B7258">
        <w:rPr>
          <w:cs/>
        </w:rPr>
        <w:t xml:space="preserve">ภาษา พบว่าการแจกแจงความยาวของการหยุดพูดแบ่งออกเป็น </w:t>
      </w:r>
      <w:r w:rsidRPr="001B7258">
        <w:t xml:space="preserve">3 </w:t>
      </w:r>
      <w:r w:rsidRPr="001B7258">
        <w:rPr>
          <w:cs/>
        </w:rPr>
        <w:t>ระดับชัดเจน:</w:t>
      </w:r>
      <w:r w:rsidRPr="001B7258">
        <w:t xml:space="preserve"> Brief pauses (</w:t>
      </w:r>
      <m:oMath>
        <m:r>
          <w:rPr>
            <w:rFonts w:ascii="Cambria Math" w:hAnsi="Cambria Math"/>
          </w:rPr>
          <m:t>&lt;200</m:t>
        </m:r>
        <m:r>
          <m:rPr>
            <m:nor/>
          </m:rPr>
          <m:t> ms</m:t>
        </m:r>
      </m:oMath>
      <w:r w:rsidRPr="001B7258">
        <w:t>), Medium pauses (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--</m:t>
        </m:r>
        <m:r>
          <w:rPr>
            <w:rFonts w:ascii="Cambria Math" w:hAnsi="Cambria Math"/>
          </w:rPr>
          <m:t>1000</m:t>
        </m:r>
        <m:r>
          <m:rPr>
            <m:nor/>
          </m:rPr>
          <m:t> ms</m:t>
        </m:r>
      </m:oMath>
      <w:r w:rsidRPr="001B7258">
        <w:t xml:space="preserve">), </w:t>
      </w:r>
      <w:r w:rsidRPr="001B7258">
        <w:rPr>
          <w:cs/>
        </w:rPr>
        <w:t xml:space="preserve">และ </w:t>
      </w:r>
      <w:r w:rsidRPr="001B7258">
        <w:t xml:space="preserve">Long </w:t>
      </w:r>
      <w:r w:rsidRPr="001B7258">
        <w:lastRenderedPageBreak/>
        <w:t>pauses (</w:t>
      </w:r>
      <m:oMath>
        <m:r>
          <w:rPr>
            <w:rFonts w:ascii="Cambria Math" w:hAnsi="Cambria Math"/>
          </w:rPr>
          <m:t>&gt;1000</m:t>
        </m:r>
        <m:r>
          <m:rPr>
            <m:nor/>
          </m:rPr>
          <m:t> ms</m:t>
        </m:r>
      </m:oMath>
      <w:r w:rsidRPr="001B7258">
        <w:t xml:space="preserve">) </w:t>
      </w:r>
      <w:r w:rsidRPr="001B7258">
        <w:rPr>
          <w:cs/>
        </w:rPr>
        <w:t xml:space="preserve">โดยกลุ่ม </w:t>
      </w:r>
      <w:r w:rsidRPr="001B7258">
        <w:t xml:space="preserve">Medium pause </w:t>
      </w:r>
      <w:r w:rsidRPr="001B7258">
        <w:rPr>
          <w:cs/>
        </w:rPr>
        <w:t>คือช่วงที่สัมพันธ์กับโครงสร้างประโยคและความลังเล</w:t>
      </w:r>
    </w:p>
    <w:p w14:paraId="48484740" w14:textId="77777777" w:rsidR="001B7258" w:rsidRPr="001B7258" w:rsidRDefault="001B7258" w:rsidP="001B7258">
      <w:r w:rsidRPr="001B7258">
        <w:rPr>
          <w:b/>
          <w:bCs/>
        </w:rPr>
        <w:t xml:space="preserve">4. </w:t>
      </w:r>
      <w:r w:rsidRPr="001B7258">
        <w:rPr>
          <w:b/>
          <w:bCs/>
          <w:cs/>
        </w:rPr>
        <w:t xml:space="preserve">เปเปอร์มาตรฐานที่ใช้ร่วมกับโปรแกรม </w:t>
      </w:r>
      <w:r w:rsidRPr="001B7258">
        <w:rPr>
          <w:b/>
          <w:bCs/>
        </w:rPr>
        <w:t>Praat (</w:t>
      </w:r>
      <w:r w:rsidRPr="001B7258">
        <w:rPr>
          <w:b/>
          <w:bCs/>
          <w:cs/>
        </w:rPr>
        <w:t>แนะนำที่สุดสำหรับอ้างอิงในงานเชิงระบบ)</w:t>
      </w:r>
    </w:p>
    <w:p w14:paraId="17E24E99" w14:textId="77777777" w:rsidR="001B7258" w:rsidRPr="001B7258" w:rsidRDefault="001B7258" w:rsidP="001B7258">
      <w:r w:rsidRPr="001B7258">
        <w:rPr>
          <w:b/>
          <w:bCs/>
        </w:rPr>
        <w:t>De Jong, N. H., &amp; Wempe, T. (2009).</w:t>
      </w:r>
      <w:r w:rsidRPr="001B7258">
        <w:t xml:space="preserve"> Praat script to detect syllable nuclei and measure speech rate automatically. </w:t>
      </w:r>
      <w:r w:rsidRPr="001B7258">
        <w:rPr>
          <w:i/>
          <w:iCs/>
        </w:rPr>
        <w:t>Behavior Research Methods</w:t>
      </w:r>
      <w:r w:rsidRPr="001B7258">
        <w:t>, 41(2), 385-390.</w:t>
      </w:r>
    </w:p>
    <w:p w14:paraId="5FEE1015" w14:textId="43F4B9C6" w:rsidR="001B7258" w:rsidRPr="001B7258" w:rsidRDefault="001B7258" w:rsidP="001B7258">
      <w:pPr>
        <w:numPr>
          <w:ilvl w:val="0"/>
          <w:numId w:val="5"/>
        </w:numPr>
      </w:pPr>
      <w:r w:rsidRPr="001B7258">
        <w:rPr>
          <w:b/>
          <w:bCs/>
          <w:cs/>
        </w:rPr>
        <w:t>สาระสำคัญ:</w:t>
      </w:r>
      <w:r w:rsidRPr="001B7258">
        <w:t xml:space="preserve"> </w:t>
      </w:r>
      <w:r w:rsidRPr="001B7258">
        <w:rPr>
          <w:cs/>
        </w:rPr>
        <w:t xml:space="preserve">เปเปอร์นี้พัฒนา </w:t>
      </w:r>
      <w:r w:rsidRPr="001B7258">
        <w:t xml:space="preserve">Praat Script </w:t>
      </w:r>
      <w:r w:rsidRPr="001B7258">
        <w:rPr>
          <w:cs/>
        </w:rPr>
        <w:t xml:space="preserve">สำหรับตรวจวัด </w:t>
      </w:r>
      <w:r w:rsidRPr="001B7258">
        <w:t xml:space="preserve">Speech Rate </w:t>
      </w:r>
      <w:r w:rsidRPr="001B7258">
        <w:rPr>
          <w:cs/>
        </w:rPr>
        <w:t xml:space="preserve">และ </w:t>
      </w:r>
      <w:r w:rsidRPr="001B7258">
        <w:t xml:space="preserve">Silence Detection </w:t>
      </w:r>
      <w:r w:rsidRPr="001B7258">
        <w:rPr>
          <w:cs/>
        </w:rPr>
        <w:t xml:space="preserve">แบบอัตโนมัติ โดยทดลองและให้ข้อสรุปว่าการตั้ง </w:t>
      </w:r>
      <w:r w:rsidRPr="001B7258">
        <w:t xml:space="preserve">Silence Threshold </w:t>
      </w:r>
      <w:r w:rsidRPr="001B7258">
        <w:rPr>
          <w:cs/>
        </w:rPr>
        <w:t>ขั้นต่ำไว้ที่</w:t>
      </w:r>
      <w:r w:rsidRPr="001B7258">
        <w:t xml:space="preserve"> </w:t>
      </w:r>
      <m:oMath>
        <m:r>
          <w:rPr>
            <w:rFonts w:ascii="Cambria Math" w:hAnsi="Cambria Math"/>
          </w:rPr>
          <m:t>250</m:t>
        </m:r>
        <m:r>
          <m:rPr>
            <m:nor/>
          </m:rPr>
          <m:t>--</m:t>
        </m:r>
        <m:r>
          <w:rPr>
            <w:rFonts w:ascii="Cambria Math" w:hAnsi="Cambria Math"/>
          </w:rPr>
          <m:t>300</m:t>
        </m:r>
        <m:r>
          <m:rPr>
            <m:nor/>
          </m:rPr>
          <m:t> ms</m:t>
        </m:r>
      </m:oMath>
      <w:r w:rsidRPr="001B7258">
        <w:t xml:space="preserve"> </w:t>
      </w:r>
      <w:r w:rsidRPr="001B7258">
        <w:rPr>
          <w:cs/>
        </w:rPr>
        <w:t xml:space="preserve">ช่วยคัดกรองเสียงรบกวนและ </w:t>
      </w:r>
      <w:r w:rsidRPr="001B7258">
        <w:t xml:space="preserve">Stop Consonants </w:t>
      </w:r>
      <w:r w:rsidRPr="001B7258">
        <w:rPr>
          <w:cs/>
        </w:rPr>
        <w:t>ออกได้มีประสิทธิภาพที่สุด</w:t>
      </w:r>
    </w:p>
    <w:p w14:paraId="4AEBE0ED" w14:textId="77777777" w:rsidR="001B7258" w:rsidRPr="001B7258" w:rsidRDefault="001B7258" w:rsidP="001B7258">
      <w:pPr>
        <w:rPr>
          <w:b/>
          <w:bCs/>
        </w:rPr>
      </w:pPr>
      <w:r w:rsidRPr="001B7258">
        <w:rPr>
          <w:b/>
          <w:bCs/>
          <w:cs/>
        </w:rPr>
        <w:t>ข้อความตัวอย่างสำหรับนำไปเขียนในเล่มสัมมนา (</w:t>
      </w:r>
      <w:r w:rsidRPr="001B7258">
        <w:rPr>
          <w:b/>
          <w:bCs/>
        </w:rPr>
        <w:t>Methodology Section)</w:t>
      </w:r>
    </w:p>
    <w:p w14:paraId="5620C222" w14:textId="6D80753E" w:rsidR="001B7258" w:rsidRPr="001B7258" w:rsidRDefault="001B7258" w:rsidP="001B7258">
      <w:r w:rsidRPr="001B7258">
        <w:t>"</w:t>
      </w:r>
      <w:r w:rsidRPr="001B7258">
        <w:rPr>
          <w:cs/>
        </w:rPr>
        <w:t>ในการตรวจจับช่วงหยุดพูด (</w:t>
      </w:r>
      <w:r w:rsidRPr="001B7258">
        <w:t xml:space="preserve">Pause Detection) </w:t>
      </w:r>
      <w:r w:rsidRPr="001B7258">
        <w:rPr>
          <w:cs/>
        </w:rPr>
        <w:t>ระบบกำหนดค่าความเงียบขั้นต่ำไว้ที่</w:t>
      </w:r>
      <w:r w:rsidRPr="001B7258">
        <w:t xml:space="preserve"> </w:t>
      </w:r>
      <m:oMath>
        <m:r>
          <w:rPr>
            <w:rFonts w:ascii="Cambria Math" w:hAnsi="Cambria Math"/>
          </w:rPr>
          <m:t>0.3</m:t>
        </m:r>
      </m:oMath>
      <w:r w:rsidRPr="001B7258">
        <w:t xml:space="preserve"> </w:t>
      </w:r>
      <w:r w:rsidRPr="001B7258">
        <w:rPr>
          <w:cs/>
        </w:rPr>
        <w:t>วินาที (</w:t>
      </w:r>
      <m:oMath>
        <m:r>
          <w:rPr>
            <w:rFonts w:ascii="Cambria Math" w:hAnsi="Cambria Math"/>
          </w:rPr>
          <m:t>300</m:t>
        </m:r>
        <m:r>
          <m:rPr>
            <m:nor/>
          </m:rPr>
          <m:t> ms</m:t>
        </m:r>
      </m:oMath>
      <w:r w:rsidRPr="001B7258">
        <w:t xml:space="preserve">) </w:t>
      </w:r>
      <w:r w:rsidRPr="001B7258">
        <w:rPr>
          <w:cs/>
        </w:rPr>
        <w:t>เพื่อคัดกรองความเงียบที่เกิดจากสรีรวิทยาการเปล่งเสียง เช่น การกักลมของพยัญชนะระเบิด (</w:t>
      </w:r>
      <w:r w:rsidRPr="001B7258">
        <w:t xml:space="preserve">Articulatory Stop Closures) </w:t>
      </w:r>
      <w:r w:rsidRPr="001B7258">
        <w:rPr>
          <w:cs/>
        </w:rPr>
        <w:t>ออก และมุ่งเน้นการตรวจจับการหยุดพูดที่มีนัยสำคัญต่อกระบวนการคิดหรือความลังเล (</w:t>
      </w:r>
      <w:r w:rsidRPr="001B7258">
        <w:t xml:space="preserve">Hesitation / Cognitive Pauses) </w:t>
      </w:r>
      <w:r w:rsidRPr="001B7258">
        <w:rPr>
          <w:cs/>
        </w:rPr>
        <w:t xml:space="preserve">ตามแนวทางของ </w:t>
      </w:r>
      <w:r w:rsidRPr="001B7258">
        <w:t xml:space="preserve">Goldman-Eisler (1968) </w:t>
      </w:r>
      <w:r w:rsidRPr="001B7258">
        <w:rPr>
          <w:cs/>
        </w:rPr>
        <w:t xml:space="preserve">และ </w:t>
      </w:r>
      <w:r w:rsidRPr="001B7258">
        <w:t>De Jong &amp; Wempe (2009)"</w:t>
      </w:r>
    </w:p>
    <w:p w14:paraId="5E0A795A" w14:textId="77777777" w:rsidR="00CC6B71" w:rsidRDefault="00CC6B71">
      <w:pPr>
        <w:rPr>
          <w:rFonts w:hint="cs"/>
          <w:cs/>
        </w:rPr>
      </w:pPr>
    </w:p>
    <w:sectPr w:rsidR="00CC6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E3350"/>
    <w:multiLevelType w:val="multilevel"/>
    <w:tmpl w:val="793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9703F"/>
    <w:multiLevelType w:val="multilevel"/>
    <w:tmpl w:val="F992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92EFD"/>
    <w:multiLevelType w:val="multilevel"/>
    <w:tmpl w:val="A9C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D24C7"/>
    <w:multiLevelType w:val="multilevel"/>
    <w:tmpl w:val="566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02A21"/>
    <w:multiLevelType w:val="multilevel"/>
    <w:tmpl w:val="CA6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958902">
    <w:abstractNumId w:val="0"/>
  </w:num>
  <w:num w:numId="2" w16cid:durableId="1772702148">
    <w:abstractNumId w:val="1"/>
  </w:num>
  <w:num w:numId="3" w16cid:durableId="238903714">
    <w:abstractNumId w:val="3"/>
  </w:num>
  <w:num w:numId="4" w16cid:durableId="689530587">
    <w:abstractNumId w:val="2"/>
  </w:num>
  <w:num w:numId="5" w16cid:durableId="1430007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58"/>
    <w:rsid w:val="001B7258"/>
    <w:rsid w:val="003F698B"/>
    <w:rsid w:val="0091204D"/>
    <w:rsid w:val="00995F74"/>
    <w:rsid w:val="00CC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2CC2"/>
  <w15:chartTrackingRefBased/>
  <w15:docId w15:val="{C6B28939-1A57-4683-AFF8-3E5DD07A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5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5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5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5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72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72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Kaweepan</dc:creator>
  <cp:keywords/>
  <dc:description/>
  <cp:lastModifiedBy>Jakkarin Kaweepan</cp:lastModifiedBy>
  <cp:revision>1</cp:revision>
  <dcterms:created xsi:type="dcterms:W3CDTF">2026-09-03T01:33:00Z</dcterms:created>
  <dcterms:modified xsi:type="dcterms:W3CDTF">2026-09-03T01:34:00Z</dcterms:modified>
</cp:coreProperties>
</file>