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60" w:after="130"/>
      </w:pPr>
      <w:r>
        <w:t xml:space="preserve">Findings Summary</w:t>
      </w:r>
    </w:p>
    <w:p>
      <w:pPr>
        <w:pStyle w:val="Heading3"/>
        <w:spacing w:before="240" w:after="130"/>
      </w:pPr>
      <w:r>
        <w:t xml:space="preserve">1. A necessary correction on the version 1 numbers</w:t>
      </w:r>
    </w:p>
    <w:p>
      <w:pPr>
        <w:spacing w:after="150"/>
      </w:pPr>
      <w:r>
        <w:t xml:space="preserve">Version 1 of this report presented a cross-game table of average sentiment, sentiment mixes and total engagement, plus theme-level scores to two decimal places. </w:t>
      </w:r>
      <w:r>
        <w:rPr>
          <w:b/>
          <w:bCs/>
        </w:rPr>
        <w:t xml:space="preserve">Those figures should not be quoted to a client, and they are not restated here.</w:t>
      </w:r>
      <w:r>
        <w:t xml:space="preserve"> There are three independent reasons why.</w:t>
      </w:r>
    </w:p>
    <w:p>
      <w:pPr>
        <w:spacing w:after="150"/>
      </w:pPr>
      <w:r>
        <w:rPr>
          <w:b/>
          <w:bCs/>
        </w:rPr>
        <w:t xml:space="preserve">The dataset was mostly manufactured.</w:t>
      </w:r>
      <w:r>
        <w:t xml:space="preserve"> 452 of 507 records — approximately 89% — were synthetic. Only 55 YouTube comments were observed data. Any cross-game comparison, any platform comparison involving Reddit or Discord, and every theme score in that table was computed largely or wholly from text written to demonstrate the pipeline.</w:t>
      </w:r>
    </w:p>
    <w:p>
      <w:pPr>
        <w:spacing w:after="150"/>
      </w:pPr>
      <w:r>
        <w:rPr>
          <w:b/>
          <w:bCs/>
        </w:rPr>
        <w:t xml:space="preserve">The scale and the scorer have both changed.</w:t>
      </w:r>
      <w:r>
        <w:t xml:space="preserve"> Those numbers were produced by a lexicon on a −1 to +1 scale. Sentiment is now reported on −100 to +100 and, when configured, produced by a semantic layer that reads sarcasm and negation. A v1 score of −0.093 is not the same measurement as a v2 score of −9, even before the change of engine. The two are not comparable and should not be presented on the same axis.</w:t>
      </w:r>
    </w:p>
    <w:p>
      <w:pPr>
        <w:spacing w:after="150"/>
      </w:pPr>
      <w:r>
        <w:rPr>
          <w:b/>
          <w:bCs/>
        </w:rPr>
        <w:t xml:space="preserve">The engagement figures measured the wrong thing.</w:t>
      </w:r>
      <w:r>
        <w:t xml:space="preserve"> The v1 "total engagement" column summed YouTube likes, Reddit upvotes and Discord reactions untransformed. Those are different units at wildly different scales measuring different intents, so the column largely reflected which platform happened to contribute the most rows. It has been replaced, not adjusted.</w:t>
      </w:r>
    </w:p>
    <w:p>
      <w:pPr>
        <w:spacing w:after="150"/>
      </w:pPr>
      <w:r>
        <w:t xml:space="preserve">What follows instead is (a) what the pipeline now measures and how a marketer should read each metric, and (b) the qualitative findings from v1 that genuinely survive, each labelled with the confidence it deserves.</w:t>
      </w:r>
    </w:p>
    <w:p>
      <w:pPr>
        <w:pStyle w:val="Heading3"/>
        <w:spacing w:before="240" w:after="130"/>
      </w:pPr>
      <w:r>
        <w:t xml:space="preserve">2. What the tool now measures, and how to read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2937" w:val="clear"/>
            <w:tcMar>
              <w:top w:type="dxa" w:w="60"/>
              <w:left w:type="dxa" w:w="90"/>
              <w:bottom w:type="dxa" w:w="60"/>
              <w:right w:type="dxa" w:w="90"/>
            </w:tcMar>
          </w:tcPr>
          <w:p>
            <w:pPr>
              <w:spacing w:after="0"/>
            </w:pPr>
            <w:r>
              <w:rPr>
                <w:b/>
                <w:bCs/>
                <w:color w:val="FFFFFF"/>
                <w:sz w:val="19"/>
                <w:szCs w:val="19"/>
              </w:rPr>
              <w:t xml:space="preserve">Metric</w:t>
            </w:r>
          </w:p>
        </w:tc>
        <w:tc>
          <w:tcPr>
            <w:tcW w:type="dxa" w:w="1872"/>
            <w:shd w:fill="1F2937" w:val="clear"/>
            <w:tcMar>
              <w:top w:type="dxa" w:w="60"/>
              <w:left w:type="dxa" w:w="90"/>
              <w:bottom w:type="dxa" w:w="60"/>
              <w:right w:type="dxa" w:w="90"/>
            </w:tcMar>
          </w:tcPr>
          <w:p>
            <w:pPr>
              <w:spacing w:after="0"/>
            </w:pPr>
            <w:r>
              <w:rPr>
                <w:b/>
                <w:bCs/>
                <w:color w:val="FFFFFF"/>
                <w:sz w:val="19"/>
                <w:szCs w:val="19"/>
              </w:rPr>
              <w:t xml:space="preserve">Scale</w:t>
            </w:r>
          </w:p>
        </w:tc>
        <w:tc>
          <w:tcPr>
            <w:tcW w:type="dxa" w:w="1872"/>
            <w:shd w:fill="1F2937" w:val="clear"/>
            <w:tcMar>
              <w:top w:type="dxa" w:w="60"/>
              <w:left w:type="dxa" w:w="90"/>
              <w:bottom w:type="dxa" w:w="60"/>
              <w:right w:type="dxa" w:w="90"/>
            </w:tcMar>
          </w:tcPr>
          <w:p>
            <w:pPr>
              <w:spacing w:after="0"/>
            </w:pPr>
            <w:r>
              <w:rPr>
                <w:b/>
                <w:bCs/>
                <w:color w:val="FFFFFF"/>
                <w:sz w:val="19"/>
                <w:szCs w:val="19"/>
              </w:rPr>
              <w:t xml:space="preserve">What it means</w:t>
            </w:r>
          </w:p>
        </w:tc>
        <w:tc>
          <w:tcPr>
            <w:tcW w:type="dxa" w:w="1872"/>
            <w:shd w:fill="1F2937" w:val="clear"/>
            <w:tcMar>
              <w:top w:type="dxa" w:w="60"/>
              <w:left w:type="dxa" w:w="90"/>
              <w:bottom w:type="dxa" w:w="60"/>
              <w:right w:type="dxa" w:w="90"/>
            </w:tcMar>
          </w:tcPr>
          <w:p>
            <w:pPr>
              <w:spacing w:after="0"/>
            </w:pPr>
            <w:r>
              <w:rPr>
                <w:b/>
                <w:bCs/>
                <w:color w:val="FFFFFF"/>
                <w:sz w:val="19"/>
                <w:szCs w:val="19"/>
              </w:rPr>
              <w:t xml:space="preserve">How to read it</w:t>
            </w:r>
          </w:p>
        </w:tc>
        <w:tc>
          <w:tcPr>
            <w:tcW w:type="dxa" w:w="1872"/>
            <w:shd w:fill="1F2937" w:val="clear"/>
            <w:tcMar>
              <w:top w:type="dxa" w:w="60"/>
              <w:left w:type="dxa" w:w="90"/>
              <w:bottom w:type="dxa" w:w="60"/>
              <w:right w:type="dxa" w:w="90"/>
            </w:tcMar>
          </w:tcPr>
          <w:p>
            <w:pPr>
              <w:spacing w:after="0"/>
            </w:pPr>
            <w:r>
              <w:rPr>
                <w:b/>
                <w:bCs/>
                <w:color w:val="FFFFFF"/>
                <w:sz w:val="19"/>
                <w:szCs w:val="19"/>
              </w:rPr>
              <w:t xml:space="preserve">What it is not</w:t>
            </w:r>
          </w:p>
        </w:tc>
      </w:tr>
      <w:tr>
        <w:tc>
          <w:tcPr>
            <w:tcW w:type="dxa" w:w="1872"/>
            <w:tcMar>
              <w:top w:type="dxa" w:w="60"/>
              <w:left w:type="dxa" w:w="90"/>
              <w:bottom w:type="dxa" w:w="60"/>
              <w:right w:type="dxa" w:w="90"/>
            </w:tcMar>
          </w:tcPr>
          <w:p>
            <w:pPr>
              <w:spacing w:after="0"/>
            </w:pPr>
            <w:r>
              <w:rPr>
                <w:b/>
                <w:bCs/>
                <w:sz w:val="19"/>
                <w:szCs w:val="19"/>
              </w:rPr>
              <w:t xml:space="preserve">Sentiment</w:t>
            </w:r>
          </w:p>
        </w:tc>
        <w:tc>
          <w:tcPr>
            <w:tcW w:type="dxa" w:w="1872"/>
            <w:tcMar>
              <w:top w:type="dxa" w:w="60"/>
              <w:left w:type="dxa" w:w="90"/>
              <w:bottom w:type="dxa" w:w="60"/>
              <w:right w:type="dxa" w:w="90"/>
            </w:tcMar>
          </w:tcPr>
          <w:p>
            <w:pPr>
              <w:spacing w:after="0"/>
            </w:pPr>
            <w:r>
              <w:rPr>
                <w:sz w:val="19"/>
                <w:szCs w:val="19"/>
              </w:rPr>
              <w:t xml:space="preserve">−100 to +100 per record; a group's figure is the mean</w:t>
            </w:r>
          </w:p>
        </w:tc>
        <w:tc>
          <w:tcPr>
            <w:tcW w:type="dxa" w:w="1872"/>
            <w:tcMar>
              <w:top w:type="dxa" w:w="60"/>
              <w:left w:type="dxa" w:w="90"/>
              <w:bottom w:type="dxa" w:w="60"/>
              <w:right w:type="dxa" w:w="90"/>
            </w:tcMar>
          </w:tcPr>
          <w:p>
            <w:pPr>
              <w:spacing w:after="0"/>
            </w:pPr>
            <w:r>
              <w:rPr>
                <w:sz w:val="19"/>
                <w:szCs w:val="19"/>
              </w:rPr>
              <w:t xml:space="preserve">The author's judged attitude toward the game or publisher, accounting for sarcasm, negation and gaming slang</w:t>
            </w:r>
          </w:p>
        </w:tc>
        <w:tc>
          <w:tcPr>
            <w:tcW w:type="dxa" w:w="1872"/>
            <w:tcMar>
              <w:top w:type="dxa" w:w="60"/>
              <w:left w:type="dxa" w:w="90"/>
              <w:bottom w:type="dxa" w:w="60"/>
              <w:right w:type="dxa" w:w="90"/>
            </w:tcMar>
          </w:tcPr>
          <w:p>
            <w:pPr>
              <w:spacing w:after="0"/>
            </w:pPr>
            <w:r>
              <w:rPr>
                <w:sz w:val="19"/>
                <w:szCs w:val="19"/>
              </w:rPr>
              <w:t xml:space="preserve">Labels are positive above +15, negative below −15, neutral in between. Every record also carries a 0–1 confidence — low-confidence records still appear but should not drive a decision alone</w:t>
            </w:r>
          </w:p>
        </w:tc>
        <w:tc>
          <w:tcPr>
            <w:tcW w:type="dxa" w:w="1872"/>
            <w:tcMar>
              <w:top w:type="dxa" w:w="60"/>
              <w:left w:type="dxa" w:w="90"/>
              <w:bottom w:type="dxa" w:w="60"/>
              <w:right w:type="dxa" w:w="90"/>
            </w:tcMar>
          </w:tcPr>
          <w:p>
            <w:pPr>
              <w:spacing w:after="0"/>
            </w:pPr>
            <w:r>
              <w:rPr>
                <w:sz w:val="19"/>
                <w:szCs w:val="19"/>
              </w:rPr>
              <w:t xml:space="preserve">Not a satisfaction score, and not a survey. It measures the tone of people who chose to post</w:t>
            </w:r>
          </w:p>
        </w:tc>
      </w:tr>
      <w:tr>
        <w:tc>
          <w:tcPr>
            <w:tcW w:type="dxa" w:w="1872"/>
            <w:tcMar>
              <w:top w:type="dxa" w:w="60"/>
              <w:left w:type="dxa" w:w="90"/>
              <w:bottom w:type="dxa" w:w="60"/>
              <w:right w:type="dxa" w:w="90"/>
            </w:tcMar>
          </w:tcPr>
          <w:p>
            <w:pPr>
              <w:spacing w:after="0"/>
            </w:pPr>
            <w:r>
              <w:rPr>
                <w:b/>
                <w:bCs/>
                <w:sz w:val="19"/>
                <w:szCs w:val="19"/>
              </w:rPr>
              <w:t xml:space="preserve">Engagement Index</w:t>
            </w:r>
          </w:p>
        </w:tc>
        <w:tc>
          <w:tcPr>
            <w:tcW w:type="dxa" w:w="1872"/>
            <w:tcMar>
              <w:top w:type="dxa" w:w="60"/>
              <w:left w:type="dxa" w:w="90"/>
              <w:bottom w:type="dxa" w:w="60"/>
              <w:right w:type="dxa" w:w="90"/>
            </w:tcMar>
          </w:tcPr>
          <w:p>
            <w:pPr>
              <w:spacing w:after="0"/>
            </w:pPr>
            <w:r>
              <w:rPr>
                <w:sz w:val="19"/>
                <w:szCs w:val="19"/>
              </w:rPr>
              <w:t xml:space="preserve">0–100 per record; a group's figure is the mean</w:t>
            </w:r>
          </w:p>
        </w:tc>
        <w:tc>
          <w:tcPr>
            <w:tcW w:type="dxa" w:w="1872"/>
            <w:tcMar>
              <w:top w:type="dxa" w:w="60"/>
              <w:left w:type="dxa" w:w="90"/>
              <w:bottom w:type="dxa" w:w="60"/>
              <w:right w:type="dxa" w:w="90"/>
            </w:tcMar>
          </w:tcPr>
          <w:p>
            <w:pPr>
              <w:spacing w:after="0"/>
            </w:pPr>
            <w:r>
              <w:rPr>
                <w:sz w:val="19"/>
                <w:szCs w:val="19"/>
              </w:rPr>
              <w:t xml:space="preserve">How hard a post landed </w:t>
            </w:r>
            <w:r>
              <w:rPr>
                <w:i/>
                <w:iCs/>
                <w:sz w:val="19"/>
                <w:szCs w:val="19"/>
              </w:rPr>
              <w:t xml:space="preserve">relative to what is normal on its own platform</w:t>
            </w:r>
          </w:p>
        </w:tc>
        <w:tc>
          <w:tcPr>
            <w:tcW w:type="dxa" w:w="1872"/>
            <w:tcMar>
              <w:top w:type="dxa" w:w="60"/>
              <w:left w:type="dxa" w:w="90"/>
              <w:bottom w:type="dxa" w:w="60"/>
              <w:right w:type="dxa" w:w="90"/>
            </w:tcMar>
          </w:tcPr>
          <w:p>
            <w:pPr>
              <w:spacing w:after="0"/>
            </w:pPr>
            <w:r>
              <w:rPr>
                <w:sz w:val="19"/>
                <w:szCs w:val="19"/>
              </w:rPr>
              <w:t xml:space="preserve">Bands: 0–20 background, 20–40 modest, 40–60 solid, 60–80 high, 80–100 exceptional. A high index on Discord and a high index on Twitch mean comparable things by design</w:t>
            </w:r>
          </w:p>
        </w:tc>
        <w:tc>
          <w:tcPr>
            <w:tcW w:type="dxa" w:w="1872"/>
            <w:tcMar>
              <w:top w:type="dxa" w:w="60"/>
              <w:left w:type="dxa" w:w="90"/>
              <w:bottom w:type="dxa" w:w="60"/>
              <w:right w:type="dxa" w:w="90"/>
            </w:tcMar>
          </w:tcPr>
          <w:p>
            <w:pPr>
              <w:spacing w:after="0"/>
            </w:pPr>
            <w:r>
              <w:rPr>
                <w:sz w:val="19"/>
                <w:szCs w:val="19"/>
              </w:rPr>
              <w:t xml:space="preserve">Not sentiment. An index of 90 can be 90 units of anger. Not a reach figure in absolute terms</w:t>
            </w:r>
          </w:p>
        </w:tc>
      </w:tr>
      <w:tr>
        <w:tc>
          <w:tcPr>
            <w:tcW w:type="dxa" w:w="1872"/>
            <w:tcMar>
              <w:top w:type="dxa" w:w="60"/>
              <w:left w:type="dxa" w:w="90"/>
              <w:bottom w:type="dxa" w:w="60"/>
              <w:right w:type="dxa" w:w="90"/>
            </w:tcMar>
          </w:tcPr>
          <w:p>
            <w:pPr>
              <w:spacing w:after="0"/>
            </w:pPr>
            <w:r>
              <w:rPr>
                <w:b/>
                <w:bCs/>
                <w:sz w:val="19"/>
                <w:szCs w:val="19"/>
              </w:rPr>
              <w:t xml:space="preserve">Record count</w:t>
            </w:r>
          </w:p>
        </w:tc>
        <w:tc>
          <w:tcPr>
            <w:tcW w:type="dxa" w:w="1872"/>
            <w:tcMar>
              <w:top w:type="dxa" w:w="60"/>
              <w:left w:type="dxa" w:w="90"/>
              <w:bottom w:type="dxa" w:w="60"/>
              <w:right w:type="dxa" w:w="90"/>
            </w:tcMar>
          </w:tcPr>
          <w:p>
            <w:pPr>
              <w:spacing w:after="0"/>
            </w:pPr>
            <w:r>
              <w:rPr>
                <w:sz w:val="19"/>
                <w:szCs w:val="19"/>
              </w:rPr>
              <w:t xml:space="preserve">Integer</w:t>
            </w:r>
          </w:p>
        </w:tc>
        <w:tc>
          <w:tcPr>
            <w:tcW w:type="dxa" w:w="1872"/>
            <w:tcMar>
              <w:top w:type="dxa" w:w="60"/>
              <w:left w:type="dxa" w:w="90"/>
              <w:bottom w:type="dxa" w:w="60"/>
              <w:right w:type="dxa" w:w="90"/>
            </w:tcMar>
          </w:tcPr>
          <w:p>
            <w:pPr>
              <w:spacing w:after="0"/>
            </w:pPr>
            <w:r>
              <w:rPr>
                <w:sz w:val="19"/>
                <w:szCs w:val="19"/>
              </w:rPr>
              <w:t xml:space="preserve">How much is being said</w:t>
            </w:r>
          </w:p>
        </w:tc>
        <w:tc>
          <w:tcPr>
            <w:tcW w:type="dxa" w:w="1872"/>
            <w:tcMar>
              <w:top w:type="dxa" w:w="60"/>
              <w:left w:type="dxa" w:w="90"/>
              <w:bottom w:type="dxa" w:w="60"/>
              <w:right w:type="dxa" w:w="90"/>
            </w:tcMar>
          </w:tcPr>
          <w:p>
            <w:pPr>
              <w:spacing w:after="0"/>
            </w:pPr>
            <w:r>
              <w:rPr>
                <w:sz w:val="19"/>
                <w:szCs w:val="19"/>
              </w:rPr>
              <w:t xml:space="preserve">Reported separately from the index on purpose. "How much is being said" and "how hard it lands" are different questions and a marketer needs both</w:t>
            </w:r>
          </w:p>
        </w:tc>
        <w:tc>
          <w:tcPr>
            <w:tcW w:type="dxa" w:w="1872"/>
            <w:tcMar>
              <w:top w:type="dxa" w:w="60"/>
              <w:left w:type="dxa" w:w="90"/>
              <w:bottom w:type="dxa" w:w="60"/>
              <w:right w:type="dxa" w:w="90"/>
            </w:tcMar>
          </w:tcPr>
          <w:p>
            <w:pPr>
              <w:spacing w:after="0"/>
            </w:pPr>
            <w:r>
              <w:rPr>
                <w:sz w:val="19"/>
                <w:szCs w:val="19"/>
              </w:rPr>
              <w:t xml:space="preserve">Not a measure of audience size. It reflects how much the tool collected, which is capped by configuration</w:t>
            </w:r>
          </w:p>
        </w:tc>
      </w:tr>
      <w:tr>
        <w:tc>
          <w:tcPr>
            <w:tcW w:type="dxa" w:w="1872"/>
            <w:tcMar>
              <w:top w:type="dxa" w:w="60"/>
              <w:left w:type="dxa" w:w="90"/>
              <w:bottom w:type="dxa" w:w="60"/>
              <w:right w:type="dxa" w:w="90"/>
            </w:tcMar>
          </w:tcPr>
          <w:p>
            <w:pPr>
              <w:spacing w:after="0"/>
            </w:pPr>
            <w:r>
              <w:rPr>
                <w:b/>
                <w:bCs/>
                <w:sz w:val="19"/>
                <w:szCs w:val="19"/>
              </w:rPr>
              <w:t xml:space="preserve">Theme</w:t>
            </w:r>
          </w:p>
        </w:tc>
        <w:tc>
          <w:tcPr>
            <w:tcW w:type="dxa" w:w="1872"/>
            <w:tcMar>
              <w:top w:type="dxa" w:w="60"/>
              <w:left w:type="dxa" w:w="90"/>
              <w:bottom w:type="dxa" w:w="60"/>
              <w:right w:type="dxa" w:w="90"/>
            </w:tcMar>
          </w:tcPr>
          <w:p>
            <w:pPr>
              <w:spacing w:after="0"/>
            </w:pPr>
            <w:r>
              <w:rPr>
                <w:sz w:val="19"/>
                <w:szCs w:val="19"/>
              </w:rPr>
              <w:t xml:space="preserve">One of seventeen controlled labels</w:t>
            </w:r>
          </w:p>
        </w:tc>
        <w:tc>
          <w:tcPr>
            <w:tcW w:type="dxa" w:w="1872"/>
            <w:tcMar>
              <w:top w:type="dxa" w:w="60"/>
              <w:left w:type="dxa" w:w="90"/>
              <w:bottom w:type="dxa" w:w="60"/>
              <w:right w:type="dxa" w:w="90"/>
            </w:tcMar>
          </w:tcPr>
          <w:p>
            <w:pPr>
              <w:spacing w:after="0"/>
            </w:pPr>
            <w:r>
              <w:rPr>
                <w:sz w:val="19"/>
                <w:szCs w:val="19"/>
              </w:rPr>
              <w:t xml:space="preserve">What a post is about, chosen from a fixed vocabulary so themes aggregate across five games and four platforms</w:t>
            </w:r>
          </w:p>
        </w:tc>
        <w:tc>
          <w:tcPr>
            <w:tcW w:type="dxa" w:w="1872"/>
            <w:tcMar>
              <w:top w:type="dxa" w:w="60"/>
              <w:left w:type="dxa" w:w="90"/>
              <w:bottom w:type="dxa" w:w="60"/>
              <w:right w:type="dxa" w:w="90"/>
            </w:tcMar>
          </w:tcPr>
          <w:p>
            <w:pPr>
              <w:spacing w:after="0"/>
            </w:pPr>
            <w:r>
              <w:rPr>
                <w:sz w:val="19"/>
                <w:szCs w:val="19"/>
              </w:rPr>
              <w:t xml:space="preserve">Read the negative share alongside the mean sentiment. A theme with 60 mentions at 55% negative is a different problem from one with 6 mentions at 100% negative</w:t>
            </w:r>
          </w:p>
        </w:tc>
        <w:tc>
          <w:tcPr>
            <w:tcW w:type="dxa" w:w="1872"/>
            <w:tcMar>
              <w:top w:type="dxa" w:w="60"/>
              <w:left w:type="dxa" w:w="90"/>
              <w:bottom w:type="dxa" w:w="60"/>
              <w:right w:type="dxa" w:w="90"/>
            </w:tcMar>
          </w:tcPr>
          <w:p>
            <w:pPr>
              <w:spacing w:after="0"/>
            </w:pPr>
            <w:r>
              <w:rPr>
                <w:sz w:val="19"/>
                <w:szCs w:val="19"/>
              </w:rPr>
              <w:t xml:space="preserve">Not a topic model. The vocabulary is fixed; genuinely novel topics land in "other"</w:t>
            </w:r>
          </w:p>
        </w:tc>
      </w:tr>
      <w:tr>
        <w:tc>
          <w:tcPr>
            <w:tcW w:type="dxa" w:w="1872"/>
            <w:tcMar>
              <w:top w:type="dxa" w:w="60"/>
              <w:left w:type="dxa" w:w="90"/>
              <w:bottom w:type="dxa" w:w="60"/>
              <w:right w:type="dxa" w:w="90"/>
            </w:tcMar>
          </w:tcPr>
          <w:p>
            <w:pPr>
              <w:spacing w:after="0"/>
            </w:pPr>
            <w:r>
              <w:rPr>
                <w:b/>
                <w:bCs/>
                <w:sz w:val="19"/>
                <w:szCs w:val="19"/>
              </w:rPr>
              <w:t xml:space="preserve">Publication region</w:t>
            </w:r>
          </w:p>
        </w:tc>
        <w:tc>
          <w:tcPr>
            <w:tcW w:type="dxa" w:w="1872"/>
            <w:tcMar>
              <w:top w:type="dxa" w:w="60"/>
              <w:left w:type="dxa" w:w="90"/>
              <w:bottom w:type="dxa" w:w="60"/>
              <w:right w:type="dxa" w:w="90"/>
            </w:tcMar>
          </w:tcPr>
          <w:p>
            <w:pPr>
              <w:spacing w:after="0"/>
            </w:pPr>
            <w:r>
              <w:rPr>
                <w:sz w:val="19"/>
                <w:szCs w:val="19"/>
              </w:rPr>
              <w:t xml:space="preserve">Americas / EMEA / APAC / Undetermined</w:t>
            </w:r>
          </w:p>
        </w:tc>
        <w:tc>
          <w:tcPr>
            <w:tcW w:type="dxa" w:w="1872"/>
            <w:tcMar>
              <w:top w:type="dxa" w:w="60"/>
              <w:left w:type="dxa" w:w="90"/>
              <w:bottom w:type="dxa" w:w="60"/>
              <w:right w:type="dxa" w:w="90"/>
            </w:tcMar>
          </w:tcPr>
          <w:p>
            <w:pPr>
              <w:spacing w:after="0"/>
            </w:pPr>
            <w:r>
              <w:rPr>
                <w:sz w:val="19"/>
                <w:szCs w:val="19"/>
              </w:rPr>
              <w:t xml:space="preserve">The region the </w:t>
            </w:r>
            <w:r>
              <w:rPr>
                <w:i/>
                <w:iCs/>
                <w:sz w:val="19"/>
                <w:szCs w:val="19"/>
              </w:rPr>
              <w:t xml:space="preserve">content</w:t>
            </w:r>
            <w:r>
              <w:rPr>
                <w:sz w:val="19"/>
                <w:szCs w:val="19"/>
              </w:rPr>
              <w:t xml:space="preserve"> was published in</w:t>
            </w:r>
          </w:p>
        </w:tc>
        <w:tc>
          <w:tcPr>
            <w:tcW w:type="dxa" w:w="1872"/>
            <w:tcMar>
              <w:top w:type="dxa" w:w="60"/>
              <w:left w:type="dxa" w:w="90"/>
              <w:bottom w:type="dxa" w:w="60"/>
              <w:right w:type="dxa" w:w="90"/>
            </w:tcMar>
          </w:tcPr>
          <w:p>
            <w:pPr>
              <w:spacing w:after="0"/>
            </w:pPr>
            <w:r>
              <w:rPr>
                <w:sz w:val="19"/>
                <w:szCs w:val="19"/>
              </w:rPr>
              <w:t xml:space="preserve">Check the "classified from" note under the region table — it lists how many records in the current view each signal decided. Channel country is strong; detected text language is weak</w:t>
            </w:r>
          </w:p>
        </w:tc>
        <w:tc>
          <w:tcPr>
            <w:tcW w:type="dxa" w:w="1872"/>
            <w:tcMar>
              <w:top w:type="dxa" w:w="60"/>
              <w:left w:type="dxa" w:w="90"/>
              <w:bottom w:type="dxa" w:w="60"/>
              <w:right w:type="dxa" w:w="90"/>
            </w:tcMar>
          </w:tcPr>
          <w:p>
            <w:pPr>
              <w:spacing w:after="0"/>
            </w:pPr>
            <w:r>
              <w:rPr>
                <w:sz w:val="19"/>
                <w:szCs w:val="19"/>
              </w:rPr>
              <w:t xml:space="preserve">Never the location of a commenter. No individual is geolocated at any point</w:t>
            </w:r>
          </w:p>
        </w:tc>
      </w:tr>
      <w:tr>
        <w:tc>
          <w:tcPr>
            <w:tcW w:type="dxa" w:w="1872"/>
            <w:tcMar>
              <w:top w:type="dxa" w:w="60"/>
              <w:left w:type="dxa" w:w="90"/>
              <w:bottom w:type="dxa" w:w="60"/>
              <w:right w:type="dxa" w:w="90"/>
            </w:tcMar>
          </w:tcPr>
          <w:p>
            <w:pPr>
              <w:spacing w:after="0"/>
            </w:pPr>
            <w:r>
              <w:rPr>
                <w:b/>
                <w:bCs/>
                <w:sz w:val="19"/>
                <w:szCs w:val="19"/>
              </w:rPr>
              <w:t xml:space="preserve">Spike</w:t>
            </w:r>
          </w:p>
        </w:tc>
        <w:tc>
          <w:tcPr>
            <w:tcW w:type="dxa" w:w="1872"/>
            <w:tcMar>
              <w:top w:type="dxa" w:w="60"/>
              <w:left w:type="dxa" w:w="90"/>
              <w:bottom w:type="dxa" w:w="60"/>
              <w:right w:type="dxa" w:w="90"/>
            </w:tcMar>
          </w:tcPr>
          <w:p>
            <w:pPr>
              <w:spacing w:after="0"/>
            </w:pPr>
            <w:r>
              <w:rPr>
                <w:sz w:val="19"/>
                <w:szCs w:val="19"/>
              </w:rPr>
              <w:t xml:space="preserve">Flagged time bucket</w:t>
            </w:r>
          </w:p>
        </w:tc>
        <w:tc>
          <w:tcPr>
            <w:tcW w:type="dxa" w:w="1872"/>
            <w:tcMar>
              <w:top w:type="dxa" w:w="60"/>
              <w:left w:type="dxa" w:w="90"/>
              <w:bottom w:type="dxa" w:w="60"/>
              <w:right w:type="dxa" w:w="90"/>
            </w:tcMar>
          </w:tcPr>
          <w:p>
            <w:pPr>
              <w:spacing w:after="0"/>
            </w:pPr>
            <w:r>
              <w:rPr>
                <w:sz w:val="19"/>
                <w:szCs w:val="19"/>
              </w:rPr>
              <w:t xml:space="preserve">A volume bucket that is a genuine statistical outlier against its own trailing baseline</w:t>
            </w:r>
          </w:p>
        </w:tc>
        <w:tc>
          <w:tcPr>
            <w:tcW w:type="dxa" w:w="1872"/>
            <w:tcMar>
              <w:top w:type="dxa" w:w="60"/>
              <w:left w:type="dxa" w:w="90"/>
              <w:bottom w:type="dxa" w:w="60"/>
              <w:right w:type="dxa" w:w="90"/>
            </w:tcMar>
          </w:tcPr>
          <w:p>
            <w:pPr>
              <w:spacing w:after="0"/>
            </w:pPr>
            <w:r>
              <w:rPr>
                <w:sz w:val="19"/>
                <w:szCs w:val="19"/>
              </w:rPr>
              <w:t xml:space="preserve">A spike is a prompt to read the posts in that bucket, not a finding in itself</w:t>
            </w:r>
          </w:p>
        </w:tc>
        <w:tc>
          <w:tcPr>
            <w:tcW w:type="dxa" w:w="1872"/>
            <w:tcMar>
              <w:top w:type="dxa" w:w="60"/>
              <w:left w:type="dxa" w:w="90"/>
              <w:bottom w:type="dxa" w:w="60"/>
              <w:right w:type="dxa" w:w="90"/>
            </w:tcMar>
          </w:tcPr>
          <w:p>
            <w:pPr>
              <w:spacing w:after="0"/>
            </w:pPr>
            <w:r>
              <w:rPr>
                <w:sz w:val="19"/>
                <w:szCs w:val="19"/>
              </w:rPr>
              <w:t xml:space="preserve">Not causal. The tool detects the spike; a human explains it</w:t>
            </w:r>
          </w:p>
        </w:tc>
      </w:tr>
      <w:tr>
        <w:tc>
          <w:tcPr>
            <w:tcW w:type="dxa" w:w="1872"/>
            <w:tcMar>
              <w:top w:type="dxa" w:w="60"/>
              <w:left w:type="dxa" w:w="90"/>
              <w:bottom w:type="dxa" w:w="60"/>
              <w:right w:type="dxa" w:w="90"/>
            </w:tcMar>
          </w:tcPr>
          <w:p>
            <w:pPr>
              <w:spacing w:after="0"/>
            </w:pPr>
            <w:r>
              <w:rPr>
                <w:b/>
                <w:bCs/>
                <w:sz w:val="19"/>
                <w:szCs w:val="19"/>
              </w:rPr>
              <w:t xml:space="preserve">Risk signal</w:t>
            </w:r>
          </w:p>
        </w:tc>
        <w:tc>
          <w:tcPr>
            <w:tcW w:type="dxa" w:w="1872"/>
            <w:tcMar>
              <w:top w:type="dxa" w:w="60"/>
              <w:left w:type="dxa" w:w="90"/>
              <w:bottom w:type="dxa" w:w="60"/>
              <w:right w:type="dxa" w:w="90"/>
            </w:tcMar>
          </w:tcPr>
          <w:p>
            <w:pPr>
              <w:spacing w:after="0"/>
            </w:pPr>
            <w:r>
              <w:rPr>
                <w:sz w:val="19"/>
                <w:szCs w:val="19"/>
              </w:rPr>
              <w:t xml:space="preserve">Severity 0–100</w:t>
            </w:r>
          </w:p>
        </w:tc>
        <w:tc>
          <w:tcPr>
            <w:tcW w:type="dxa" w:w="1872"/>
            <w:tcMar>
              <w:top w:type="dxa" w:w="60"/>
              <w:left w:type="dxa" w:w="90"/>
              <w:bottom w:type="dxa" w:w="60"/>
              <w:right w:type="dxa" w:w="90"/>
            </w:tcMar>
          </w:tcPr>
          <w:p>
            <w:pPr>
              <w:spacing w:after="0"/>
            </w:pPr>
            <w:r>
              <w:rPr>
                <w:sz w:val="19"/>
                <w:szCs w:val="19"/>
              </w:rPr>
              <w:t xml:space="preserve">Either a theme whose negative share has crossed a threshold, or posts the semantic layer flagged as escalation-worthy</w:t>
            </w:r>
          </w:p>
        </w:tc>
        <w:tc>
          <w:tcPr>
            <w:tcW w:type="dxa" w:w="1872"/>
            <w:tcMar>
              <w:top w:type="dxa" w:w="60"/>
              <w:left w:type="dxa" w:w="90"/>
              <w:bottom w:type="dxa" w:w="60"/>
              <w:right w:type="dxa" w:w="90"/>
            </w:tcMar>
          </w:tcPr>
          <w:p>
            <w:pPr>
              <w:spacing w:after="0"/>
            </w:pPr>
            <w:r>
              <w:rPr>
                <w:sz w:val="19"/>
                <w:szCs w:val="19"/>
              </w:rPr>
              <w:t xml:space="preserve">Rank by severity, then read the examples before acting</w:t>
            </w:r>
          </w:p>
        </w:tc>
        <w:tc>
          <w:tcPr>
            <w:tcW w:type="dxa" w:w="1872"/>
            <w:tcMar>
              <w:top w:type="dxa" w:w="60"/>
              <w:left w:type="dxa" w:w="90"/>
              <w:bottom w:type="dxa" w:w="60"/>
              <w:right w:type="dxa" w:w="90"/>
            </w:tcMar>
          </w:tcPr>
          <w:p>
            <w:pPr>
              <w:spacing w:after="0"/>
            </w:pPr>
            <w:r>
              <w:rPr>
                <w:sz w:val="19"/>
                <w:szCs w:val="19"/>
              </w:rPr>
              <w:t xml:space="preserve">Not a crisis alert. Nothing is pushed to anyone; someone has to open the dashboard</w:t>
            </w:r>
          </w:p>
        </w:tc>
      </w:tr>
      <w:tr>
        <w:tc>
          <w:tcPr>
            <w:tcW w:type="dxa" w:w="1872"/>
            <w:tcMar>
              <w:top w:type="dxa" w:w="60"/>
              <w:left w:type="dxa" w:w="90"/>
              <w:bottom w:type="dxa" w:w="60"/>
              <w:right w:type="dxa" w:w="90"/>
            </w:tcMar>
          </w:tcPr>
          <w:p>
            <w:pPr>
              <w:spacing w:after="0"/>
            </w:pPr>
            <w:r>
              <w:rPr>
                <w:b/>
                <w:bCs/>
                <w:sz w:val="19"/>
                <w:szCs w:val="19"/>
              </w:rPr>
              <w:t xml:space="preserve">Recurring question</w:t>
            </w:r>
          </w:p>
        </w:tc>
        <w:tc>
          <w:tcPr>
            <w:tcW w:type="dxa" w:w="1872"/>
            <w:tcMar>
              <w:top w:type="dxa" w:w="60"/>
              <w:left w:type="dxa" w:w="90"/>
              <w:bottom w:type="dxa" w:w="60"/>
              <w:right w:type="dxa" w:w="90"/>
            </w:tcMar>
          </w:tcPr>
          <w:p>
            <w:pPr>
              <w:spacing w:after="0"/>
            </w:pPr>
            <w:r>
              <w:rPr>
                <w:sz w:val="19"/>
                <w:szCs w:val="19"/>
              </w:rPr>
              <w:t xml:space="preserve">"Asked N×"</w:t>
            </w:r>
          </w:p>
        </w:tc>
        <w:tc>
          <w:tcPr>
            <w:tcW w:type="dxa" w:w="1872"/>
            <w:tcMar>
              <w:top w:type="dxa" w:w="60"/>
              <w:left w:type="dxa" w:w="90"/>
              <w:bottom w:type="dxa" w:w="60"/>
              <w:right w:type="dxa" w:w="90"/>
            </w:tcMar>
          </w:tcPr>
          <w:p>
            <w:pPr>
              <w:spacing w:after="0"/>
            </w:pPr>
            <w:r>
              <w:rPr>
                <w:sz w:val="19"/>
                <w:szCs w:val="19"/>
              </w:rPr>
              <w:t xml:space="preserve">A cluster of questions with high topical overlap — the same thing asked several ways</w:t>
            </w:r>
          </w:p>
        </w:tc>
        <w:tc>
          <w:tcPr>
            <w:tcW w:type="dxa" w:w="1872"/>
            <w:tcMar>
              <w:top w:type="dxa" w:w="60"/>
              <w:left w:type="dxa" w:w="90"/>
              <w:bottom w:type="dxa" w:w="60"/>
              <w:right w:type="dxa" w:w="90"/>
            </w:tcMar>
          </w:tcPr>
          <w:p>
            <w:pPr>
              <w:spacing w:after="0"/>
            </w:pPr>
            <w:r>
              <w:rPr>
                <w:sz w:val="19"/>
                <w:szCs w:val="19"/>
              </w:rPr>
              <w:t xml:space="preserve">N is the size of the cluster, not the number of distinct people. Treat it as a content shortlist</w:t>
            </w:r>
          </w:p>
        </w:tc>
        <w:tc>
          <w:tcPr>
            <w:tcW w:type="dxa" w:w="1872"/>
            <w:tcMar>
              <w:top w:type="dxa" w:w="60"/>
              <w:left w:type="dxa" w:w="90"/>
              <w:bottom w:type="dxa" w:w="60"/>
              <w:right w:type="dxa" w:w="90"/>
            </w:tcMar>
          </w:tcPr>
          <w:p>
            <w:pPr>
              <w:spacing w:after="0"/>
            </w:pPr>
            <w:r>
              <w:rPr>
                <w:sz w:val="19"/>
                <w:szCs w:val="19"/>
              </w:rPr>
              <w:t xml:space="preserve">Not a support ticket queue, and not deduplicated against your existing FAQ</w:t>
            </w:r>
          </w:p>
        </w:tc>
      </w:tr>
      <w:tr>
        <w:tc>
          <w:tcPr>
            <w:tcW w:type="dxa" w:w="1872"/>
            <w:tcMar>
              <w:top w:type="dxa" w:w="60"/>
              <w:left w:type="dxa" w:w="90"/>
              <w:bottom w:type="dxa" w:w="60"/>
              <w:right w:type="dxa" w:w="90"/>
            </w:tcMar>
          </w:tcPr>
          <w:p>
            <w:pPr>
              <w:spacing w:after="0"/>
            </w:pPr>
            <w:r>
              <w:rPr>
                <w:b/>
                <w:bCs/>
                <w:sz w:val="19"/>
                <w:szCs w:val="19"/>
              </w:rPr>
              <w:t xml:space="preserve">Day-over-day delta</w:t>
            </w:r>
          </w:p>
        </w:tc>
        <w:tc>
          <w:tcPr>
            <w:tcW w:type="dxa" w:w="1872"/>
            <w:tcMar>
              <w:top w:type="dxa" w:w="60"/>
              <w:left w:type="dxa" w:w="90"/>
              <w:bottom w:type="dxa" w:w="60"/>
              <w:right w:type="dxa" w:w="90"/>
            </w:tcMar>
          </w:tcPr>
          <w:p>
            <w:pPr>
              <w:spacing w:after="0"/>
            </w:pPr>
            <w:r>
              <w:rPr>
                <w:sz w:val="19"/>
                <w:szCs w:val="19"/>
              </w:rPr>
              <w:t xml:space="preserve">Signed change</w:t>
            </w:r>
          </w:p>
        </w:tc>
        <w:tc>
          <w:tcPr>
            <w:tcW w:type="dxa" w:w="1872"/>
            <w:tcMar>
              <w:top w:type="dxa" w:w="60"/>
              <w:left w:type="dxa" w:w="90"/>
              <w:bottom w:type="dxa" w:w="60"/>
              <w:right w:type="dxa" w:w="90"/>
            </w:tcMar>
          </w:tcPr>
          <w:p>
            <w:pPr>
              <w:spacing w:after="0"/>
            </w:pPr>
            <w:r>
              <w:rPr>
                <w:sz w:val="19"/>
                <w:szCs w:val="19"/>
              </w:rPr>
              <w:t xml:space="preserve">Movement against the most recent earlier stored snapshot</w:t>
            </w:r>
          </w:p>
        </w:tc>
        <w:tc>
          <w:tcPr>
            <w:tcW w:type="dxa" w:w="1872"/>
            <w:tcMar>
              <w:top w:type="dxa" w:w="60"/>
              <w:left w:type="dxa" w:w="90"/>
              <w:bottom w:type="dxa" w:w="60"/>
              <w:right w:type="dxa" w:w="90"/>
            </w:tcMar>
          </w:tcPr>
          <w:p>
            <w:pPr>
              <w:spacing w:after="0"/>
            </w:pPr>
            <w:r>
              <w:rPr>
                <w:sz w:val="19"/>
                <w:szCs w:val="19"/>
              </w:rPr>
              <w:t xml:space="preserve">Only meaningful once at least two days of snapshots exist; until then the panel says so rather than showing zeros</w:t>
            </w:r>
          </w:p>
        </w:tc>
        <w:tc>
          <w:tcPr>
            <w:tcW w:type="dxa" w:w="1872"/>
            <w:tcMar>
              <w:top w:type="dxa" w:w="60"/>
              <w:left w:type="dxa" w:w="90"/>
              <w:bottom w:type="dxa" w:w="60"/>
              <w:right w:type="dxa" w:w="90"/>
            </w:tcMar>
          </w:tcPr>
          <w:p>
            <w:pPr>
              <w:spacing w:after="0"/>
            </w:pPr>
            <w:r>
              <w:rPr>
                <w:sz w:val="19"/>
                <w:szCs w:val="19"/>
              </w:rPr>
              <w:t xml:space="preserve">Not a trend. Two points are not a trend line</w:t>
            </w:r>
          </w:p>
        </w:tc>
      </w:tr>
    </w:tbl>
    <w:p>
      <w:pPr>
        <w:spacing w:after="160"/>
      </w:pPr>
    </w:p>
    <w:p>
      <w:pPr>
        <w:pStyle w:val="Heading3"/>
        <w:spacing w:before="240" w:after="130"/>
      </w:pPr>
      <w:r>
        <w:t xml:space="preserve">3. The findings that survive, with confidence stated</w:t>
      </w:r>
    </w:p>
    <w:p>
      <w:pPr>
        <w:spacing w:after="150"/>
      </w:pPr>
      <w:r>
        <w:t xml:space="preserve">Three qualitative patterns from v1 are worth carrying forward. None of them depends on the discredited numbers — but each depends on it to a different degree, so each is labelled.</w:t>
      </w:r>
    </w:p>
    <w:p>
      <w:pPr>
        <w:pStyle w:val="Heading4"/>
        <w:spacing w:before="240" w:after="130"/>
      </w:pPr>
      <w:r>
        <w:t xml:space="preserve">3.1 Discussion volume clusters around studio-driven announcements, not organically</w:t>
      </w:r>
    </w:p>
    <w:p>
      <w:pPr>
        <w:spacing w:after="150"/>
      </w:pPr>
      <w:r>
        <w:rPr>
          <w:b/>
          <w:bCs/>
        </w:rPr>
        <w:t xml:space="preserve">Confidence: moderate — externally supported, not yet evidenced by this tool's own data.</w:t>
      </w:r>
    </w:p>
    <w:p>
      <w:pPr>
        <w:spacing w:after="150"/>
      </w:pPr>
      <w:r>
        <w:t xml:space="preserve">The claim is that these communities are reactive: volume spikes around trailers, patches, season reveals and launch-date announcements rather than rising and falling on their own. If true, it is good news for campaign timing, because it means a publisher largely controls when its community is loudest.</w:t>
      </w:r>
    </w:p>
    <w:p>
      <w:pPr>
        <w:spacing w:after="150"/>
      </w:pPr>
      <w:r>
        <w:t xml:space="preserve">The honest position on the evidence is this. In v1 the "spikes" in the Reddit and Discord data were </w:t>
      </w:r>
      <w:r>
        <w:rPr>
          <w:i/>
          <w:iCs/>
        </w:rPr>
        <w:t xml:space="preserve">placed there by the data generator</w:t>
      </w:r>
      <w:r>
        <w:t xml:space="preserve"> — a deliberate volume cluster was written into each game's synthetic timeline to show what a spike would look like on the chart. Citing that as evidence would be circular. The pattern is nonetheless well supported from outside this dataset: </w:t>
      </w:r>
      <w:r>
        <w:rPr>
          <w:color w:val="8A2B6B"/>
          <w:sz w:val="19"/>
          <w:szCs w:val="19"/>
          <w:rFonts w:ascii="Consolas" w:cs="Consolas" w:eastAsia="Consolas" w:hAnsi="Consolas"/>
        </w:rPr>
        <w:t xml:space="preserve">PLATFORM_LANDSCAPE.md</w:t>
      </w:r>
      <w:r>
        <w:t xml:space="preserve"> documents Twitch Drops campaigns moving a category from 29,000 to 210,000 hours watched in a day, and the Helldivers 2 PSN episode in which a single announcement produced 330,000 negative Steam reviews inside three days.</w:t>
      </w:r>
    </w:p>
    <w:p>
      <w:pPr>
        <w:spacing w:after="150"/>
      </w:pPr>
      <w:r>
        <w:rPr>
          <w:b/>
          <w:bCs/>
        </w:rPr>
        <w:t xml:space="preserve">What is new is that v2 can now test it.</w:t>
      </w:r>
      <w:r>
        <w:t xml:space="preserve"> Spike detection is genuinely computed: for each time bucket the tool takes the mean and standard deviation of the preceding six buckets and flags the point when it sits at least two standard deviations above that baseline </w:t>
      </w:r>
      <w:r>
        <w:rPr>
          <w:i/>
          <w:iCs/>
        </w:rPr>
        <w:t xml:space="preserve">and</w:t>
      </w:r>
      <w:r>
        <w:t xml:space="preserve"> at least 1.5 times the baseline mean, with a minimum of three records so a quiet stretch cannot make a one-record bump look dramatic. Run the tool across a real content calendar for a month and the pattern is either there or it is not.</w:t>
      </w:r>
    </w:p>
    <w:p>
      <w:pPr>
        <w:pStyle w:val="Heading4"/>
        <w:spacing w:before="240" w:after="130"/>
      </w:pPr>
      <w:r>
        <w:t xml:space="preserve">3.2 The four platforms carry systematically different tone, for structural reasons</w:t>
      </w:r>
    </w:p>
    <w:p>
      <w:pPr>
        <w:spacing w:after="150"/>
      </w:pPr>
      <w:r>
        <w:rPr>
          <w:b/>
          <w:bCs/>
        </w:rPr>
        <w:t xml:space="preserve">Confidence: high on the mechanism, low on any specific number.</w:t>
      </w:r>
    </w:p>
    <w:p>
      <w:pPr>
        <w:spacing w:after="150"/>
      </w:pPr>
      <w:r>
        <w:t xml:space="preserve">The mechanisms are properties of the platforms rather than of any dataset, and they are documented with sources in </w:t>
      </w:r>
      <w:r>
        <w:rPr>
          <w:color w:val="8A2B6B"/>
          <w:sz w:val="19"/>
          <w:szCs w:val="19"/>
          <w:rFonts w:ascii="Consolas" w:cs="Consolas" w:eastAsia="Consolas" w:hAnsi="Consolas"/>
        </w:rPr>
        <w:t xml:space="preserve">PLATFORM_LANDSCAPE.md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2937" w:val="clear"/>
            <w:tcMar>
              <w:top w:type="dxa" w:w="60"/>
              <w:left w:type="dxa" w:w="90"/>
              <w:bottom w:type="dxa" w:w="60"/>
              <w:right w:type="dxa" w:w="90"/>
            </w:tcMar>
          </w:tcPr>
          <w:p>
            <w:pPr>
              <w:spacing w:after="0"/>
            </w:pPr>
            <w:r>
              <w:rPr>
                <w:b/>
                <w:bCs/>
                <w:color w:val="FFFFFF"/>
                <w:sz w:val="19"/>
                <w:szCs w:val="19"/>
              </w:rPr>
              <w:t xml:space="preserve">Platform</w:t>
            </w:r>
          </w:p>
        </w:tc>
        <w:tc>
          <w:tcPr>
            <w:tcW w:type="dxa" w:w="3120"/>
            <w:shd w:fill="1F2937" w:val="clear"/>
            <w:tcMar>
              <w:top w:type="dxa" w:w="60"/>
              <w:left w:type="dxa" w:w="90"/>
              <w:bottom w:type="dxa" w:w="60"/>
              <w:right w:type="dxa" w:w="90"/>
            </w:tcMar>
          </w:tcPr>
          <w:p>
            <w:pPr>
              <w:spacing w:after="0"/>
            </w:pPr>
            <w:r>
              <w:rPr>
                <w:b/>
                <w:bCs/>
                <w:color w:val="FFFFFF"/>
                <w:sz w:val="19"/>
                <w:szCs w:val="19"/>
              </w:rPr>
              <w:t xml:space="preserve">Structural bias</w:t>
            </w:r>
          </w:p>
        </w:tc>
        <w:tc>
          <w:tcPr>
            <w:tcW w:type="dxa" w:w="3120"/>
            <w:shd w:fill="1F2937" w:val="clear"/>
            <w:tcMar>
              <w:top w:type="dxa" w:w="60"/>
              <w:left w:type="dxa" w:w="90"/>
              <w:bottom w:type="dxa" w:w="60"/>
              <w:right w:type="dxa" w:w="90"/>
            </w:tcMar>
          </w:tcPr>
          <w:p>
            <w:pPr>
              <w:spacing w:after="0"/>
            </w:pPr>
            <w:r>
              <w:rPr>
                <w:b/>
                <w:bCs/>
                <w:color w:val="FFFFFF"/>
                <w:sz w:val="19"/>
                <w:szCs w:val="19"/>
              </w:rPr>
              <w:t xml:space="preserve">Consequence for reading the dashboard</w:t>
            </w:r>
          </w:p>
        </w:tc>
      </w:tr>
      <w:tr>
        <w:tc>
          <w:tcPr>
            <w:tcW w:type="dxa" w:w="3120"/>
            <w:tcMar>
              <w:top w:type="dxa" w:w="60"/>
              <w:left w:type="dxa" w:w="90"/>
              <w:bottom w:type="dxa" w:w="60"/>
              <w:right w:type="dxa" w:w="90"/>
            </w:tcMar>
          </w:tcPr>
          <w:p>
            <w:pPr>
              <w:spacing w:after="0"/>
            </w:pPr>
            <w:r>
              <w:rPr>
                <w:b/>
                <w:bCs/>
                <w:sz w:val="19"/>
                <w:szCs w:val="19"/>
              </w:rPr>
              <w:t xml:space="preserve">YouTube</w:t>
            </w:r>
          </w:p>
        </w:tc>
        <w:tc>
          <w:tcPr>
            <w:tcW w:type="dxa" w:w="3120"/>
            <w:tcMar>
              <w:top w:type="dxa" w:w="60"/>
              <w:left w:type="dxa" w:w="90"/>
              <w:bottom w:type="dxa" w:w="60"/>
              <w:right w:type="dxa" w:w="90"/>
            </w:tcMar>
          </w:tcPr>
          <w:p>
            <w:pPr>
              <w:spacing w:after="0"/>
            </w:pPr>
            <w:r>
              <w:rPr>
                <w:sz w:val="19"/>
                <w:szCs w:val="19"/>
              </w:rPr>
              <w:t xml:space="preserve">The audience self-selected by clicking a trailer, and the dislike count has been private since November 2021</w:t>
            </w:r>
          </w:p>
        </w:tc>
        <w:tc>
          <w:tcPr>
            <w:tcW w:type="dxa" w:w="3120"/>
            <w:tcMar>
              <w:top w:type="dxa" w:w="60"/>
              <w:left w:type="dxa" w:w="90"/>
              <w:bottom w:type="dxa" w:w="60"/>
              <w:right w:type="dxa" w:w="90"/>
            </w:tcMar>
          </w:tcPr>
          <w:p>
            <w:pPr>
              <w:spacing w:after="0"/>
            </w:pPr>
            <w:r>
              <w:rPr>
                <w:sz w:val="19"/>
                <w:szCs w:val="19"/>
              </w:rPr>
              <w:t xml:space="preserve">Skews positive, and the negative half of the signal is structurally missing from the ratios. Sentiment must come from comment </w:t>
            </w:r>
            <w:r>
              <w:rPr>
                <w:i/>
                <w:iCs/>
                <w:sz w:val="19"/>
                <w:szCs w:val="19"/>
              </w:rPr>
              <w:t xml:space="preserve">text</w:t>
            </w:r>
          </w:p>
        </w:tc>
      </w:tr>
      <w:tr>
        <w:tc>
          <w:tcPr>
            <w:tcW w:type="dxa" w:w="3120"/>
            <w:tcMar>
              <w:top w:type="dxa" w:w="60"/>
              <w:left w:type="dxa" w:w="90"/>
              <w:bottom w:type="dxa" w:w="60"/>
              <w:right w:type="dxa" w:w="90"/>
            </w:tcMar>
          </w:tcPr>
          <w:p>
            <w:pPr>
              <w:spacing w:after="0"/>
            </w:pPr>
            <w:r>
              <w:rPr>
                <w:b/>
                <w:bCs/>
                <w:sz w:val="19"/>
                <w:szCs w:val="19"/>
              </w:rPr>
              <w:t xml:space="preserve">Reddit</w:t>
            </w:r>
          </w:p>
        </w:tc>
        <w:tc>
          <w:tcPr>
            <w:tcW w:type="dxa" w:w="3120"/>
            <w:tcMar>
              <w:top w:type="dxa" w:w="60"/>
              <w:left w:type="dxa" w:w="90"/>
              <w:bottom w:type="dxa" w:w="60"/>
              <w:right w:type="dxa" w:w="90"/>
            </w:tcMar>
          </w:tcPr>
          <w:p>
            <w:pPr>
              <w:spacing w:after="0"/>
            </w:pPr>
            <w:r>
              <w:rPr>
                <w:sz w:val="19"/>
                <w:szCs w:val="19"/>
              </w:rPr>
              <w:t xml:space="preserve">The format rewards the sharpest dissenting take; complaint threads out-earn praise threads; score is net of downvotes</w:t>
            </w:r>
          </w:p>
        </w:tc>
        <w:tc>
          <w:tcPr>
            <w:tcW w:type="dxa" w:w="3120"/>
            <w:tcMar>
              <w:top w:type="dxa" w:w="60"/>
              <w:left w:type="dxa" w:w="90"/>
              <w:bottom w:type="dxa" w:w="60"/>
              <w:right w:type="dxa" w:w="90"/>
            </w:tcMar>
          </w:tcPr>
          <w:p>
            <w:pPr>
              <w:spacing w:after="0"/>
            </w:pPr>
            <w:r>
              <w:rPr>
                <w:sz w:val="19"/>
                <w:szCs w:val="19"/>
              </w:rPr>
              <w:t xml:space="preserve">Skews critical. A rising comment-to-upvote ratio is an argument starting, not enthusiasm</w:t>
            </w:r>
          </w:p>
        </w:tc>
      </w:tr>
      <w:tr>
        <w:tc>
          <w:tcPr>
            <w:tcW w:type="dxa" w:w="3120"/>
            <w:tcMar>
              <w:top w:type="dxa" w:w="60"/>
              <w:left w:type="dxa" w:w="90"/>
              <w:bottom w:type="dxa" w:w="60"/>
              <w:right w:type="dxa" w:w="90"/>
            </w:tcMar>
          </w:tcPr>
          <w:p>
            <w:pPr>
              <w:spacing w:after="0"/>
            </w:pPr>
            <w:r>
              <w:rPr>
                <w:b/>
                <w:bCs/>
                <w:sz w:val="19"/>
                <w:szCs w:val="19"/>
              </w:rPr>
              <w:t xml:space="preserve">Discord</w:t>
            </w:r>
          </w:p>
        </w:tc>
        <w:tc>
          <w:tcPr>
            <w:tcW w:type="dxa" w:w="3120"/>
            <w:tcMar>
              <w:top w:type="dxa" w:w="60"/>
              <w:left w:type="dxa" w:w="90"/>
              <w:bottom w:type="dxa" w:w="60"/>
              <w:right w:type="dxa" w:w="90"/>
            </w:tcMar>
          </w:tcPr>
          <w:p>
            <w:pPr>
              <w:spacing w:after="0"/>
            </w:pPr>
            <w:r>
              <w:rPr>
                <w:sz w:val="19"/>
                <w:szCs w:val="19"/>
              </w:rPr>
              <w:t xml:space="preserve">No like button; reacting requires already being in the server, in that channel, at that moment; messages are short and full of in-jokes</w:t>
            </w:r>
          </w:p>
        </w:tc>
        <w:tc>
          <w:tcPr>
            <w:tcW w:type="dxa" w:w="3120"/>
            <w:tcMar>
              <w:top w:type="dxa" w:w="60"/>
              <w:left w:type="dxa" w:w="90"/>
              <w:bottom w:type="dxa" w:w="60"/>
              <w:right w:type="dxa" w:w="90"/>
            </w:tcMar>
          </w:tcPr>
          <w:p>
            <w:pPr>
              <w:spacing w:after="0"/>
            </w:pPr>
            <w:r>
              <w:rPr>
                <w:sz w:val="19"/>
                <w:szCs w:val="19"/>
              </w:rPr>
              <w:t xml:space="preserve">Reactions are expensive and therefore meaningful, but the text is the hardest of the four for any scorer to read</w:t>
            </w:r>
          </w:p>
        </w:tc>
      </w:tr>
      <w:tr>
        <w:tc>
          <w:tcPr>
            <w:tcW w:type="dxa" w:w="3120"/>
            <w:tcMar>
              <w:top w:type="dxa" w:w="60"/>
              <w:left w:type="dxa" w:w="90"/>
              <w:bottom w:type="dxa" w:w="60"/>
              <w:right w:type="dxa" w:w="90"/>
            </w:tcMar>
          </w:tcPr>
          <w:p>
            <w:pPr>
              <w:spacing w:after="0"/>
            </w:pPr>
            <w:r>
              <w:rPr>
                <w:b/>
                <w:bCs/>
                <w:sz w:val="19"/>
                <w:szCs w:val="19"/>
              </w:rPr>
              <w:t xml:space="preserve">Twitch</w:t>
            </w:r>
          </w:p>
        </w:tc>
        <w:tc>
          <w:tcPr>
            <w:tcW w:type="dxa" w:w="3120"/>
            <w:tcMar>
              <w:top w:type="dxa" w:w="60"/>
              <w:left w:type="dxa" w:w="90"/>
              <w:bottom w:type="dxa" w:w="60"/>
              <w:right w:type="dxa" w:w="90"/>
            </w:tcMar>
          </w:tcPr>
          <w:p>
            <w:pPr>
              <w:spacing w:after="0"/>
            </w:pPr>
            <w:r>
              <w:rPr>
                <w:sz w:val="19"/>
                <w:szCs w:val="19"/>
              </w:rPr>
              <w:t xml:space="preserve">Clip titles are written by streamers to attract clicks</w:t>
            </w:r>
          </w:p>
        </w:tc>
        <w:tc>
          <w:tcPr>
            <w:tcW w:type="dxa" w:w="3120"/>
            <w:tcMar>
              <w:top w:type="dxa" w:w="60"/>
              <w:left w:type="dxa" w:w="90"/>
              <w:bottom w:type="dxa" w:w="60"/>
              <w:right w:type="dxa" w:w="90"/>
            </w:tcMar>
          </w:tcPr>
          <w:p>
            <w:pPr>
              <w:spacing w:after="0"/>
            </w:pPr>
            <w:r>
              <w:rPr>
                <w:sz w:val="19"/>
                <w:szCs w:val="19"/>
              </w:rPr>
              <w:t xml:space="preserve">Clip titles are promotional copy, not player opinion. This is a genuine measurement problem, discussed under Limitations</w:t>
            </w:r>
          </w:p>
        </w:tc>
      </w:tr>
    </w:tbl>
    <w:p>
      <w:pPr>
        <w:spacing w:after="160"/>
      </w:pPr>
    </w:p>
    <w:p>
      <w:pPr>
        <w:spacing w:after="150"/>
      </w:pPr>
      <w:r>
        <w:t xml:space="preserve">In v1, YouTube came out most positive, Discord second and Reddit closest to neutral. That ordering is consistent with the mechanisms above — but it is not evidence </w:t>
      </w:r>
      <w:r>
        <w:rPr>
          <w:i/>
          <w:iCs/>
        </w:rPr>
        <w:t xml:space="preserve">for</w:t>
      </w:r>
      <w:r>
        <w:t xml:space="preserve"> them, because only the YouTube portion was observed data and the Reddit and Discord portions were generated. </w:t>
      </w:r>
      <w:r>
        <w:rPr>
          <w:b/>
          <w:bCs/>
        </w:rPr>
        <w:t xml:space="preserve">Treat the direction as a prior worth carrying into a live run; treat the v1 figures as worthless.</w:t>
      </w:r>
      <w:r>
        <w:t xml:space="preserve"> The practical instruction stands regardless: compare each platform against its own trailing baseline, never against another platform's absolute score.</w:t>
      </w:r>
    </w:p>
    <w:p>
      <w:pPr>
        <w:pStyle w:val="Heading4"/>
        <w:spacing w:before="240" w:after="130"/>
      </w:pPr>
      <w:r>
        <w:t xml:space="preserve">3.3 Communities ask the same three categories of question, everywhere</w:t>
      </w:r>
    </w:p>
    <w:p>
      <w:pPr>
        <w:spacing w:after="150"/>
      </w:pPr>
      <w:r>
        <w:rPr>
          <w:b/>
          <w:bCs/>
        </w:rPr>
        <w:t xml:space="preserve">Confidence: moderate on the categories, zero on the counts.</w:t>
      </w:r>
    </w:p>
    <w:p>
      <w:pPr>
        <w:spacing w:after="150"/>
      </w:pPr>
      <w:r>
        <w:t xml:space="preserve">The three archetypes are "is this worth it", "how do I get started", and "what is the fastest way to X". They recur across genres and across platforms, and they are the single most directly actionable output this tool produces, because each one is a finished brief for an FAQ post, a pinned dev response or a creator-partnered guide.</w:t>
      </w:r>
    </w:p>
    <w:p>
      <w:pPr>
        <w:spacing w:after="150"/>
      </w:pPr>
      <w:r>
        <w:t xml:space="preserve">The counts from v1 must be discarded, and the reason is worth stating precisely because it is a good illustration of how synthetic data misleads. The sample contains </w:t>
      </w:r>
      <w:r>
        <w:rPr>
          <w:b/>
          <w:bCs/>
        </w:rPr>
        <w:t xml:space="preserve">452 rows drawn from only 63 distinct text strings</w:t>
      </w:r>
      <w:r>
        <w:t xml:space="preserve">. Of those, 46 rows end in a question mark — but they represent just </w:t>
      </w:r>
      <w:r>
        <w:rPr>
          <w:b/>
          <w:bCs/>
        </w:rPr>
        <w:t xml:space="preserve">seven distinct questions</w:t>
      </w:r>
      <w:r>
        <w:t xml:space="preserve">. The sample's "recurring questions" recur </w:t>
      </w:r>
      <w:r>
        <w:rPr>
          <w:i/>
          <w:iCs/>
        </w:rPr>
        <w:t xml:space="preserve">by construction</w:t>
      </w:r>
      <w:r>
        <w:t xml:space="preserve">: the generator repeated a small pool of strings across games and dates. Any cluster size computed from it is an artefact of the generator's repetition rate, not a measurement of community behaviour.</w:t>
      </w:r>
    </w:p>
    <w:p>
      <w:pPr>
        <w:spacing w:after="150"/>
      </w:pPr>
      <w:r>
        <w:t xml:space="preserve">The categories themselves survive because they are independently supported. </w:t>
      </w:r>
      <w:r>
        <w:rPr>
          <w:color w:val="8A2B6B"/>
          <w:sz w:val="19"/>
          <w:szCs w:val="19"/>
          <w:rFonts w:ascii="Consolas" w:cs="Consolas" w:eastAsia="Consolas" w:hAnsi="Consolas"/>
        </w:rPr>
        <w:t xml:space="preserve">PLATFORM_LANDSCAPE.md</w:t>
      </w:r>
      <w:r>
        <w:t xml:space="preserve"> records that Question was among the most-used flairs on both r/wow and r/MarvelRivals in a recent month, that "is it worth it in 2026" threads are a recognised Reddit archetype representing re-acquisition intent, and that tutorial comment Q&amp;A on YouTube is effectively a ranked list of friction points in a game.</w:t>
      </w:r>
    </w:p>
    <w:p>
      <w:pPr>
        <w:spacing w:after="150"/>
      </w:pPr>
      <w:r>
        <w:rPr>
          <w:b/>
          <w:bCs/>
        </w:rPr>
        <w:t xml:space="preserve">What is new is that v2 clusters questions properly.</w:t>
      </w:r>
      <w:r>
        <w:t xml:space="preserve"> Where the semantic layer runs, a record counts as a question only if the model judges it to be a genuine, answerable one — not merely because the text ends in "?". The old trailing-question-mark test survives in two places and should be read as a weaker signal: on the sample rows, and on any run with no </w:t>
      </w:r>
      <w:r>
        <w:rPr>
          <w:color w:val="8A2B6B"/>
          <w:sz w:val="19"/>
          <w:szCs w:val="19"/>
          <w:rFonts w:ascii="Consolas" w:cs="Consolas" w:eastAsia="Consolas" w:hAnsi="Consolas"/>
        </w:rPr>
        <w:t xml:space="preserve">ANTHROPIC_API_KEY</w:t>
      </w:r>
      <w:r>
        <w:t xml:space="preserve">, where there is no semantic layer to ask. Questions are then clustered by topical overlap using a Jaccard similarity of 0.4 on stopword-stripped token sets, so "asked 11×" means eleven separate posts asking the same thing, however each was worded. On a live, semantically scored dataset that number is meaningful. On the sample, it is not.</w:t>
      </w:r>
    </w:p>
    <w:p>
      <w:pPr>
        <w:pStyle w:val="Heading3"/>
        <w:spacing w:before="240" w:after="130"/>
      </w:pPr>
      <w:r>
        <w:t xml:space="preserve">4. How to produce figures you can actually put in front of a client</w:t>
      </w:r>
    </w:p>
    <w:p>
      <w:pPr>
        <w:spacing w:after="150"/>
      </w:pPr>
      <w:r>
        <w:t xml:space="preserve">There are no fresh absolute figures in this report, on purpose. Producing them takes a live run:</w:t>
      </w:r>
    </w:p>
    <w:p>
      <w:pPr>
        <w:spacing w:after="70"/>
        <w:ind w:left="360" w:hanging="240"/>
      </w:pPr>
      <w:r>
        <w:rPr>
          <w:b/>
          <w:bCs/>
        </w:rPr>
        <w:t xml:space="preserve">1.  </w:t>
      </w:r>
      <w:r>
        <w:rPr>
          <w:b/>
          <w:bCs/>
        </w:rPr>
        <w:t xml:space="preserve">Configure credentials</w:t>
      </w:r>
      <w:r>
        <w:t xml:space="preserve"> for as many of the four platforms as RS can obtain — see </w:t>
      </w:r>
      <w:r>
        <w:rPr>
          <w:color w:val="8A2B6B"/>
          <w:sz w:val="19"/>
          <w:szCs w:val="19"/>
          <w:rFonts w:ascii="Consolas" w:cs="Consolas" w:eastAsia="Consolas" w:hAnsi="Consolas"/>
        </w:rPr>
        <w:t xml:space="preserve">server/.env.example</w:t>
      </w:r>
      <w:r>
        <w:t xml:space="preserve">. Each is independent; the tool runs with any subset.</w:t>
      </w:r>
    </w:p>
    <w:p>
      <w:pPr>
        <w:spacing w:after="70"/>
        <w:ind w:left="360" w:hanging="240"/>
      </w:pPr>
      <w:r>
        <w:rPr>
          <w:b/>
          <w:bCs/>
        </w:rPr>
        <w:t xml:space="preserve">2.  </w:t>
      </w:r>
      <w:r>
        <w:rPr>
          <w:b/>
          <w:bCs/>
        </w:rPr>
        <w:t xml:space="preserve">Set `DEMO_DATA=false`</w:t>
      </w:r>
      <w:r>
        <w:t xml:space="preserve"> so the illustrative sample is excluded entirely.</w:t>
      </w:r>
    </w:p>
    <w:p>
      <w:pPr>
        <w:spacing w:after="70"/>
        <w:ind w:left="360" w:hanging="240"/>
      </w:pPr>
      <w:r>
        <w:rPr>
          <w:b/>
          <w:bCs/>
        </w:rPr>
        <w:t xml:space="preserve">3.  </w:t>
      </w:r>
      <w:r>
        <w:rPr>
          <w:b/>
          <w:bCs/>
        </w:rPr>
        <w:t xml:space="preserve">Set `ANTHROPIC_API_KEY`</w:t>
      </w:r>
      <w:r>
        <w:t xml:space="preserve"> so sentiment is semantic rather than lexicon-based, and the briefing is written rather than assembled.</w:t>
      </w:r>
    </w:p>
    <w:p>
      <w:pPr>
        <w:spacing w:after="70"/>
        <w:ind w:left="360" w:hanging="240"/>
      </w:pPr>
      <w:r>
        <w:rPr>
          <w:b/>
          <w:bCs/>
        </w:rPr>
        <w:t xml:space="preserve">4.  </w:t>
      </w:r>
      <w:r>
        <w:rPr>
          <w:b/>
          <w:bCs/>
        </w:rPr>
        <w:t xml:space="preserve">Let it run for at least a fortnight</w:t>
      </w:r>
      <w:r>
        <w:t xml:space="preserve"> with snapshots persisted to durable storage, so the day-over-day deltas and the trailing baselines that spike detection needs have something to work with.</w:t>
      </w:r>
    </w:p>
    <w:p>
      <w:pPr>
        <w:spacing w:after="70"/>
        <w:ind w:left="360" w:hanging="240"/>
      </w:pPr>
      <w:r>
        <w:rPr>
          <w:b/>
          <w:bCs/>
        </w:rPr>
        <w:t xml:space="preserve">5.  </w:t>
      </w:r>
      <w:r>
        <w:rPr>
          <w:b/>
          <w:bCs/>
        </w:rPr>
        <w:t xml:space="preserve">Read the provenance banner and the source banner on every screenshot</w:t>
      </w:r>
      <w:r>
        <w:t xml:space="preserve"> before it goes into a deck. They state the sample share, which sources were live, when they were fetched, and which sentiment engine actually ran.</w:t>
      </w:r>
    </w:p>
    <w:p>
      <w:pPr>
        <w:spacing w:after="90"/>
      </w:pPr>
    </w:p>
    <w:p>
      <w:pPr>
        <w:spacing w:after="150"/>
      </w:pPr>
      <w:r>
        <w:t xml:space="preserve">Until that has happened, the defensible claim to a client is about the </w:t>
      </w:r>
      <w:r>
        <w:rPr>
          <w:i/>
          <w:iCs/>
        </w:rPr>
        <w:t xml:space="preserve">tool</w:t>
      </w:r>
      <w:r>
        <w:t xml:space="preserve">, not about the </w:t>
      </w:r>
      <w:r>
        <w:rPr>
          <w:i/>
          <w:iCs/>
        </w:rPr>
        <w:t xml:space="preserve">titles</w:t>
      </w:r>
      <w:r>
        <w:t xml:space="preserve">: "here is a working pipeline that will tell you X about your community", not "your community currently feels Y".</w:t>
      </w:r>
    </w:p>
    <w:p>
      <w:pPr>
        <w:pBdr>
          <w:bottom w:val="single" w:color="CCCCCC" w:sz="6" w:space="6"/>
        </w:pBdr>
        <w:spacing w:before="120" w:after="200"/>
      </w:pP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11827"/>
      <w:sz w:val="34"/>
      <w:szCs w:val="34"/>
    </w:rPr>
  </w:style>
  <w:style w:type="paragraph" w:styleId="Heading2">
    <w:name w:val="Heading 2"/>
    <w:basedOn w:val="Normal"/>
    <w:next w:val="Normal"/>
    <w:qFormat/>
    <w:rPr>
      <w:b/>
      <w:bCs/>
      <w:color w:val="1F2937"/>
      <w:sz w:val="27"/>
      <w:szCs w:val="27"/>
    </w:rPr>
  </w:style>
  <w:style w:type="paragraph" w:styleId="Heading3">
    <w:name w:val="Heading 3"/>
    <w:basedOn w:val="Normal"/>
    <w:next w:val="Normal"/>
    <w:qFormat/>
    <w:rPr>
      <w:b/>
      <w:bCs/>
      <w:color w:val="374151"/>
      <w:sz w:val="23"/>
      <w:szCs w:val="23"/>
    </w:rPr>
  </w:style>
  <w:style w:type="paragraph" w:styleId="Heading4">
    <w:name w:val="Heading 4"/>
    <w:basedOn w:val="Normal"/>
    <w:next w:val="Normal"/>
    <w:qFormat/>
    <w:rPr>
      <w:b/>
      <w:bCs/>
      <w:color w:val="4B5563"/>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2026-08-11T16:52:19.012Z</dcterms:created>
  <dcterms:modified xsi:type="dcterms:W3CDTF">2026-08-11T16:52:19.012Z</dcterms:modified>
</cp:coreProperties>
</file>

<file path=docProps/custom.xml><?xml version="1.0" encoding="utf-8"?>
<Properties xmlns="http://schemas.openxmlformats.org/officeDocument/2006/custom-properties" xmlns:vt="http://schemas.openxmlformats.org/officeDocument/2006/docPropsVTypes"/>
</file>