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60" w:after="130"/>
      </w:pPr>
      <w:r>
        <w:t xml:space="preserve">Recommendations for Marketing Use</w:t>
      </w:r>
    </w:p>
    <w:p>
      <w:pPr>
        <w:pStyle w:val="Heading3"/>
        <w:spacing w:before="240" w:after="130"/>
      </w:pPr>
      <w:r>
        <w:t xml:space="preserve">1. Where this tool earns its place inside a gaming marketing agency</w:t>
      </w:r>
    </w:p>
    <w:p>
      <w:pPr>
        <w:spacing w:after="150"/>
      </w:pPr>
      <w:r>
        <w:rPr>
          <w:b/>
          <w:bCs/>
        </w:rPr>
        <w:t xml:space="preserve">Content planning — the strongest use, available immediately.</w:t>
      </w:r>
      <w:r>
        <w:t xml:space="preserve"> The recurring-questions panel is a ready-made content shortlist. With </w:t>
      </w:r>
      <w:r>
        <w:rPr>
          <w:color w:val="8A2B6B"/>
          <w:sz w:val="19"/>
          <w:szCs w:val="19"/>
          <w:rFonts w:ascii="Consolas" w:cs="Consolas" w:eastAsia="Consolas" w:hAnsi="Consolas"/>
        </w:rPr>
        <w:t xml:space="preserve">ANTHROPIC_API_KEY</w:t>
      </w:r>
      <w:r>
        <w:t xml:space="preserve"> configured, questions are identified semantically and clustered by topic, so "asked 11×" means eleven separate posts asking the same thing rather than eleven strings that happen to end in a question mark. Without a key the trailing-question-mark test is all that is available and the panel is worth considerably less. Each cluster is a finished brief for an FAQ post, a pinned dev response, a creator-partnered guide or a short-form video. Run weekly, this turns "what should we make content about" from a guess into a data-backed list with a size attached to each item.</w:t>
      </w:r>
    </w:p>
    <w:p>
      <w:pPr>
        <w:spacing w:after="150"/>
      </w:pPr>
      <w:r>
        <w:rPr>
          <w:b/>
          <w:bCs/>
        </w:rPr>
        <w:t xml:space="preserve">Campaign research and baselining.</w:t>
      </w:r>
      <w:r>
        <w:t xml:space="preserve"> Before a launch, season or crossover, take a fortnight of daily snapshots to establish baseline sentiment, volume and Engagement Index for the community. Then measure the lift once the campaign lands. The snapshot store makes this possible for the first time. The Engagement Index makes it comparable across platforms — which the v1 metric did not.</w:t>
      </w:r>
    </w:p>
    <w:p>
      <w:pPr>
        <w:spacing w:after="150"/>
      </w:pPr>
      <w:r>
        <w:rPr>
          <w:b/>
          <w:bCs/>
        </w:rPr>
        <w:t xml:space="preserve">Early warning on community problems.</w:t>
      </w:r>
      <w:r>
        <w:t xml:space="preserve"> Theme-level sentiment plus the risk panel flags a monetisation backlash, a balance controversy or a technical failure while it is still a theme rather than a press story. </w:t>
      </w:r>
      <w:r>
        <w:rPr>
          <w:color w:val="8A2B6B"/>
          <w:sz w:val="19"/>
          <w:szCs w:val="19"/>
          <w:rFonts w:ascii="Consolas" w:cs="Consolas" w:eastAsia="Consolas" w:hAnsi="Consolas"/>
        </w:rPr>
        <w:t xml:space="preserve">PLATFORM_LANDSCAPE.md</w:t>
      </w:r>
      <w:r>
        <w:t xml:space="preserve"> makes the operational point: Discord gives the earliest warning and Reddit gives the loudest, and watching Discord message volume alongside Reddit comment velocity would have flagged the Helldivers 2 PSN episode within hours of the announcement. Note the honest limit — the tool surfaces this on a dashboard, it does not alert. Someone has to look.</w:t>
      </w:r>
    </w:p>
    <w:p>
      <w:pPr>
        <w:spacing w:after="150"/>
      </w:pPr>
      <w:r>
        <w:rPr>
          <w:b/>
          <w:bCs/>
        </w:rPr>
        <w:t xml:space="preserve">Portfolio and pitch work.</w:t>
      </w:r>
      <w:r>
        <w:t xml:space="preserve"> Running the same five metrics — sentiment, Engagement Index, themes, spikes, platform tone — across every title in a portfolio gives account teams a consistent way to characterise a community in a pitch or a quarterly review, without commissioning a bespoke study each time. Given RS's position between Eastern and Western markets, the publication-region split is the differentiating view here, with the caveat that global publisher channels currently collapse to one bucket.</w:t>
      </w:r>
    </w:p>
    <w:p>
      <w:pPr>
        <w:spacing w:after="150"/>
      </w:pPr>
      <w:r>
        <w:rPr>
          <w:b/>
          <w:bCs/>
        </w:rPr>
        <w:t xml:space="preserve">Cost positioning.</w:t>
      </w:r>
      <w:r>
        <w:t xml:space="preserve"> As </w:t>
      </w:r>
      <w:r>
        <w:rPr>
          <w:color w:val="8A2B6B"/>
          <w:sz w:val="19"/>
          <w:szCs w:val="19"/>
          <w:rFonts w:ascii="Consolas" w:cs="Consolas" w:eastAsia="Consolas" w:hAnsi="Consolas"/>
        </w:rPr>
        <w:t xml:space="preserve">TOOL_LANDSCAPE.md</w:t>
      </w:r>
      <w:r>
        <w:t xml:space="preserve"> sets out, the market sells annual contracts with keyword and mention caps — Brand24's entry plan is three keywords and 2,000 mentions a month; enterprise suites run into tens of thousands a year. This tool costs API quota plus LLM usage. That makes it the thing you point at a title </w:t>
      </w:r>
      <w:r>
        <w:rPr>
          <w:i/>
          <w:iCs/>
        </w:rPr>
        <w:t xml:space="preserve">before</w:t>
      </w:r>
      <w:r>
        <w:t xml:space="preserve"> anyone has approved a budget, which is precisely the moment an agency most needs a read.</w:t>
      </w:r>
    </w:p>
    <w:p>
      <w:pPr>
        <w:pStyle w:val="Heading3"/>
        <w:spacing w:before="240" w:after="130"/>
      </w:pPr>
      <w:r>
        <w:t xml:space="preserve">2. Where AI genuinely helps, and where it does not</w:t>
      </w:r>
    </w:p>
    <w:p>
      <w:pPr>
        <w:spacing w:after="150"/>
      </w:pPr>
      <w:r>
        <w:rPr>
          <w:b/>
          <w:bCs/>
        </w:rPr>
        <w:t xml:space="preserve">It genuinely helps with:</w:t>
      </w:r>
    </w:p>
    <w:p>
      <w:pPr>
        <w:pStyle w:val="ListParagraph"/>
        <w:numPr>
          <w:ilvl w:val="0"/>
          <w:numId w:val="1"/>
        </w:numPr>
        <w:spacing w:after="70"/>
      </w:pPr>
      <w:r>
        <w:t xml:space="preserve">Reading volume no human can. Theme assignment and question clustering across thousands of short posts scale in a way manual monitoring does not.</w:t>
      </w:r>
    </w:p>
    <w:p>
      <w:pPr>
        <w:pStyle w:val="ListParagraph"/>
        <w:numPr>
          <w:ilvl w:val="0"/>
          <w:numId w:val="1"/>
        </w:numPr>
        <w:spacing w:after="70"/>
      </w:pPr>
      <w:r>
        <w:t xml:space="preserve">Resolving meaning rather than matching words — sarcasm, negation, gaming slang and non-English text are exactly the cases a lexicon gets wrong, and they are common in this material.</w:t>
      </w:r>
    </w:p>
    <w:p>
      <w:pPr>
        <w:pStyle w:val="ListParagraph"/>
        <w:numPr>
          <w:ilvl w:val="0"/>
          <w:numId w:val="1"/>
        </w:numPr>
        <w:spacing w:after="70"/>
      </w:pPr>
      <w:r>
        <w:t xml:space="preserve">Translating figures into a judgement. The daily brief does the "which three things changed and what do I do about them" step that dashboards traditionally leave to a human at 9am. </w:t>
      </w:r>
      <w:r>
        <w:rPr>
          <w:color w:val="8A2B6B"/>
          <w:sz w:val="19"/>
          <w:szCs w:val="19"/>
          <w:rFonts w:ascii="Consolas" w:cs="Consolas" w:eastAsia="Consolas" w:hAnsi="Consolas"/>
        </w:rPr>
        <w:t xml:space="preserve">TOOL_LANDSCAPE.md</w:t>
      </w:r>
      <w:r>
        <w:t xml:space="preserve"> identifies this as the clearest gap in the incumbent products.</w:t>
      </w:r>
    </w:p>
    <w:p>
      <w:pPr>
        <w:pStyle w:val="ListParagraph"/>
        <w:numPr>
          <w:ilvl w:val="0"/>
          <w:numId w:val="1"/>
        </w:numPr>
        <w:spacing w:after="70"/>
      </w:pPr>
      <w:r>
        <w:t xml:space="preserve">Producing a structured, searchable, shareable artefact instead of a pile of screenshots.</w:t>
      </w:r>
    </w:p>
    <w:p>
      <w:pPr>
        <w:spacing w:after="90"/>
      </w:pPr>
    </w:p>
    <w:p>
      <w:pPr>
        <w:spacing w:after="150"/>
      </w:pPr>
      <w:r>
        <w:rPr>
          <w:b/>
          <w:bCs/>
        </w:rPr>
        <w:t xml:space="preserve">It does not help with:</w:t>
      </w:r>
    </w:p>
    <w:p>
      <w:pPr>
        <w:pStyle w:val="ListParagraph"/>
        <w:numPr>
          <w:ilvl w:val="0"/>
          <w:numId w:val="1"/>
        </w:numPr>
        <w:spacing w:after="70"/>
      </w:pPr>
      <w:r>
        <w:t xml:space="preserve">Accuracy you have not measured. Without a hand-labelled validation set, the sentiment engine's quality is an argument rather than a number — and for non-English text nobody has checked it at all.</w:t>
      </w:r>
    </w:p>
    <w:p>
      <w:pPr>
        <w:pStyle w:val="ListParagraph"/>
        <w:numPr>
          <w:ilvl w:val="0"/>
          <w:numId w:val="1"/>
        </w:numPr>
        <w:spacing w:after="70"/>
      </w:pPr>
      <w:r>
        <w:t xml:space="preserve">Explaining </w:t>
      </w:r>
      <w:r>
        <w:rPr>
          <w:i/>
          <w:iCs/>
        </w:rPr>
        <w:t xml:space="preserve">why</w:t>
      </w:r>
      <w:r>
        <w:t xml:space="preserve">. The tool detects a spike; a human explains what caused it. It flags a risk; a human decides the right response, the right voice and the right timing.</w:t>
      </w:r>
    </w:p>
    <w:p>
      <w:pPr>
        <w:pStyle w:val="ListParagraph"/>
        <w:numPr>
          <w:ilvl w:val="0"/>
          <w:numId w:val="1"/>
        </w:numPr>
        <w:spacing w:after="70"/>
      </w:pPr>
      <w:r>
        <w:t xml:space="preserve">Small samples. A handful of viral posts can swing a theme's mean sharply. Any figure below a few dozen records is noise.</w:t>
      </w:r>
    </w:p>
    <w:p>
      <w:pPr>
        <w:pStyle w:val="ListParagraph"/>
        <w:numPr>
          <w:ilvl w:val="0"/>
          <w:numId w:val="1"/>
        </w:numPr>
        <w:spacing w:after="70"/>
      </w:pPr>
      <w:r>
        <w:t xml:space="preserve">Anything that needs to be right rather than roughly right. A human should sanity-check every sentiment-driven claim before it enters a client-facing deck.</w:t>
      </w:r>
    </w:p>
    <w:p>
      <w:pPr>
        <w:spacing w:after="90"/>
      </w:pPr>
    </w:p>
    <w:p>
      <w:pPr>
        <w:pStyle w:val="Heading3"/>
        <w:spacing w:before="240" w:after="130"/>
      </w:pPr>
      <w:r>
        <w:t xml:space="preserve">3. The roadmap</w:t>
      </w:r>
    </w:p>
    <w:p>
      <w:pPr>
        <w:spacing w:after="150"/>
      </w:pPr>
      <w:r>
        <w:rPr>
          <w:b/>
          <w:bCs/>
        </w:rPr>
        <w:t xml:space="preserve">Already delivered in v2 — do not re-scope these.</w:t>
      </w:r>
      <w:r>
        <w:t xml:space="preserve"> Official Reddit API access via OAuth. A permissioned Discord bot rather than scraping. Official YouTube Data API rather than browser capture. Twitch coverage, which was not in the original brief at all. Semantic NLP sentiment on a −100 to +100 scale with a documented fallback. A normalised, documented Engagement Index. Publication-region classification. Genuine spike detection, risk scoring and question clustering. Persisted daily snapshots and real deltas. An AI daily briefing. Global filters. Accessibility. Locally vendored charting.</w:t>
      </w:r>
    </w:p>
    <w:p>
      <w:pPr>
        <w:spacing w:after="150"/>
      </w:pPr>
      <w:r>
        <w:rPr>
          <w:b/>
          <w:bCs/>
        </w:rPr>
        <w:t xml:space="preserve">What genuinely remains.</w:t>
      </w:r>
      <w:r>
        <w:t xml:space="preserve"> In rough order of value per unit of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Item</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Why it matters</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Rough effort</w:t>
            </w:r>
          </w:p>
        </w:tc>
      </w:tr>
      <w:tr>
        <w:tc>
          <w:tcPr>
            <w:tcW w:type="dxa" w:w="2340"/>
            <w:tcMar>
              <w:top w:type="dxa" w:w="60"/>
              <w:left w:type="dxa" w:w="90"/>
              <w:bottom w:type="dxa" w:w="60"/>
              <w:right w:type="dxa" w:w="90"/>
            </w:tcMar>
          </w:tcPr>
          <w:p>
            <w:pPr>
              <w:spacing w:after="0"/>
            </w:pPr>
            <w:r>
              <w:rPr>
                <w:sz w:val="19"/>
                <w:szCs w:val="19"/>
              </w:rPr>
              <w:t xml:space="preserve">1</w:t>
            </w:r>
          </w:p>
        </w:tc>
        <w:tc>
          <w:tcPr>
            <w:tcW w:type="dxa" w:w="2340"/>
            <w:tcMar>
              <w:top w:type="dxa" w:w="60"/>
              <w:left w:type="dxa" w:w="90"/>
              <w:bottom w:type="dxa" w:w="60"/>
              <w:right w:type="dxa" w:w="90"/>
            </w:tcMar>
          </w:tcPr>
          <w:p>
            <w:pPr>
              <w:spacing w:after="0"/>
            </w:pPr>
            <w:r>
              <w:rPr>
                <w:b/>
                <w:bCs/>
                <w:sz w:val="19"/>
                <w:szCs w:val="19"/>
              </w:rPr>
              <w:t xml:space="preserve">Scheduled automatic collection</w:t>
            </w:r>
          </w:p>
        </w:tc>
        <w:tc>
          <w:tcPr>
            <w:tcW w:type="dxa" w:w="2340"/>
            <w:tcMar>
              <w:top w:type="dxa" w:w="60"/>
              <w:left w:type="dxa" w:w="90"/>
              <w:bottom w:type="dxa" w:w="60"/>
              <w:right w:type="dxa" w:w="90"/>
            </w:tcMar>
          </w:tcPr>
          <w:p>
            <w:pPr>
              <w:spacing w:after="0"/>
            </w:pPr>
            <w:r>
              <w:rPr>
                <w:sz w:val="19"/>
                <w:szCs w:val="19"/>
              </w:rPr>
              <w:t xml:space="preserve">Nothing runs unless someone opens the page. A daily cron writing a snapshot is what turns deltas, baselines and spike detection from theoretically-working into actually-useful. Everything else on this list is worth less without it</w:t>
            </w:r>
          </w:p>
        </w:tc>
        <w:tc>
          <w:tcPr>
            <w:tcW w:type="dxa" w:w="2340"/>
            <w:tcMar>
              <w:top w:type="dxa" w:w="60"/>
              <w:left w:type="dxa" w:w="90"/>
              <w:bottom w:type="dxa" w:w="60"/>
              <w:right w:type="dxa" w:w="90"/>
            </w:tcMar>
          </w:tcPr>
          <w:p>
            <w:pPr>
              <w:spacing w:after="0"/>
            </w:pPr>
            <w:r>
              <w:rPr>
                <w:sz w:val="19"/>
                <w:szCs w:val="19"/>
              </w:rPr>
              <w:t xml:space="preserve">Small — a scheduler and a durable </w:t>
            </w:r>
            <w:r>
              <w:rPr>
                <w:color w:val="8A2B6B"/>
                <w:sz w:val="19"/>
                <w:szCs w:val="19"/>
                <w:rFonts w:ascii="Consolas" w:cs="Consolas" w:eastAsia="Consolas" w:hAnsi="Consolas"/>
              </w:rPr>
              <w:t xml:space="preserve">SNAPSHOT_DIR</w:t>
            </w:r>
          </w:p>
        </w:tc>
      </w:tr>
      <w:tr>
        <w:tc>
          <w:tcPr>
            <w:tcW w:type="dxa" w:w="2340"/>
            <w:tcMar>
              <w:top w:type="dxa" w:w="60"/>
              <w:left w:type="dxa" w:w="90"/>
              <w:bottom w:type="dxa" w:w="60"/>
              <w:right w:type="dxa" w:w="90"/>
            </w:tcMar>
          </w:tcPr>
          <w:p>
            <w:pPr>
              <w:spacing w:after="0"/>
            </w:pPr>
            <w:r>
              <w:rPr>
                <w:sz w:val="19"/>
                <w:szCs w:val="19"/>
              </w:rPr>
              <w:t xml:space="preserve">2</w:t>
            </w:r>
          </w:p>
        </w:tc>
        <w:tc>
          <w:tcPr>
            <w:tcW w:type="dxa" w:w="2340"/>
            <w:tcMar>
              <w:top w:type="dxa" w:w="60"/>
              <w:left w:type="dxa" w:w="90"/>
              <w:bottom w:type="dxa" w:w="60"/>
              <w:right w:type="dxa" w:w="90"/>
            </w:tcMar>
          </w:tcPr>
          <w:p>
            <w:pPr>
              <w:spacing w:after="0"/>
            </w:pPr>
            <w:r>
              <w:rPr>
                <w:b/>
                <w:bCs/>
                <w:sz w:val="19"/>
                <w:szCs w:val="19"/>
              </w:rPr>
              <w:t xml:space="preserve">Alerting thresholds</w:t>
            </w:r>
          </w:p>
        </w:tc>
        <w:tc>
          <w:tcPr>
            <w:tcW w:type="dxa" w:w="2340"/>
            <w:tcMar>
              <w:top w:type="dxa" w:w="60"/>
              <w:left w:type="dxa" w:w="90"/>
              <w:bottom w:type="dxa" w:w="60"/>
              <w:right w:type="dxa" w:w="90"/>
            </w:tcMar>
          </w:tcPr>
          <w:p>
            <w:pPr>
              <w:spacing w:after="0"/>
            </w:pPr>
            <w:r>
              <w:rPr>
                <w:sz w:val="19"/>
                <w:szCs w:val="19"/>
              </w:rPr>
              <w:t xml:space="preserve">The tool detects risk; it cannot tell anyone. An email or Slack message when a theme's negative share crosses a threshold, when volume spikes, or when a game's sentiment drops more than N points day-over-day, turns community monitoring from something someone remembers to check into something proactive</w:t>
            </w:r>
          </w:p>
        </w:tc>
        <w:tc>
          <w:tcPr>
            <w:tcW w:type="dxa" w:w="2340"/>
            <w:tcMar>
              <w:top w:type="dxa" w:w="60"/>
              <w:left w:type="dxa" w:w="90"/>
              <w:bottom w:type="dxa" w:w="60"/>
              <w:right w:type="dxa" w:w="90"/>
            </w:tcMar>
          </w:tcPr>
          <w:p>
            <w:pPr>
              <w:spacing w:after="0"/>
            </w:pPr>
            <w:r>
              <w:rPr>
                <w:sz w:val="19"/>
                <w:szCs w:val="19"/>
              </w:rPr>
              <w:t xml:space="preserve">Small–medium; the detection logic already exists</w:t>
            </w:r>
          </w:p>
        </w:tc>
      </w:tr>
      <w:tr>
        <w:tc>
          <w:tcPr>
            <w:tcW w:type="dxa" w:w="2340"/>
            <w:tcMar>
              <w:top w:type="dxa" w:w="60"/>
              <w:left w:type="dxa" w:w="90"/>
              <w:bottom w:type="dxa" w:w="60"/>
              <w:right w:type="dxa" w:w="90"/>
            </w:tcMar>
          </w:tcPr>
          <w:p>
            <w:pPr>
              <w:spacing w:after="0"/>
            </w:pPr>
            <w:r>
              <w:rPr>
                <w:sz w:val="19"/>
                <w:szCs w:val="19"/>
              </w:rPr>
              <w:t xml:space="preserve">3</w:t>
            </w:r>
          </w:p>
        </w:tc>
        <w:tc>
          <w:tcPr>
            <w:tcW w:type="dxa" w:w="2340"/>
            <w:tcMar>
              <w:top w:type="dxa" w:w="60"/>
              <w:left w:type="dxa" w:w="90"/>
              <w:bottom w:type="dxa" w:w="60"/>
              <w:right w:type="dxa" w:w="90"/>
            </w:tcMar>
          </w:tcPr>
          <w:p>
            <w:pPr>
              <w:spacing w:after="0"/>
            </w:pPr>
            <w:r>
              <w:rPr>
                <w:b/>
                <w:bCs/>
                <w:sz w:val="19"/>
                <w:szCs w:val="19"/>
              </w:rPr>
              <w:t xml:space="preserve">A hand-labelled validation set</w:t>
            </w:r>
          </w:p>
        </w:tc>
        <w:tc>
          <w:tcPr>
            <w:tcW w:type="dxa" w:w="2340"/>
            <w:tcMar>
              <w:top w:type="dxa" w:w="60"/>
              <w:left w:type="dxa" w:w="90"/>
              <w:bottom w:type="dxa" w:w="60"/>
              <w:right w:type="dxa" w:w="90"/>
            </w:tcMar>
          </w:tcPr>
          <w:p>
            <w:pPr>
              <w:spacing w:after="0"/>
            </w:pPr>
            <w:r>
              <w:rPr>
                <w:sz w:val="19"/>
                <w:szCs w:val="19"/>
              </w:rPr>
              <w:t xml:space="preserve">200–300 records per community, labelled by a human, scored against the tool, reported as accuracy by platform and by language. This is the cheapest way to make sentiment figures defensible in a client deck — and, given RS's Chinese-market work, </w:t>
            </w:r>
            <w:r>
              <w:rPr>
                <w:b/>
                <w:bCs/>
                <w:sz w:val="19"/>
                <w:szCs w:val="19"/>
              </w:rPr>
              <w:t xml:space="preserve">it must include a non-English portion</w:t>
            </w:r>
            <w:r>
              <w:rPr>
                <w:sz w:val="19"/>
                <w:szCs w:val="19"/>
              </w:rPr>
              <w:t xml:space="preserve">. Until this exists, every sentiment figure needs a caveat</w:t>
            </w:r>
          </w:p>
        </w:tc>
        <w:tc>
          <w:tcPr>
            <w:tcW w:type="dxa" w:w="2340"/>
            <w:tcMar>
              <w:top w:type="dxa" w:w="60"/>
              <w:left w:type="dxa" w:w="90"/>
              <w:bottom w:type="dxa" w:w="60"/>
              <w:right w:type="dxa" w:w="90"/>
            </w:tcMar>
          </w:tcPr>
          <w:p>
            <w:pPr>
              <w:spacing w:after="0"/>
            </w:pPr>
            <w:r>
              <w:rPr>
                <w:sz w:val="19"/>
                <w:szCs w:val="19"/>
              </w:rPr>
              <w:t xml:space="preserve">Medium — mostly human time, and it only needs doing once per major model change</w:t>
            </w:r>
          </w:p>
        </w:tc>
      </w:tr>
      <w:tr>
        <w:tc>
          <w:tcPr>
            <w:tcW w:type="dxa" w:w="2340"/>
            <w:tcMar>
              <w:top w:type="dxa" w:w="60"/>
              <w:left w:type="dxa" w:w="90"/>
              <w:bottom w:type="dxa" w:w="60"/>
              <w:right w:type="dxa" w:w="90"/>
            </w:tcMar>
          </w:tcPr>
          <w:p>
            <w:pPr>
              <w:spacing w:after="0"/>
            </w:pPr>
            <w:r>
              <w:rPr>
                <w:sz w:val="19"/>
                <w:szCs w:val="19"/>
              </w:rPr>
              <w:t xml:space="preserve">4</w:t>
            </w:r>
          </w:p>
        </w:tc>
        <w:tc>
          <w:tcPr>
            <w:tcW w:type="dxa" w:w="2340"/>
            <w:tcMar>
              <w:top w:type="dxa" w:w="60"/>
              <w:left w:type="dxa" w:w="90"/>
              <w:bottom w:type="dxa" w:w="60"/>
              <w:right w:type="dxa" w:w="90"/>
            </w:tcMar>
          </w:tcPr>
          <w:p>
            <w:pPr>
              <w:spacing w:after="0"/>
            </w:pPr>
            <w:r>
              <w:rPr>
                <w:b/>
                <w:bCs/>
                <w:sz w:val="19"/>
                <w:szCs w:val="19"/>
              </w:rPr>
              <w:t xml:space="preserve">Regional sub-channel tracking</w:t>
            </w:r>
          </w:p>
        </w:tc>
        <w:tc>
          <w:tcPr>
            <w:tcW w:type="dxa" w:w="2340"/>
            <w:tcMar>
              <w:top w:type="dxa" w:w="60"/>
              <w:left w:type="dxa" w:w="90"/>
              <w:bottom w:type="dxa" w:w="60"/>
              <w:right w:type="dxa" w:w="90"/>
            </w:tcMar>
          </w:tcPr>
          <w:p>
            <w:pPr>
              <w:spacing w:after="0"/>
            </w:pPr>
            <w:r>
              <w:rPr>
                <w:sz w:val="19"/>
                <w:szCs w:val="19"/>
              </w:rPr>
              <w:t xml:space="preserve">Global publisher channels declare one country, so an entire catalogue lands in one region bucket. Adding regional YouTube channels, language-specific subreddits and regional Discord servers to the config — each with an explicit </w:t>
            </w:r>
            <w:r>
              <w:rPr>
                <w:color w:val="8A2B6B"/>
                <w:sz w:val="19"/>
                <w:szCs w:val="19"/>
                <w:rFonts w:ascii="Consolas" w:cs="Consolas" w:eastAsia="Consolas" w:hAnsi="Consolas"/>
              </w:rPr>
              <w:t xml:space="preserve">region</w:t>
            </w:r>
            <w:r>
              <w:rPr>
                <w:sz w:val="19"/>
                <w:szCs w:val="19"/>
              </w:rPr>
              <w:t xml:space="preserve"> where known — is what makes the regional split genuinely useful for an agency bridging two markets. The </w:t>
            </w:r>
            <w:r>
              <w:rPr>
                <w:color w:val="8A2B6B"/>
                <w:sz w:val="19"/>
                <w:szCs w:val="19"/>
                <w:rFonts w:ascii="Consolas" w:cs="Consolas" w:eastAsia="Consolas" w:hAnsi="Consolas"/>
              </w:rPr>
              <w:t xml:space="preserve">source_config</w:t>
            </w:r>
            <w:r>
              <w:rPr>
                <w:sz w:val="19"/>
                <w:szCs w:val="19"/>
              </w:rPr>
              <w:t xml:space="preserve"> signal already exists and is currently unused</w:t>
            </w:r>
          </w:p>
        </w:tc>
        <w:tc>
          <w:tcPr>
            <w:tcW w:type="dxa" w:w="2340"/>
            <w:tcMar>
              <w:top w:type="dxa" w:w="60"/>
              <w:left w:type="dxa" w:w="90"/>
              <w:bottom w:type="dxa" w:w="60"/>
              <w:right w:type="dxa" w:w="90"/>
            </w:tcMar>
          </w:tcPr>
          <w:p>
            <w:pPr>
              <w:spacing w:after="0"/>
            </w:pPr>
            <w:r>
              <w:rPr>
                <w:sz w:val="19"/>
                <w:szCs w:val="19"/>
              </w:rPr>
              <w:t xml:space="preserve">Medium — mostly research into which sources exist per title</w:t>
            </w:r>
          </w:p>
        </w:tc>
      </w:tr>
      <w:tr>
        <w:tc>
          <w:tcPr>
            <w:tcW w:type="dxa" w:w="2340"/>
            <w:tcMar>
              <w:top w:type="dxa" w:w="60"/>
              <w:left w:type="dxa" w:w="90"/>
              <w:bottom w:type="dxa" w:w="60"/>
              <w:right w:type="dxa" w:w="90"/>
            </w:tcMar>
          </w:tcPr>
          <w:p>
            <w:pPr>
              <w:spacing w:after="0"/>
            </w:pPr>
            <w:r>
              <w:rPr>
                <w:sz w:val="19"/>
                <w:szCs w:val="19"/>
              </w:rPr>
              <w:t xml:space="preserve">5</w:t>
            </w:r>
          </w:p>
        </w:tc>
        <w:tc>
          <w:tcPr>
            <w:tcW w:type="dxa" w:w="2340"/>
            <w:tcMar>
              <w:top w:type="dxa" w:w="60"/>
              <w:left w:type="dxa" w:w="90"/>
              <w:bottom w:type="dxa" w:w="60"/>
              <w:right w:type="dxa" w:w="90"/>
            </w:tcMar>
          </w:tcPr>
          <w:p>
            <w:pPr>
              <w:spacing w:after="0"/>
            </w:pPr>
            <w:r>
              <w:rPr>
                <w:b/>
                <w:bCs/>
                <w:sz w:val="19"/>
                <w:szCs w:val="19"/>
              </w:rPr>
              <w:t xml:space="preserve">Creator and influencer tracking</w:t>
            </w:r>
          </w:p>
        </w:tc>
        <w:tc>
          <w:tcPr>
            <w:tcW w:type="dxa" w:w="2340"/>
            <w:tcMar>
              <w:top w:type="dxa" w:w="60"/>
              <w:left w:type="dxa" w:w="90"/>
              <w:bottom w:type="dxa" w:w="60"/>
              <w:right w:type="dxa" w:w="90"/>
            </w:tcMar>
          </w:tcPr>
          <w:p>
            <w:pPr>
              <w:spacing w:after="0"/>
            </w:pPr>
            <w:r>
              <w:rPr>
                <w:sz w:val="19"/>
                <w:szCs w:val="19"/>
              </w:rPr>
              <w:t xml:space="preserve">The tool currently watches official publisher channels. A great deal of opinion formation happens on creator channels, and RS runs influencer campaigns. Tracking a configured set of creators per title — their videos, their comment sections, their Twitch clips — would connect community sentiment to the specific creators driving it</w:t>
            </w:r>
          </w:p>
        </w:tc>
        <w:tc>
          <w:tcPr>
            <w:tcW w:type="dxa" w:w="2340"/>
            <w:tcMar>
              <w:top w:type="dxa" w:w="60"/>
              <w:left w:type="dxa" w:w="90"/>
              <w:bottom w:type="dxa" w:w="60"/>
              <w:right w:type="dxa" w:w="90"/>
            </w:tcMar>
          </w:tcPr>
          <w:p>
            <w:pPr>
              <w:spacing w:after="0"/>
            </w:pPr>
            <w:r>
              <w:rPr>
                <w:sz w:val="19"/>
                <w:szCs w:val="19"/>
              </w:rPr>
              <w:t xml:space="preserve">Medium — on YouTube this is config only, since the collector already works from channel handles; Twitch would need a broadcaster-level clips call, which it currently does not have</w:t>
            </w:r>
          </w:p>
        </w:tc>
      </w:tr>
      <w:tr>
        <w:tc>
          <w:tcPr>
            <w:tcW w:type="dxa" w:w="2340"/>
            <w:tcMar>
              <w:top w:type="dxa" w:w="60"/>
              <w:left w:type="dxa" w:w="90"/>
              <w:bottom w:type="dxa" w:w="60"/>
              <w:right w:type="dxa" w:w="90"/>
            </w:tcMar>
          </w:tcPr>
          <w:p>
            <w:pPr>
              <w:spacing w:after="0"/>
            </w:pPr>
            <w:r>
              <w:rPr>
                <w:sz w:val="19"/>
                <w:szCs w:val="19"/>
              </w:rPr>
              <w:t xml:space="preserve">6</w:t>
            </w:r>
          </w:p>
        </w:tc>
        <w:tc>
          <w:tcPr>
            <w:tcW w:type="dxa" w:w="2340"/>
            <w:tcMar>
              <w:top w:type="dxa" w:w="60"/>
              <w:left w:type="dxa" w:w="90"/>
              <w:bottom w:type="dxa" w:w="60"/>
              <w:right w:type="dxa" w:w="90"/>
            </w:tcMar>
          </w:tcPr>
          <w:p>
            <w:pPr>
              <w:spacing w:after="0"/>
            </w:pPr>
            <w:r>
              <w:rPr>
                <w:b/>
                <w:bCs/>
                <w:sz w:val="19"/>
                <w:szCs w:val="19"/>
              </w:rPr>
              <w:t xml:space="preserve">Competitor comparison view</w:t>
            </w:r>
          </w:p>
        </w:tc>
        <w:tc>
          <w:tcPr>
            <w:tcW w:type="dxa" w:w="2340"/>
            <w:tcMar>
              <w:top w:type="dxa" w:w="60"/>
              <w:left w:type="dxa" w:w="90"/>
              <w:bottom w:type="dxa" w:w="60"/>
              <w:right w:type="dxa" w:w="90"/>
            </w:tcMar>
          </w:tcPr>
          <w:p>
            <w:pPr>
              <w:spacing w:after="0"/>
            </w:pPr>
            <w:r>
              <w:rPr>
                <w:sz w:val="19"/>
                <w:szCs w:val="19"/>
              </w:rPr>
              <w:t xml:space="preserve">Add competitor titles to the config and the same five metrics become a share-of-voice and relative-sentiment story. This is the view that sells work in a pitch, and it needs no new collection logic — only config and a comparison panel</w:t>
            </w:r>
          </w:p>
        </w:tc>
        <w:tc>
          <w:tcPr>
            <w:tcW w:type="dxa" w:w="2340"/>
            <w:tcMar>
              <w:top w:type="dxa" w:w="60"/>
              <w:left w:type="dxa" w:w="90"/>
              <w:bottom w:type="dxa" w:w="60"/>
              <w:right w:type="dxa" w:w="90"/>
            </w:tcMar>
          </w:tcPr>
          <w:p>
            <w:pPr>
              <w:spacing w:after="0"/>
            </w:pPr>
            <w:r>
              <w:rPr>
                <w:sz w:val="19"/>
                <w:szCs w:val="19"/>
              </w:rPr>
              <w:t xml:space="preserve">Medium</w:t>
            </w:r>
          </w:p>
        </w:tc>
      </w:tr>
      <w:tr>
        <w:tc>
          <w:tcPr>
            <w:tcW w:type="dxa" w:w="2340"/>
            <w:tcMar>
              <w:top w:type="dxa" w:w="60"/>
              <w:left w:type="dxa" w:w="90"/>
              <w:bottom w:type="dxa" w:w="60"/>
              <w:right w:type="dxa" w:w="90"/>
            </w:tcMar>
          </w:tcPr>
          <w:p>
            <w:pPr>
              <w:spacing w:after="0"/>
            </w:pPr>
            <w:r>
              <w:rPr>
                <w:sz w:val="19"/>
                <w:szCs w:val="19"/>
              </w:rPr>
              <w:t xml:space="preserve">7</w:t>
            </w:r>
          </w:p>
        </w:tc>
        <w:tc>
          <w:tcPr>
            <w:tcW w:type="dxa" w:w="2340"/>
            <w:tcMar>
              <w:top w:type="dxa" w:w="60"/>
              <w:left w:type="dxa" w:w="90"/>
              <w:bottom w:type="dxa" w:w="60"/>
              <w:right w:type="dxa" w:w="90"/>
            </w:tcMar>
          </w:tcPr>
          <w:p>
            <w:pPr>
              <w:spacing w:after="0"/>
            </w:pPr>
            <w:r>
              <w:rPr>
                <w:b/>
                <w:bCs/>
                <w:sz w:val="19"/>
                <w:szCs w:val="19"/>
              </w:rPr>
              <w:t xml:space="preserve">Export to deck</w:t>
            </w:r>
          </w:p>
        </w:tc>
        <w:tc>
          <w:tcPr>
            <w:tcW w:type="dxa" w:w="2340"/>
            <w:tcMar>
              <w:top w:type="dxa" w:w="60"/>
              <w:left w:type="dxa" w:w="90"/>
              <w:bottom w:type="dxa" w:w="60"/>
              <w:right w:type="dxa" w:w="90"/>
            </w:tcMar>
          </w:tcPr>
          <w:p>
            <w:pPr>
              <w:spacing w:after="0"/>
            </w:pPr>
            <w:r>
              <w:rPr>
                <w:sz w:val="19"/>
                <w:szCs w:val="19"/>
              </w:rPr>
              <w:t xml:space="preserve">Client-facing work ends in a slide. A one-click export of the briefing plus the headline charts, with the provenance and data-source notes carried through automatically, removes the manual screenshot step and — more importantly — makes it hard to accidentally present a figure without its caveat</w:t>
            </w:r>
          </w:p>
        </w:tc>
        <w:tc>
          <w:tcPr>
            <w:tcW w:type="dxa" w:w="2340"/>
            <w:tcMar>
              <w:top w:type="dxa" w:w="60"/>
              <w:left w:type="dxa" w:w="90"/>
              <w:bottom w:type="dxa" w:w="60"/>
              <w:right w:type="dxa" w:w="90"/>
            </w:tcMar>
          </w:tcPr>
          <w:p>
            <w:pPr>
              <w:spacing w:after="0"/>
            </w:pPr>
            <w:r>
              <w:rPr>
                <w:sz w:val="19"/>
                <w:szCs w:val="19"/>
              </w:rPr>
              <w:t xml:space="preserve">Medium</w:t>
            </w:r>
          </w:p>
        </w:tc>
      </w:tr>
    </w:tbl>
    <w:p>
      <w:pPr>
        <w:spacing w:after="160"/>
      </w:pPr>
    </w:p>
    <w:p>
      <w:pPr>
        <w:spacing w:after="150"/>
      </w:pPr>
      <w:r>
        <w:rPr>
          <w:b/>
          <w:bCs/>
        </w:rPr>
        <w:t xml:space="preserve">Two further items worth flagging, outside the seven.</w:t>
      </w:r>
      <w:r>
        <w:t xml:space="preserve"> First, </w:t>
      </w:r>
      <w:r>
        <w:rPr>
          <w:b/>
          <w:bCs/>
        </w:rPr>
        <w:t xml:space="preserve">a filtered briefing</w:t>
      </w:r>
      <w:r>
        <w:t xml:space="preserve">: the brief is currently written from the full dataset, so there is no way to get a written summary for a single title or a single week. Second, </w:t>
      </w:r>
      <w:r>
        <w:rPr>
          <w:b/>
          <w:bCs/>
        </w:rPr>
        <w:t xml:space="preserve">confidence-weighted aggregates</w:t>
      </w:r>
      <w:r>
        <w:t xml:space="preserve">: every record already carries a 0–1 confidence, but nothing uses it in the means. Weighting by confidence, or simply reporting the mean confidence alongside each figure, would make the low-signal records visible instead of silently equal.</w:t>
      </w:r>
    </w:p>
    <w:p>
      <w:pPr>
        <w:pStyle w:val="Heading3"/>
        <w:spacing w:before="240" w:after="130"/>
      </w:pPr>
      <w:r>
        <w:t xml:space="preserve">4. Suggested sequencing</w:t>
      </w:r>
    </w:p>
    <w:p>
      <w:pPr>
        <w:spacing w:after="150"/>
      </w:pPr>
      <w:r>
        <w:rPr>
          <w:b/>
          <w:bCs/>
        </w:rPr>
        <w:t xml:space="preserve">Weeks 1–2 — make it real.</w:t>
      </w:r>
      <w:r>
        <w:t xml:space="preserve"> Configure all four platforms with live credentials, set </w:t>
      </w:r>
      <w:r>
        <w:rPr>
          <w:color w:val="8A2B6B"/>
          <w:sz w:val="19"/>
          <w:szCs w:val="19"/>
          <w:rFonts w:ascii="Consolas" w:cs="Consolas" w:eastAsia="Consolas" w:hAnsi="Consolas"/>
        </w:rPr>
        <w:t xml:space="preserve">DEMO_DATA=false</w:t>
      </w:r>
      <w:r>
        <w:t xml:space="preserve">, point </w:t>
      </w:r>
      <w:r>
        <w:rPr>
          <w:color w:val="8A2B6B"/>
          <w:sz w:val="19"/>
          <w:szCs w:val="19"/>
          <w:rFonts w:ascii="Consolas" w:cs="Consolas" w:eastAsia="Consolas" w:hAnsi="Consolas"/>
        </w:rPr>
        <w:t xml:space="preserve">SNAPSHOT_DIR</w:t>
      </w:r>
      <w:r>
        <w:t xml:space="preserve"> at durable storage, and add scheduled daily collection. From that point the tool accumulates the history that everything else depends on.</w:t>
      </w:r>
    </w:p>
    <w:p>
      <w:pPr>
        <w:spacing w:after="150"/>
      </w:pPr>
      <w:r>
        <w:rPr>
          <w:b/>
          <w:bCs/>
        </w:rPr>
        <w:t xml:space="preserve">Weeks 3–4 — make it trustworthy.</w:t>
      </w:r>
      <w:r>
        <w:t xml:space="preserve"> Build the hand-labelled validation set, including a non-English portion, and publish the accuracy numbers alongside the tool. Re-tune the Engagement Index ceilings against RS's own campaign data so the index reflects RS's benchmarks rather than a reasonable guess.</w:t>
      </w:r>
    </w:p>
    <w:p>
      <w:pPr>
        <w:spacing w:after="150"/>
      </w:pPr>
      <w:r>
        <w:rPr>
          <w:b/>
          <w:bCs/>
        </w:rPr>
        <w:t xml:space="preserve">Weeks 5–8 — make it proactive and broader.</w:t>
      </w:r>
      <w:r>
        <w:t xml:space="preserve"> Add alerting thresholds. Expand the source config: regional sub-channels, real Discord communities in place of the test channel, creator channels, and one competitor title per tracked game.</w:t>
      </w:r>
    </w:p>
    <w:p>
      <w:pPr>
        <w:spacing w:after="150"/>
      </w:pPr>
      <w:r>
        <w:rPr>
          <w:b/>
          <w:bCs/>
        </w:rPr>
        <w:t xml:space="preserve">Then pilot it properly.</w:t>
      </w:r>
      <w:r>
        <w:t xml:space="preserve"> One real account team, one real title, four weeks, with a standing instruction to note every time the tool was wrong and every time it told them something they did not already know. That feedback should drive the next phase — including whether export-to-deck or competitor comparison is the more valuable next build.</w:t>
      </w:r>
    </w:p>
    <w:p>
      <w:pPr>
        <w:pBdr>
          <w:bottom w:val="single" w:color="CCCCCC" w:sz="6" w:space="6"/>
        </w:pBdr>
        <w:spacing w:before="120" w:after="200"/>
      </w:pPr>
    </w:p>
    <w:p>
      <w:pPr>
        <w:spacing w:after="150"/>
      </w:pPr>
      <w:r>
        <w:rPr>
          <w:i/>
          <w:iCs/>
        </w:rPr>
        <w:t xml:space="preserve">Version 2, August 2026. This report, the running dashboard in `server/`, `PLATFORM_LANDSCAPE.md`, `TOOL_LANDSCAPE.md` and `CLIENT_ANSWERS.md` together form the written deliverable for this placement. The complete source code is in this repository.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11827"/>
      <w:sz w:val="34"/>
      <w:szCs w:val="34"/>
    </w:rPr>
  </w:style>
  <w:style w:type="paragraph" w:styleId="Heading2">
    <w:name w:val="Heading 2"/>
    <w:basedOn w:val="Normal"/>
    <w:next w:val="Normal"/>
    <w:qFormat/>
    <w:rPr>
      <w:b/>
      <w:bCs/>
      <w:color w:val="1F2937"/>
      <w:sz w:val="27"/>
      <w:szCs w:val="27"/>
    </w:rPr>
  </w:style>
  <w:style w:type="paragraph" w:styleId="Heading3">
    <w:name w:val="Heading 3"/>
    <w:basedOn w:val="Normal"/>
    <w:next w:val="Normal"/>
    <w:qFormat/>
    <w:rPr>
      <w:b/>
      <w:bCs/>
      <w:color w:val="374151"/>
      <w:sz w:val="23"/>
      <w:szCs w:val="23"/>
    </w:rPr>
  </w:style>
  <w:style w:type="paragraph" w:styleId="Heading4">
    <w:name w:val="Heading 4"/>
    <w:basedOn w:val="Normal"/>
    <w:next w:val="Normal"/>
    <w:qFormat/>
    <w:rPr>
      <w:b/>
      <w:bCs/>
      <w:color w:val="4B556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2026-08-26T12:16:21.859Z</dcterms:created>
  <dcterms:modified xsi:type="dcterms:W3CDTF">2026-08-26T12:16:21.859Z</dcterms:modified>
</cp:coreProperties>
</file>

<file path=docProps/custom.xml><?xml version="1.0" encoding="utf-8"?>
<Properties xmlns="http://schemas.openxmlformats.org/officeDocument/2006/custom-properties" xmlns:vt="http://schemas.openxmlformats.org/officeDocument/2006/docPropsVTypes"/>
</file>