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91FAF">
      <w:pPr>
        <w:jc w:val="center"/>
      </w:pPr>
      <w:r>
        <w:rPr>
          <w:b/>
          <w:color w:val="17365D"/>
          <w:sz w:val="40"/>
        </w:rPr>
        <w:t>Phase</w:t>
      </w:r>
      <w:r>
        <w:rPr>
          <w:rFonts w:hint="default"/>
          <w:b/>
          <w:color w:val="17365D"/>
          <w:sz w:val="40"/>
          <w:lang w:val="en-US"/>
        </w:rPr>
        <w:t xml:space="preserve"> 1</w:t>
      </w:r>
      <w:r>
        <w:rPr>
          <w:b/>
          <w:color w:val="17365D"/>
          <w:sz w:val="40"/>
        </w:rPr>
        <w:t>— Brainstorming and Idea Prioritization</w:t>
      </w:r>
    </w:p>
    <w:p w14:paraId="4A84C66D">
      <w:pPr>
        <w:jc w:val="center"/>
      </w:pPr>
      <w:r>
        <w:rPr>
          <w:b/>
          <w:color w:val="0F9D9A"/>
          <w:sz w:val="26"/>
        </w:rPr>
        <w:t>Implement Client Script &amp; UI Policy (Incident)</w:t>
      </w:r>
    </w:p>
    <w:p w14:paraId="1C4FF6F9">
      <w:pPr>
        <w:jc w:val="center"/>
      </w:pPr>
      <w:r>
        <w:rPr>
          <w:i/>
        </w:rPr>
        <w:t>0</w:t>
      </w:r>
      <w:r>
        <w:rPr>
          <w:rFonts w:hint="default"/>
          <w:i/>
          <w:lang w:val="en-US"/>
        </w:rPr>
        <w:t>1</w:t>
      </w:r>
      <w:r>
        <w:rPr>
          <w:i/>
        </w:rPr>
        <w:t xml:space="preserve"> October 2026 | Phase 1 | </w:t>
      </w:r>
      <w:r>
        <w:rPr>
          <w:rFonts w:hint="default"/>
          <w:i/>
        </w:rPr>
        <w:t>SWTID-2026-4755</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26B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17365D"/>
            <w:vAlign w:val="center"/>
          </w:tcPr>
          <w:p w14:paraId="15EC9599">
            <w:pPr>
              <w:spacing w:after="0" w:line="240" w:lineRule="auto"/>
            </w:pPr>
            <w:r>
              <w:rPr>
                <w:b/>
                <w:color w:val="FFFFFF"/>
                <w:sz w:val="16"/>
              </w:rPr>
              <w:t>Field</w:t>
            </w:r>
          </w:p>
        </w:tc>
        <w:tc>
          <w:tcPr>
            <w:tcW w:w="5112" w:type="dxa"/>
            <w:shd w:val="clear" w:color="auto" w:fill="17365D"/>
            <w:vAlign w:val="center"/>
          </w:tcPr>
          <w:p w14:paraId="2B424D3E">
            <w:pPr>
              <w:spacing w:after="0" w:line="240" w:lineRule="auto"/>
            </w:pPr>
            <w:r>
              <w:rPr>
                <w:b/>
                <w:color w:val="FFFFFF"/>
                <w:sz w:val="16"/>
              </w:rPr>
              <w:t>Project value</w:t>
            </w:r>
          </w:p>
        </w:tc>
      </w:tr>
      <w:tr w14:paraId="51392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849962B">
            <w:pPr>
              <w:spacing w:after="0" w:line="240" w:lineRule="auto"/>
            </w:pPr>
            <w:r>
              <w:rPr>
                <w:b w:val="0"/>
                <w:sz w:val="14"/>
              </w:rPr>
              <w:t>Date</w:t>
            </w:r>
          </w:p>
        </w:tc>
        <w:tc>
          <w:tcPr>
            <w:tcW w:w="5112" w:type="dxa"/>
            <w:vAlign w:val="center"/>
          </w:tcPr>
          <w:p w14:paraId="3BB95FAB">
            <w:pPr>
              <w:spacing w:after="0" w:line="240" w:lineRule="auto"/>
            </w:pPr>
            <w:r>
              <w:rPr>
                <w:b w:val="0"/>
                <w:sz w:val="14"/>
              </w:rPr>
              <w:t>0</w:t>
            </w:r>
            <w:r>
              <w:rPr>
                <w:rFonts w:hint="default"/>
                <w:b w:val="0"/>
                <w:sz w:val="14"/>
                <w:lang w:val="en-US"/>
              </w:rPr>
              <w:t>1</w:t>
            </w:r>
            <w:r>
              <w:rPr>
                <w:b w:val="0"/>
                <w:sz w:val="14"/>
              </w:rPr>
              <w:t xml:space="preserve"> October 2026</w:t>
            </w:r>
          </w:p>
        </w:tc>
      </w:tr>
      <w:tr w14:paraId="3864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AEDC6F8">
            <w:pPr>
              <w:spacing w:after="0" w:line="240" w:lineRule="auto"/>
            </w:pPr>
            <w:r>
              <w:rPr>
                <w:b w:val="0"/>
                <w:sz w:val="14"/>
              </w:rPr>
              <w:t>Team ID</w:t>
            </w:r>
          </w:p>
        </w:tc>
        <w:tc>
          <w:tcPr>
            <w:tcW w:w="5112" w:type="dxa"/>
            <w:vAlign w:val="center"/>
          </w:tcPr>
          <w:p w14:paraId="449F4627">
            <w:pPr>
              <w:spacing w:after="0" w:line="240" w:lineRule="auto"/>
              <w:rPr>
                <w:sz w:val="15"/>
                <w:szCs w:val="15"/>
              </w:rPr>
            </w:pPr>
            <w:r>
              <w:rPr>
                <w:rFonts w:hint="default"/>
                <w:sz w:val="15"/>
                <w:szCs w:val="15"/>
              </w:rPr>
              <w:t>SWTID-2026-4755</w:t>
            </w:r>
          </w:p>
        </w:tc>
      </w:tr>
      <w:tr w14:paraId="1340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DFFE031">
            <w:pPr>
              <w:spacing w:after="0" w:line="240" w:lineRule="auto"/>
            </w:pPr>
            <w:r>
              <w:rPr>
                <w:b w:val="0"/>
                <w:sz w:val="14"/>
              </w:rPr>
              <w:t>Project Name</w:t>
            </w:r>
          </w:p>
        </w:tc>
        <w:tc>
          <w:tcPr>
            <w:tcW w:w="5112" w:type="dxa"/>
            <w:vAlign w:val="center"/>
          </w:tcPr>
          <w:p w14:paraId="73738E91">
            <w:pPr>
              <w:spacing w:after="0" w:line="240" w:lineRule="auto"/>
            </w:pPr>
            <w:r>
              <w:rPr>
                <w:b w:val="0"/>
                <w:sz w:val="14"/>
              </w:rPr>
              <w:t>Implement Client Script &amp; UI Policy (Incident)</w:t>
            </w:r>
          </w:p>
        </w:tc>
      </w:tr>
      <w:tr w14:paraId="587A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1D4290D">
            <w:pPr>
              <w:spacing w:after="0" w:line="240" w:lineRule="auto"/>
            </w:pPr>
            <w:r>
              <w:rPr>
                <w:b w:val="0"/>
                <w:sz w:val="14"/>
              </w:rPr>
              <w:t>Phase 1 focus</w:t>
            </w:r>
          </w:p>
        </w:tc>
        <w:tc>
          <w:tcPr>
            <w:tcW w:w="5112" w:type="dxa"/>
            <w:vAlign w:val="center"/>
          </w:tcPr>
          <w:p w14:paraId="4846164B">
            <w:pPr>
              <w:spacing w:after="0" w:line="240" w:lineRule="auto"/>
            </w:pPr>
            <w:r>
              <w:rPr>
                <w:b w:val="0"/>
                <w:sz w:val="14"/>
              </w:rPr>
              <w:t>Generate, compare, and prioritize solutions for Incident data quality</w:t>
            </w:r>
          </w:p>
        </w:tc>
      </w:tr>
    </w:tbl>
    <w:p w14:paraId="25831A01">
      <w:pPr>
        <w:spacing w:before="180" w:after="80"/>
      </w:pPr>
      <w:r>
        <w:rPr>
          <w:b/>
          <w:color w:val="17365D"/>
          <w:sz w:val="30"/>
        </w:rPr>
        <w:t>1. Project challenge used for ideation</w:t>
      </w:r>
    </w:p>
    <w:p w14:paraId="73D0D36F">
      <w:r>
        <w:t>Incident records must be complete and consistent for triage, routing, resolution, SLA compliance, and reporting. The supplied implementation project identifies a specific opportunity: enforce conditional field behavior and save-time validation directly in the ServiceNow Incident interface instead of relying only on user memory or manual review.</w:t>
      </w:r>
    </w:p>
    <w:p w14:paraId="5A90CAD7">
      <w:pPr>
        <w:spacing w:before="180" w:after="80"/>
      </w:pPr>
      <w:r>
        <w:rPr>
          <w:b/>
          <w:color w:val="17365D"/>
          <w:sz w:val="30"/>
        </w:rPr>
        <w:t>2. Brainstorming question</w:t>
      </w:r>
    </w:p>
    <w:p w14:paraId="07506A42">
      <w:r>
        <w:t>How might we help service desk agents create trustworthy high-impact Incidents quickly, while preventing incomplete ownership, inconsistent urgency, and unsafe direct State edits?</w:t>
      </w:r>
    </w:p>
    <w:p w14:paraId="3183B574">
      <w:pPr>
        <w:spacing w:before="180" w:after="80"/>
      </w:pPr>
      <w:r>
        <w:rPr>
          <w:b/>
          <w:color w:val="17365D"/>
          <w:sz w:val="30"/>
        </w:rPr>
        <w:t>3. Idea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F430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7365D"/>
            <w:vAlign w:val="center"/>
          </w:tcPr>
          <w:p w14:paraId="041FA663">
            <w:pPr>
              <w:spacing w:after="0" w:line="240" w:lineRule="auto"/>
            </w:pPr>
            <w:r>
              <w:rPr>
                <w:b/>
                <w:color w:val="FFFFFF"/>
                <w:sz w:val="16"/>
              </w:rPr>
              <w:t>ID</w:t>
            </w:r>
          </w:p>
        </w:tc>
        <w:tc>
          <w:tcPr>
            <w:tcW w:w="2556" w:type="dxa"/>
            <w:shd w:val="clear" w:color="auto" w:fill="17365D"/>
            <w:vAlign w:val="center"/>
          </w:tcPr>
          <w:p w14:paraId="5510EE9B">
            <w:pPr>
              <w:spacing w:after="0" w:line="240" w:lineRule="auto"/>
            </w:pPr>
            <w:r>
              <w:rPr>
                <w:b/>
                <w:color w:val="FFFFFF"/>
                <w:sz w:val="16"/>
              </w:rPr>
              <w:t>Idea</w:t>
            </w:r>
          </w:p>
        </w:tc>
        <w:tc>
          <w:tcPr>
            <w:tcW w:w="2556" w:type="dxa"/>
            <w:shd w:val="clear" w:color="auto" w:fill="17365D"/>
            <w:vAlign w:val="center"/>
          </w:tcPr>
          <w:p w14:paraId="7A21E677">
            <w:pPr>
              <w:spacing w:after="0" w:line="240" w:lineRule="auto"/>
            </w:pPr>
            <w:r>
              <w:rPr>
                <w:b/>
                <w:color w:val="FFFFFF"/>
                <w:sz w:val="16"/>
              </w:rPr>
              <w:t>User value</w:t>
            </w:r>
          </w:p>
        </w:tc>
        <w:tc>
          <w:tcPr>
            <w:tcW w:w="2556" w:type="dxa"/>
            <w:shd w:val="clear" w:color="auto" w:fill="17365D"/>
            <w:vAlign w:val="center"/>
          </w:tcPr>
          <w:p w14:paraId="1F6A2B01">
            <w:pPr>
              <w:spacing w:after="0" w:line="240" w:lineRule="auto"/>
            </w:pPr>
            <w:r>
              <w:rPr>
                <w:b/>
                <w:color w:val="FFFFFF"/>
                <w:sz w:val="16"/>
              </w:rPr>
              <w:t>Feasibility</w:t>
            </w:r>
          </w:p>
        </w:tc>
      </w:tr>
      <w:tr w14:paraId="471A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C95617">
            <w:pPr>
              <w:spacing w:after="0" w:line="240" w:lineRule="auto"/>
            </w:pPr>
            <w:r>
              <w:rPr>
                <w:b w:val="0"/>
                <w:sz w:val="14"/>
              </w:rPr>
              <w:t>I-01</w:t>
            </w:r>
          </w:p>
        </w:tc>
        <w:tc>
          <w:tcPr>
            <w:tcW w:w="2556" w:type="dxa"/>
            <w:vAlign w:val="center"/>
          </w:tcPr>
          <w:p w14:paraId="19BC900C">
            <w:pPr>
              <w:spacing w:after="0" w:line="240" w:lineRule="auto"/>
            </w:pPr>
            <w:r>
              <w:rPr>
                <w:b w:val="0"/>
                <w:sz w:val="14"/>
              </w:rPr>
              <w:t>High Impact Control UI Policy</w:t>
            </w:r>
          </w:p>
        </w:tc>
        <w:tc>
          <w:tcPr>
            <w:tcW w:w="2556" w:type="dxa"/>
            <w:vAlign w:val="center"/>
          </w:tcPr>
          <w:p w14:paraId="67A084CF">
            <w:pPr>
              <w:spacing w:after="0" w:line="240" w:lineRule="auto"/>
            </w:pPr>
            <w:r>
              <w:rPr>
                <w:b w:val="0"/>
                <w:sz w:val="14"/>
              </w:rPr>
              <w:t>Activates stronger controls only when Impact is 1 – High.</w:t>
            </w:r>
          </w:p>
        </w:tc>
        <w:tc>
          <w:tcPr>
            <w:tcW w:w="2556" w:type="dxa"/>
            <w:vAlign w:val="center"/>
          </w:tcPr>
          <w:p w14:paraId="3B6607CB">
            <w:pPr>
              <w:spacing w:after="0" w:line="240" w:lineRule="auto"/>
            </w:pPr>
            <w:r>
              <w:rPr>
                <w:b w:val="0"/>
                <w:sz w:val="14"/>
              </w:rPr>
              <w:t>High</w:t>
            </w:r>
          </w:p>
        </w:tc>
      </w:tr>
      <w:tr w14:paraId="7BC94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EB50EA0">
            <w:pPr>
              <w:spacing w:after="0" w:line="240" w:lineRule="auto"/>
            </w:pPr>
            <w:r>
              <w:rPr>
                <w:b w:val="0"/>
                <w:sz w:val="14"/>
              </w:rPr>
              <w:t>I-02</w:t>
            </w:r>
          </w:p>
        </w:tc>
        <w:tc>
          <w:tcPr>
            <w:tcW w:w="2556" w:type="dxa"/>
            <w:vAlign w:val="center"/>
          </w:tcPr>
          <w:p w14:paraId="14C4F887">
            <w:pPr>
              <w:spacing w:after="0" w:line="240" w:lineRule="auto"/>
            </w:pPr>
            <w:r>
              <w:rPr>
                <w:b w:val="0"/>
                <w:sz w:val="14"/>
              </w:rPr>
              <w:t>Automatic Urgency alignment</w:t>
            </w:r>
          </w:p>
        </w:tc>
        <w:tc>
          <w:tcPr>
            <w:tcW w:w="2556" w:type="dxa"/>
            <w:vAlign w:val="center"/>
          </w:tcPr>
          <w:p w14:paraId="3ED429DF">
            <w:pPr>
              <w:spacing w:after="0" w:line="240" w:lineRule="auto"/>
            </w:pPr>
            <w:r>
              <w:rPr>
                <w:b w:val="0"/>
                <w:sz w:val="14"/>
              </w:rPr>
              <w:t>Sets Urgency to High when Impact changes to High.</w:t>
            </w:r>
          </w:p>
        </w:tc>
        <w:tc>
          <w:tcPr>
            <w:tcW w:w="2556" w:type="dxa"/>
            <w:vAlign w:val="center"/>
          </w:tcPr>
          <w:p w14:paraId="0CBE3A24">
            <w:pPr>
              <w:spacing w:after="0" w:line="240" w:lineRule="auto"/>
            </w:pPr>
            <w:r>
              <w:rPr>
                <w:b w:val="0"/>
                <w:sz w:val="14"/>
              </w:rPr>
              <w:t>High</w:t>
            </w:r>
          </w:p>
        </w:tc>
      </w:tr>
      <w:tr w14:paraId="358A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02B2DDB">
            <w:pPr>
              <w:spacing w:after="0" w:line="240" w:lineRule="auto"/>
            </w:pPr>
            <w:r>
              <w:rPr>
                <w:b w:val="0"/>
                <w:sz w:val="14"/>
              </w:rPr>
              <w:t>I-03</w:t>
            </w:r>
          </w:p>
        </w:tc>
        <w:tc>
          <w:tcPr>
            <w:tcW w:w="2556" w:type="dxa"/>
            <w:vAlign w:val="center"/>
          </w:tcPr>
          <w:p w14:paraId="0EA801CA">
            <w:pPr>
              <w:spacing w:after="0" w:line="240" w:lineRule="auto"/>
            </w:pPr>
            <w:r>
              <w:rPr>
                <w:b w:val="0"/>
                <w:sz w:val="14"/>
              </w:rPr>
              <w:t>Save-time Assigned To validation</w:t>
            </w:r>
          </w:p>
        </w:tc>
        <w:tc>
          <w:tcPr>
            <w:tcW w:w="2556" w:type="dxa"/>
            <w:vAlign w:val="center"/>
          </w:tcPr>
          <w:p w14:paraId="4AEB1E90">
            <w:pPr>
              <w:spacing w:after="0" w:line="240" w:lineRule="auto"/>
            </w:pPr>
            <w:r>
              <w:rPr>
                <w:b w:val="0"/>
                <w:sz w:val="14"/>
              </w:rPr>
              <w:t>Prevents incomplete high-impact records from entering workflow.</w:t>
            </w:r>
          </w:p>
        </w:tc>
        <w:tc>
          <w:tcPr>
            <w:tcW w:w="2556" w:type="dxa"/>
            <w:vAlign w:val="center"/>
          </w:tcPr>
          <w:p w14:paraId="23EA312C">
            <w:pPr>
              <w:spacing w:after="0" w:line="240" w:lineRule="auto"/>
            </w:pPr>
            <w:r>
              <w:rPr>
                <w:b w:val="0"/>
                <w:sz w:val="14"/>
              </w:rPr>
              <w:t>High</w:t>
            </w:r>
          </w:p>
        </w:tc>
      </w:tr>
      <w:tr w14:paraId="6396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E226C18">
            <w:pPr>
              <w:spacing w:after="0" w:line="240" w:lineRule="auto"/>
            </w:pPr>
            <w:r>
              <w:rPr>
                <w:b w:val="0"/>
                <w:sz w:val="14"/>
              </w:rPr>
              <w:t>I-04</w:t>
            </w:r>
          </w:p>
        </w:tc>
        <w:tc>
          <w:tcPr>
            <w:tcW w:w="2556" w:type="dxa"/>
            <w:vAlign w:val="center"/>
          </w:tcPr>
          <w:p w14:paraId="69FD0CDD">
            <w:pPr>
              <w:spacing w:after="0" w:line="240" w:lineRule="auto"/>
            </w:pPr>
            <w:r>
              <w:rPr>
                <w:b w:val="0"/>
                <w:sz w:val="14"/>
              </w:rPr>
              <w:t>Block State list editing</w:t>
            </w:r>
          </w:p>
        </w:tc>
        <w:tc>
          <w:tcPr>
            <w:tcW w:w="2556" w:type="dxa"/>
            <w:vAlign w:val="center"/>
          </w:tcPr>
          <w:p w14:paraId="7D459A35">
            <w:pPr>
              <w:spacing w:after="0" w:line="240" w:lineRule="auto"/>
            </w:pPr>
            <w:r>
              <w:rPr>
                <w:b w:val="0"/>
                <w:sz w:val="14"/>
              </w:rPr>
              <w:t>Protects workflow transitions from context-free list edits.</w:t>
            </w:r>
          </w:p>
        </w:tc>
        <w:tc>
          <w:tcPr>
            <w:tcW w:w="2556" w:type="dxa"/>
            <w:vAlign w:val="center"/>
          </w:tcPr>
          <w:p w14:paraId="62187039">
            <w:pPr>
              <w:spacing w:after="0" w:line="240" w:lineRule="auto"/>
            </w:pPr>
            <w:r>
              <w:rPr>
                <w:b w:val="0"/>
                <w:sz w:val="14"/>
              </w:rPr>
              <w:t>High</w:t>
            </w:r>
          </w:p>
        </w:tc>
      </w:tr>
      <w:tr w14:paraId="630D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A559909">
            <w:pPr>
              <w:spacing w:after="0" w:line="240" w:lineRule="auto"/>
            </w:pPr>
            <w:r>
              <w:rPr>
                <w:b w:val="0"/>
                <w:sz w:val="14"/>
              </w:rPr>
              <w:t>I-05</w:t>
            </w:r>
          </w:p>
        </w:tc>
        <w:tc>
          <w:tcPr>
            <w:tcW w:w="2556" w:type="dxa"/>
            <w:vAlign w:val="center"/>
          </w:tcPr>
          <w:p w14:paraId="3D888CFF">
            <w:pPr>
              <w:spacing w:after="0" w:line="240" w:lineRule="auto"/>
            </w:pPr>
            <w:r>
              <w:rPr>
                <w:b w:val="0"/>
                <w:sz w:val="14"/>
              </w:rPr>
              <w:t>Incident quality checklist</w:t>
            </w:r>
          </w:p>
        </w:tc>
        <w:tc>
          <w:tcPr>
            <w:tcW w:w="2556" w:type="dxa"/>
            <w:vAlign w:val="center"/>
          </w:tcPr>
          <w:p w14:paraId="56CE8985">
            <w:pPr>
              <w:spacing w:after="0" w:line="240" w:lineRule="auto"/>
            </w:pPr>
            <w:r>
              <w:rPr>
                <w:b w:val="0"/>
                <w:sz w:val="14"/>
              </w:rPr>
              <w:t>Guides agents through Impact, group, owner, urgency, and State checks.</w:t>
            </w:r>
          </w:p>
        </w:tc>
        <w:tc>
          <w:tcPr>
            <w:tcW w:w="2556" w:type="dxa"/>
            <w:vAlign w:val="center"/>
          </w:tcPr>
          <w:p w14:paraId="3F99AF67">
            <w:pPr>
              <w:spacing w:after="0" w:line="240" w:lineRule="auto"/>
            </w:pPr>
            <w:r>
              <w:rPr>
                <w:b w:val="0"/>
                <w:sz w:val="14"/>
              </w:rPr>
              <w:t>Medium</w:t>
            </w:r>
          </w:p>
        </w:tc>
      </w:tr>
      <w:tr w14:paraId="4AAA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AD36DC6">
            <w:pPr>
              <w:spacing w:after="0" w:line="240" w:lineRule="auto"/>
            </w:pPr>
            <w:r>
              <w:rPr>
                <w:b w:val="0"/>
                <w:sz w:val="14"/>
              </w:rPr>
              <w:t>I-06</w:t>
            </w:r>
          </w:p>
        </w:tc>
        <w:tc>
          <w:tcPr>
            <w:tcW w:w="2556" w:type="dxa"/>
            <w:vAlign w:val="center"/>
          </w:tcPr>
          <w:p w14:paraId="17AAF668">
            <w:pPr>
              <w:spacing w:after="0" w:line="240" w:lineRule="auto"/>
            </w:pPr>
            <w:r>
              <w:rPr>
                <w:b w:val="0"/>
                <w:sz w:val="14"/>
              </w:rPr>
              <w:t>Server-side data policy extension</w:t>
            </w:r>
          </w:p>
        </w:tc>
        <w:tc>
          <w:tcPr>
            <w:tcW w:w="2556" w:type="dxa"/>
            <w:vAlign w:val="center"/>
          </w:tcPr>
          <w:p w14:paraId="54E8379A">
            <w:pPr>
              <w:spacing w:after="0" w:line="240" w:lineRule="auto"/>
            </w:pPr>
            <w:r>
              <w:rPr>
                <w:b w:val="0"/>
                <w:sz w:val="14"/>
              </w:rPr>
              <w:t>Adds integration/API protection beyond the client UI.</w:t>
            </w:r>
          </w:p>
        </w:tc>
        <w:tc>
          <w:tcPr>
            <w:tcW w:w="2556" w:type="dxa"/>
            <w:vAlign w:val="center"/>
          </w:tcPr>
          <w:p w14:paraId="3A35FE63">
            <w:pPr>
              <w:spacing w:after="0" w:line="240" w:lineRule="auto"/>
            </w:pPr>
            <w:r>
              <w:rPr>
                <w:b w:val="0"/>
                <w:sz w:val="14"/>
              </w:rPr>
              <w:t>Medium; follow-on</w:t>
            </w:r>
          </w:p>
        </w:tc>
      </w:tr>
      <w:tr w14:paraId="4286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B4DB3A2">
            <w:pPr>
              <w:spacing w:after="0" w:line="240" w:lineRule="auto"/>
            </w:pPr>
            <w:r>
              <w:rPr>
                <w:b w:val="0"/>
                <w:sz w:val="14"/>
              </w:rPr>
              <w:t>I-07</w:t>
            </w:r>
          </w:p>
        </w:tc>
        <w:tc>
          <w:tcPr>
            <w:tcW w:w="2556" w:type="dxa"/>
            <w:vAlign w:val="center"/>
          </w:tcPr>
          <w:p w14:paraId="5B344721">
            <w:pPr>
              <w:spacing w:after="0" w:line="240" w:lineRule="auto"/>
            </w:pPr>
            <w:r>
              <w:rPr>
                <w:b w:val="0"/>
                <w:sz w:val="14"/>
              </w:rPr>
              <w:t>Agent quality dashboard</w:t>
            </w:r>
          </w:p>
        </w:tc>
        <w:tc>
          <w:tcPr>
            <w:tcW w:w="2556" w:type="dxa"/>
            <w:vAlign w:val="center"/>
          </w:tcPr>
          <w:p w14:paraId="00D509BF">
            <w:pPr>
              <w:spacing w:after="0" w:line="240" w:lineRule="auto"/>
            </w:pPr>
            <w:r>
              <w:rPr>
                <w:b w:val="0"/>
                <w:sz w:val="14"/>
              </w:rPr>
              <w:t>Reports incomplete or corrected Incidents over time.</w:t>
            </w:r>
          </w:p>
        </w:tc>
        <w:tc>
          <w:tcPr>
            <w:tcW w:w="2556" w:type="dxa"/>
            <w:vAlign w:val="center"/>
          </w:tcPr>
          <w:p w14:paraId="7D52FC3B">
            <w:pPr>
              <w:spacing w:after="0" w:line="240" w:lineRule="auto"/>
            </w:pPr>
            <w:r>
              <w:rPr>
                <w:b w:val="0"/>
                <w:sz w:val="14"/>
              </w:rPr>
              <w:t>Medium; follow-on</w:t>
            </w:r>
          </w:p>
        </w:tc>
      </w:tr>
      <w:tr w14:paraId="2747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4849483">
            <w:pPr>
              <w:spacing w:after="0" w:line="240" w:lineRule="auto"/>
            </w:pPr>
            <w:r>
              <w:rPr>
                <w:b w:val="0"/>
                <w:sz w:val="14"/>
              </w:rPr>
              <w:t>I-08</w:t>
            </w:r>
          </w:p>
        </w:tc>
        <w:tc>
          <w:tcPr>
            <w:tcW w:w="2556" w:type="dxa"/>
            <w:vAlign w:val="center"/>
          </w:tcPr>
          <w:p w14:paraId="27DE135B">
            <w:pPr>
              <w:spacing w:after="0" w:line="240" w:lineRule="auto"/>
            </w:pPr>
            <w:r>
              <w:rPr>
                <w:b w:val="0"/>
                <w:sz w:val="14"/>
              </w:rPr>
              <w:t>AI-based priority recommendation</w:t>
            </w:r>
          </w:p>
        </w:tc>
        <w:tc>
          <w:tcPr>
            <w:tcW w:w="2556" w:type="dxa"/>
            <w:vAlign w:val="center"/>
          </w:tcPr>
          <w:p w14:paraId="274E9F3F">
            <w:pPr>
              <w:spacing w:after="0" w:line="240" w:lineRule="auto"/>
            </w:pPr>
            <w:r>
              <w:rPr>
                <w:b w:val="0"/>
                <w:sz w:val="14"/>
              </w:rPr>
              <w:t>Predicts urgency or routing from description text.</w:t>
            </w:r>
          </w:p>
        </w:tc>
        <w:tc>
          <w:tcPr>
            <w:tcW w:w="2556" w:type="dxa"/>
            <w:vAlign w:val="center"/>
          </w:tcPr>
          <w:p w14:paraId="0DCA2580">
            <w:pPr>
              <w:spacing w:after="0" w:line="240" w:lineRule="auto"/>
            </w:pPr>
            <w:r>
              <w:rPr>
                <w:b w:val="0"/>
                <w:sz w:val="14"/>
              </w:rPr>
              <w:t>Low for current scope; unnecessary</w:t>
            </w:r>
          </w:p>
        </w:tc>
      </w:tr>
    </w:tbl>
    <w:p w14:paraId="714DC3AD">
      <w:pPr>
        <w:jc w:val="center"/>
      </w:pPr>
      <w:r>
        <w:drawing>
          <wp:inline distT="0" distB="0" distL="114300" distR="114300">
            <wp:extent cx="5669280" cy="318897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188970"/>
                    </a:xfrm>
                    <a:prstGeom prst="rect">
                      <a:avLst/>
                    </a:prstGeom>
                  </pic:spPr>
                </pic:pic>
              </a:graphicData>
            </a:graphic>
          </wp:inline>
        </w:drawing>
      </w:r>
    </w:p>
    <w:p w14:paraId="220E42F9">
      <w:pPr>
        <w:jc w:val="center"/>
      </w:pPr>
      <w:r>
        <w:rPr>
          <w:i/>
          <w:sz w:val="16"/>
        </w:rPr>
        <w:t>Generated project visual: the rule path brainstormed for Impact, Urgency, ownership, and State safety.</w:t>
      </w:r>
    </w:p>
    <w:p w14:paraId="7EC3B92D">
      <w:pPr>
        <w:spacing w:before="180" w:after="80"/>
      </w:pPr>
      <w:r>
        <w:rPr>
          <w:b/>
          <w:color w:val="17365D"/>
          <w:sz w:val="30"/>
        </w:rPr>
        <w:t>4. Prioritization criteria</w:t>
      </w:r>
    </w:p>
    <w:p w14:paraId="5F9522FC">
      <w:r>
        <w:t>Ideas were compared using user impact, alignment with the supplied project objective, implementation effort, explainability, reversibility, and testability. The highest priority goes to controls that solve the stated problem without adding an external service or unpredictable behavior.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195A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17365D"/>
            <w:vAlign w:val="center"/>
          </w:tcPr>
          <w:p w14:paraId="1E4C15CB">
            <w:pPr>
              <w:spacing w:after="0" w:line="240" w:lineRule="auto"/>
            </w:pPr>
            <w:r>
              <w:rPr>
                <w:b/>
                <w:color w:val="FFFFFF"/>
                <w:sz w:val="16"/>
              </w:rPr>
              <w:t>Idea</w:t>
            </w:r>
          </w:p>
        </w:tc>
        <w:tc>
          <w:tcPr>
            <w:tcW w:w="1704" w:type="dxa"/>
            <w:shd w:val="clear" w:color="auto" w:fill="17365D"/>
            <w:vAlign w:val="center"/>
          </w:tcPr>
          <w:p w14:paraId="530BE03B">
            <w:pPr>
              <w:spacing w:after="0" w:line="240" w:lineRule="auto"/>
            </w:pPr>
            <w:r>
              <w:rPr>
                <w:b/>
                <w:color w:val="FFFFFF"/>
                <w:sz w:val="16"/>
              </w:rPr>
              <w:t>Impact</w:t>
            </w:r>
          </w:p>
        </w:tc>
        <w:tc>
          <w:tcPr>
            <w:tcW w:w="1704" w:type="dxa"/>
            <w:shd w:val="clear" w:color="auto" w:fill="17365D"/>
            <w:vAlign w:val="center"/>
          </w:tcPr>
          <w:p w14:paraId="3D8316DF">
            <w:pPr>
              <w:spacing w:after="0" w:line="240" w:lineRule="auto"/>
            </w:pPr>
            <w:r>
              <w:rPr>
                <w:b/>
                <w:color w:val="FFFFFF"/>
                <w:sz w:val="16"/>
              </w:rPr>
              <w:t>Alignment</w:t>
            </w:r>
          </w:p>
        </w:tc>
        <w:tc>
          <w:tcPr>
            <w:tcW w:w="1704" w:type="dxa"/>
            <w:shd w:val="clear" w:color="auto" w:fill="17365D"/>
            <w:vAlign w:val="center"/>
          </w:tcPr>
          <w:p w14:paraId="69B39CDC">
            <w:pPr>
              <w:spacing w:after="0" w:line="240" w:lineRule="auto"/>
            </w:pPr>
            <w:r>
              <w:rPr>
                <w:b/>
                <w:color w:val="FFFFFF"/>
                <w:sz w:val="16"/>
              </w:rPr>
              <w:t>Effort</w:t>
            </w:r>
          </w:p>
        </w:tc>
        <w:tc>
          <w:tcPr>
            <w:tcW w:w="1704" w:type="dxa"/>
            <w:shd w:val="clear" w:color="auto" w:fill="17365D"/>
            <w:vAlign w:val="center"/>
          </w:tcPr>
          <w:p w14:paraId="5634C43D">
            <w:pPr>
              <w:spacing w:after="0" w:line="240" w:lineRule="auto"/>
            </w:pPr>
            <w:r>
              <w:rPr>
                <w:b/>
                <w:color w:val="FFFFFF"/>
                <w:sz w:val="16"/>
              </w:rPr>
              <w:t>Explainability</w:t>
            </w:r>
          </w:p>
        </w:tc>
        <w:tc>
          <w:tcPr>
            <w:tcW w:w="1704" w:type="dxa"/>
            <w:shd w:val="clear" w:color="auto" w:fill="17365D"/>
            <w:vAlign w:val="center"/>
          </w:tcPr>
          <w:p w14:paraId="5E396BC3">
            <w:pPr>
              <w:spacing w:after="0" w:line="240" w:lineRule="auto"/>
            </w:pPr>
            <w:r>
              <w:rPr>
                <w:b/>
                <w:color w:val="FFFFFF"/>
                <w:sz w:val="16"/>
              </w:rPr>
              <w:t>Priority</w:t>
            </w:r>
          </w:p>
        </w:tc>
      </w:tr>
      <w:tr w14:paraId="72B0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6B4CB38">
            <w:pPr>
              <w:spacing w:after="0" w:line="240" w:lineRule="auto"/>
            </w:pPr>
            <w:r>
              <w:rPr>
                <w:b w:val="0"/>
                <w:sz w:val="14"/>
              </w:rPr>
              <w:t>I-01 High Impact Control UI Policy</w:t>
            </w:r>
          </w:p>
        </w:tc>
        <w:tc>
          <w:tcPr>
            <w:tcW w:w="1704" w:type="dxa"/>
            <w:vAlign w:val="center"/>
          </w:tcPr>
          <w:p w14:paraId="6F952A82">
            <w:pPr>
              <w:spacing w:after="0" w:line="240" w:lineRule="auto"/>
            </w:pPr>
            <w:r>
              <w:rPr>
                <w:b w:val="0"/>
                <w:sz w:val="14"/>
              </w:rPr>
              <w:t>5</w:t>
            </w:r>
          </w:p>
        </w:tc>
        <w:tc>
          <w:tcPr>
            <w:tcW w:w="1704" w:type="dxa"/>
            <w:vAlign w:val="center"/>
          </w:tcPr>
          <w:p w14:paraId="6A4CC932">
            <w:pPr>
              <w:spacing w:after="0" w:line="240" w:lineRule="auto"/>
            </w:pPr>
            <w:r>
              <w:rPr>
                <w:b w:val="0"/>
                <w:sz w:val="14"/>
              </w:rPr>
              <w:t>5</w:t>
            </w:r>
          </w:p>
        </w:tc>
        <w:tc>
          <w:tcPr>
            <w:tcW w:w="1704" w:type="dxa"/>
            <w:vAlign w:val="center"/>
          </w:tcPr>
          <w:p w14:paraId="031E20BC">
            <w:pPr>
              <w:spacing w:after="0" w:line="240" w:lineRule="auto"/>
            </w:pPr>
            <w:r>
              <w:rPr>
                <w:b w:val="0"/>
                <w:sz w:val="14"/>
              </w:rPr>
              <w:t>2</w:t>
            </w:r>
          </w:p>
        </w:tc>
        <w:tc>
          <w:tcPr>
            <w:tcW w:w="1704" w:type="dxa"/>
            <w:vAlign w:val="center"/>
          </w:tcPr>
          <w:p w14:paraId="1C703109">
            <w:pPr>
              <w:spacing w:after="0" w:line="240" w:lineRule="auto"/>
            </w:pPr>
            <w:r>
              <w:rPr>
                <w:b w:val="0"/>
                <w:sz w:val="14"/>
              </w:rPr>
              <w:t>5</w:t>
            </w:r>
          </w:p>
        </w:tc>
        <w:tc>
          <w:tcPr>
            <w:tcW w:w="1704" w:type="dxa"/>
            <w:vAlign w:val="center"/>
          </w:tcPr>
          <w:p w14:paraId="3656D973">
            <w:pPr>
              <w:spacing w:after="0" w:line="240" w:lineRule="auto"/>
            </w:pPr>
            <w:r>
              <w:rPr>
                <w:b w:val="0"/>
                <w:sz w:val="14"/>
              </w:rPr>
              <w:t>1</w:t>
            </w:r>
          </w:p>
        </w:tc>
      </w:tr>
      <w:tr w14:paraId="0B491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95D0023">
            <w:pPr>
              <w:spacing w:after="0" w:line="240" w:lineRule="auto"/>
            </w:pPr>
            <w:r>
              <w:rPr>
                <w:b w:val="0"/>
                <w:sz w:val="14"/>
              </w:rPr>
              <w:t>I-02 Urgency automation</w:t>
            </w:r>
          </w:p>
        </w:tc>
        <w:tc>
          <w:tcPr>
            <w:tcW w:w="1704" w:type="dxa"/>
            <w:vAlign w:val="center"/>
          </w:tcPr>
          <w:p w14:paraId="428120F4">
            <w:pPr>
              <w:spacing w:after="0" w:line="240" w:lineRule="auto"/>
            </w:pPr>
            <w:r>
              <w:rPr>
                <w:b w:val="0"/>
                <w:sz w:val="14"/>
              </w:rPr>
              <w:t>5</w:t>
            </w:r>
          </w:p>
        </w:tc>
        <w:tc>
          <w:tcPr>
            <w:tcW w:w="1704" w:type="dxa"/>
            <w:vAlign w:val="center"/>
          </w:tcPr>
          <w:p w14:paraId="30470250">
            <w:pPr>
              <w:spacing w:after="0" w:line="240" w:lineRule="auto"/>
            </w:pPr>
            <w:r>
              <w:rPr>
                <w:b w:val="0"/>
                <w:sz w:val="14"/>
              </w:rPr>
              <w:t>5</w:t>
            </w:r>
          </w:p>
        </w:tc>
        <w:tc>
          <w:tcPr>
            <w:tcW w:w="1704" w:type="dxa"/>
            <w:vAlign w:val="center"/>
          </w:tcPr>
          <w:p w14:paraId="5184596E">
            <w:pPr>
              <w:spacing w:after="0" w:line="240" w:lineRule="auto"/>
            </w:pPr>
            <w:r>
              <w:rPr>
                <w:b w:val="0"/>
                <w:sz w:val="14"/>
              </w:rPr>
              <w:t>2</w:t>
            </w:r>
          </w:p>
        </w:tc>
        <w:tc>
          <w:tcPr>
            <w:tcW w:w="1704" w:type="dxa"/>
            <w:vAlign w:val="center"/>
          </w:tcPr>
          <w:p w14:paraId="22AF6E66">
            <w:pPr>
              <w:spacing w:after="0" w:line="240" w:lineRule="auto"/>
            </w:pPr>
            <w:r>
              <w:rPr>
                <w:b w:val="0"/>
                <w:sz w:val="14"/>
              </w:rPr>
              <w:t>5</w:t>
            </w:r>
          </w:p>
        </w:tc>
        <w:tc>
          <w:tcPr>
            <w:tcW w:w="1704" w:type="dxa"/>
            <w:vAlign w:val="center"/>
          </w:tcPr>
          <w:p w14:paraId="4304AA7C">
            <w:pPr>
              <w:spacing w:after="0" w:line="240" w:lineRule="auto"/>
            </w:pPr>
            <w:r>
              <w:rPr>
                <w:b w:val="0"/>
                <w:sz w:val="14"/>
              </w:rPr>
              <w:t>2</w:t>
            </w:r>
          </w:p>
        </w:tc>
      </w:tr>
      <w:tr w14:paraId="35E7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57F3EA3">
            <w:pPr>
              <w:spacing w:after="0" w:line="240" w:lineRule="auto"/>
            </w:pPr>
            <w:r>
              <w:rPr>
                <w:b w:val="0"/>
                <w:sz w:val="14"/>
              </w:rPr>
              <w:t>I-03 Assigned To validation</w:t>
            </w:r>
          </w:p>
        </w:tc>
        <w:tc>
          <w:tcPr>
            <w:tcW w:w="1704" w:type="dxa"/>
            <w:vAlign w:val="center"/>
          </w:tcPr>
          <w:p w14:paraId="0E928438">
            <w:pPr>
              <w:spacing w:after="0" w:line="240" w:lineRule="auto"/>
            </w:pPr>
            <w:r>
              <w:rPr>
                <w:b w:val="0"/>
                <w:sz w:val="14"/>
              </w:rPr>
              <w:t>5</w:t>
            </w:r>
          </w:p>
        </w:tc>
        <w:tc>
          <w:tcPr>
            <w:tcW w:w="1704" w:type="dxa"/>
            <w:vAlign w:val="center"/>
          </w:tcPr>
          <w:p w14:paraId="0B3E2185">
            <w:pPr>
              <w:spacing w:after="0" w:line="240" w:lineRule="auto"/>
            </w:pPr>
            <w:r>
              <w:rPr>
                <w:b w:val="0"/>
                <w:sz w:val="14"/>
              </w:rPr>
              <w:t>5</w:t>
            </w:r>
          </w:p>
        </w:tc>
        <w:tc>
          <w:tcPr>
            <w:tcW w:w="1704" w:type="dxa"/>
            <w:vAlign w:val="center"/>
          </w:tcPr>
          <w:p w14:paraId="41C2EC13">
            <w:pPr>
              <w:spacing w:after="0" w:line="240" w:lineRule="auto"/>
            </w:pPr>
            <w:r>
              <w:rPr>
                <w:b w:val="0"/>
                <w:sz w:val="14"/>
              </w:rPr>
              <w:t>2</w:t>
            </w:r>
          </w:p>
        </w:tc>
        <w:tc>
          <w:tcPr>
            <w:tcW w:w="1704" w:type="dxa"/>
            <w:vAlign w:val="center"/>
          </w:tcPr>
          <w:p w14:paraId="40925EA5">
            <w:pPr>
              <w:spacing w:after="0" w:line="240" w:lineRule="auto"/>
            </w:pPr>
            <w:r>
              <w:rPr>
                <w:b w:val="0"/>
                <w:sz w:val="14"/>
              </w:rPr>
              <w:t>5</w:t>
            </w:r>
          </w:p>
        </w:tc>
        <w:tc>
          <w:tcPr>
            <w:tcW w:w="1704" w:type="dxa"/>
            <w:vAlign w:val="center"/>
          </w:tcPr>
          <w:p w14:paraId="6D467A5E">
            <w:pPr>
              <w:spacing w:after="0" w:line="240" w:lineRule="auto"/>
            </w:pPr>
            <w:r>
              <w:rPr>
                <w:b w:val="0"/>
                <w:sz w:val="14"/>
              </w:rPr>
              <w:t>3</w:t>
            </w:r>
          </w:p>
        </w:tc>
      </w:tr>
      <w:tr w14:paraId="4677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CC8B21F">
            <w:pPr>
              <w:spacing w:after="0" w:line="240" w:lineRule="auto"/>
            </w:pPr>
            <w:r>
              <w:rPr>
                <w:b w:val="0"/>
                <w:sz w:val="14"/>
              </w:rPr>
              <w:t>I-04 State list-edit protection</w:t>
            </w:r>
          </w:p>
        </w:tc>
        <w:tc>
          <w:tcPr>
            <w:tcW w:w="1704" w:type="dxa"/>
            <w:vAlign w:val="center"/>
          </w:tcPr>
          <w:p w14:paraId="19A38951">
            <w:pPr>
              <w:spacing w:after="0" w:line="240" w:lineRule="auto"/>
            </w:pPr>
            <w:r>
              <w:rPr>
                <w:b w:val="0"/>
                <w:sz w:val="14"/>
              </w:rPr>
              <w:t>4</w:t>
            </w:r>
          </w:p>
        </w:tc>
        <w:tc>
          <w:tcPr>
            <w:tcW w:w="1704" w:type="dxa"/>
            <w:vAlign w:val="center"/>
          </w:tcPr>
          <w:p w14:paraId="3E4698CF">
            <w:pPr>
              <w:spacing w:after="0" w:line="240" w:lineRule="auto"/>
            </w:pPr>
            <w:r>
              <w:rPr>
                <w:b w:val="0"/>
                <w:sz w:val="14"/>
              </w:rPr>
              <w:t>5</w:t>
            </w:r>
          </w:p>
        </w:tc>
        <w:tc>
          <w:tcPr>
            <w:tcW w:w="1704" w:type="dxa"/>
            <w:vAlign w:val="center"/>
          </w:tcPr>
          <w:p w14:paraId="77757984">
            <w:pPr>
              <w:spacing w:after="0" w:line="240" w:lineRule="auto"/>
            </w:pPr>
            <w:r>
              <w:rPr>
                <w:b w:val="0"/>
                <w:sz w:val="14"/>
              </w:rPr>
              <w:t>2</w:t>
            </w:r>
          </w:p>
        </w:tc>
        <w:tc>
          <w:tcPr>
            <w:tcW w:w="1704" w:type="dxa"/>
            <w:vAlign w:val="center"/>
          </w:tcPr>
          <w:p w14:paraId="12F55E12">
            <w:pPr>
              <w:spacing w:after="0" w:line="240" w:lineRule="auto"/>
            </w:pPr>
            <w:r>
              <w:rPr>
                <w:b w:val="0"/>
                <w:sz w:val="14"/>
              </w:rPr>
              <w:t>5</w:t>
            </w:r>
          </w:p>
        </w:tc>
        <w:tc>
          <w:tcPr>
            <w:tcW w:w="1704" w:type="dxa"/>
            <w:vAlign w:val="center"/>
          </w:tcPr>
          <w:p w14:paraId="49CBA8F3">
            <w:pPr>
              <w:spacing w:after="0" w:line="240" w:lineRule="auto"/>
            </w:pPr>
            <w:r>
              <w:rPr>
                <w:b w:val="0"/>
                <w:sz w:val="14"/>
              </w:rPr>
              <w:t>4</w:t>
            </w:r>
          </w:p>
        </w:tc>
      </w:tr>
      <w:tr w14:paraId="21B4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D9A8245">
            <w:pPr>
              <w:spacing w:after="0" w:line="240" w:lineRule="auto"/>
            </w:pPr>
            <w:r>
              <w:rPr>
                <w:b w:val="0"/>
                <w:sz w:val="14"/>
              </w:rPr>
              <w:t>I-05 Quality checklist</w:t>
            </w:r>
          </w:p>
        </w:tc>
        <w:tc>
          <w:tcPr>
            <w:tcW w:w="1704" w:type="dxa"/>
            <w:vAlign w:val="center"/>
          </w:tcPr>
          <w:p w14:paraId="0AD426B0">
            <w:pPr>
              <w:spacing w:after="0" w:line="240" w:lineRule="auto"/>
            </w:pPr>
            <w:r>
              <w:rPr>
                <w:b w:val="0"/>
                <w:sz w:val="14"/>
              </w:rPr>
              <w:t>3</w:t>
            </w:r>
          </w:p>
        </w:tc>
        <w:tc>
          <w:tcPr>
            <w:tcW w:w="1704" w:type="dxa"/>
            <w:vAlign w:val="center"/>
          </w:tcPr>
          <w:p w14:paraId="2909D356">
            <w:pPr>
              <w:spacing w:after="0" w:line="240" w:lineRule="auto"/>
            </w:pPr>
            <w:r>
              <w:rPr>
                <w:b w:val="0"/>
                <w:sz w:val="14"/>
              </w:rPr>
              <w:t>4</w:t>
            </w:r>
          </w:p>
        </w:tc>
        <w:tc>
          <w:tcPr>
            <w:tcW w:w="1704" w:type="dxa"/>
            <w:vAlign w:val="center"/>
          </w:tcPr>
          <w:p w14:paraId="2106D29E">
            <w:pPr>
              <w:spacing w:after="0" w:line="240" w:lineRule="auto"/>
            </w:pPr>
            <w:r>
              <w:rPr>
                <w:b w:val="0"/>
                <w:sz w:val="14"/>
              </w:rPr>
              <w:t>3</w:t>
            </w:r>
          </w:p>
        </w:tc>
        <w:tc>
          <w:tcPr>
            <w:tcW w:w="1704" w:type="dxa"/>
            <w:vAlign w:val="center"/>
          </w:tcPr>
          <w:p w14:paraId="64C33B92">
            <w:pPr>
              <w:spacing w:after="0" w:line="240" w:lineRule="auto"/>
            </w:pPr>
            <w:r>
              <w:rPr>
                <w:b w:val="0"/>
                <w:sz w:val="14"/>
              </w:rPr>
              <w:t>4</w:t>
            </w:r>
          </w:p>
        </w:tc>
        <w:tc>
          <w:tcPr>
            <w:tcW w:w="1704" w:type="dxa"/>
            <w:vAlign w:val="center"/>
          </w:tcPr>
          <w:p w14:paraId="64054A4D">
            <w:pPr>
              <w:spacing w:after="0" w:line="240" w:lineRule="auto"/>
            </w:pPr>
            <w:r>
              <w:rPr>
                <w:b w:val="0"/>
                <w:sz w:val="14"/>
              </w:rPr>
              <w:t>5</w:t>
            </w:r>
          </w:p>
        </w:tc>
      </w:tr>
      <w:tr w14:paraId="552B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FFC9B0B">
            <w:pPr>
              <w:spacing w:after="0" w:line="240" w:lineRule="auto"/>
            </w:pPr>
            <w:r>
              <w:rPr>
                <w:b w:val="0"/>
                <w:sz w:val="14"/>
              </w:rPr>
              <w:t>I-06 Server-side extension</w:t>
            </w:r>
          </w:p>
        </w:tc>
        <w:tc>
          <w:tcPr>
            <w:tcW w:w="1704" w:type="dxa"/>
            <w:vAlign w:val="center"/>
          </w:tcPr>
          <w:p w14:paraId="1035B032">
            <w:pPr>
              <w:spacing w:after="0" w:line="240" w:lineRule="auto"/>
            </w:pPr>
            <w:r>
              <w:rPr>
                <w:b w:val="0"/>
                <w:sz w:val="14"/>
              </w:rPr>
              <w:t>5</w:t>
            </w:r>
          </w:p>
        </w:tc>
        <w:tc>
          <w:tcPr>
            <w:tcW w:w="1704" w:type="dxa"/>
            <w:vAlign w:val="center"/>
          </w:tcPr>
          <w:p w14:paraId="615EBDBC">
            <w:pPr>
              <w:spacing w:after="0" w:line="240" w:lineRule="auto"/>
            </w:pPr>
            <w:r>
              <w:rPr>
                <w:b w:val="0"/>
                <w:sz w:val="14"/>
              </w:rPr>
              <w:t>4</w:t>
            </w:r>
          </w:p>
        </w:tc>
        <w:tc>
          <w:tcPr>
            <w:tcW w:w="1704" w:type="dxa"/>
            <w:vAlign w:val="center"/>
          </w:tcPr>
          <w:p w14:paraId="1C225B2B">
            <w:pPr>
              <w:spacing w:after="0" w:line="240" w:lineRule="auto"/>
            </w:pPr>
            <w:r>
              <w:rPr>
                <w:b w:val="0"/>
                <w:sz w:val="14"/>
              </w:rPr>
              <w:t>4</w:t>
            </w:r>
          </w:p>
        </w:tc>
        <w:tc>
          <w:tcPr>
            <w:tcW w:w="1704" w:type="dxa"/>
            <w:vAlign w:val="center"/>
          </w:tcPr>
          <w:p w14:paraId="0F25AABB">
            <w:pPr>
              <w:spacing w:after="0" w:line="240" w:lineRule="auto"/>
            </w:pPr>
            <w:r>
              <w:rPr>
                <w:b w:val="0"/>
                <w:sz w:val="14"/>
              </w:rPr>
              <w:t>5</w:t>
            </w:r>
          </w:p>
        </w:tc>
        <w:tc>
          <w:tcPr>
            <w:tcW w:w="1704" w:type="dxa"/>
            <w:vAlign w:val="center"/>
          </w:tcPr>
          <w:p w14:paraId="492A95F0">
            <w:pPr>
              <w:spacing w:after="0" w:line="240" w:lineRule="auto"/>
            </w:pPr>
            <w:r>
              <w:rPr>
                <w:b w:val="0"/>
                <w:sz w:val="14"/>
              </w:rPr>
              <w:t>6</w:t>
            </w:r>
          </w:p>
        </w:tc>
      </w:tr>
      <w:tr w14:paraId="498E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03BFCCD">
            <w:pPr>
              <w:spacing w:after="0" w:line="240" w:lineRule="auto"/>
            </w:pPr>
            <w:r>
              <w:rPr>
                <w:b w:val="0"/>
                <w:sz w:val="14"/>
              </w:rPr>
              <w:t>I-07 Quality dashboard</w:t>
            </w:r>
          </w:p>
        </w:tc>
        <w:tc>
          <w:tcPr>
            <w:tcW w:w="1704" w:type="dxa"/>
            <w:vAlign w:val="center"/>
          </w:tcPr>
          <w:p w14:paraId="76F423EE">
            <w:pPr>
              <w:spacing w:after="0" w:line="240" w:lineRule="auto"/>
            </w:pPr>
            <w:r>
              <w:rPr>
                <w:b w:val="0"/>
                <w:sz w:val="14"/>
              </w:rPr>
              <w:t>3</w:t>
            </w:r>
          </w:p>
        </w:tc>
        <w:tc>
          <w:tcPr>
            <w:tcW w:w="1704" w:type="dxa"/>
            <w:vAlign w:val="center"/>
          </w:tcPr>
          <w:p w14:paraId="3558F7AD">
            <w:pPr>
              <w:spacing w:after="0" w:line="240" w:lineRule="auto"/>
            </w:pPr>
            <w:r>
              <w:rPr>
                <w:b w:val="0"/>
                <w:sz w:val="14"/>
              </w:rPr>
              <w:t>3</w:t>
            </w:r>
          </w:p>
        </w:tc>
        <w:tc>
          <w:tcPr>
            <w:tcW w:w="1704" w:type="dxa"/>
            <w:vAlign w:val="center"/>
          </w:tcPr>
          <w:p w14:paraId="6FCA577E">
            <w:pPr>
              <w:spacing w:after="0" w:line="240" w:lineRule="auto"/>
            </w:pPr>
            <w:r>
              <w:rPr>
                <w:b w:val="0"/>
                <w:sz w:val="14"/>
              </w:rPr>
              <w:t>4</w:t>
            </w:r>
          </w:p>
        </w:tc>
        <w:tc>
          <w:tcPr>
            <w:tcW w:w="1704" w:type="dxa"/>
            <w:vAlign w:val="center"/>
          </w:tcPr>
          <w:p w14:paraId="595AEDD7">
            <w:pPr>
              <w:spacing w:after="0" w:line="240" w:lineRule="auto"/>
            </w:pPr>
            <w:r>
              <w:rPr>
                <w:b w:val="0"/>
                <w:sz w:val="14"/>
              </w:rPr>
              <w:t>4</w:t>
            </w:r>
          </w:p>
        </w:tc>
        <w:tc>
          <w:tcPr>
            <w:tcW w:w="1704" w:type="dxa"/>
            <w:vAlign w:val="center"/>
          </w:tcPr>
          <w:p w14:paraId="5BE01DF1">
            <w:pPr>
              <w:spacing w:after="0" w:line="240" w:lineRule="auto"/>
            </w:pPr>
            <w:r>
              <w:rPr>
                <w:b w:val="0"/>
                <w:sz w:val="14"/>
              </w:rPr>
              <w:t>7</w:t>
            </w:r>
          </w:p>
        </w:tc>
      </w:tr>
      <w:tr w14:paraId="0BB0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40D5BF0">
            <w:pPr>
              <w:spacing w:after="0" w:line="240" w:lineRule="auto"/>
            </w:pPr>
            <w:r>
              <w:rPr>
                <w:b w:val="0"/>
                <w:sz w:val="14"/>
              </w:rPr>
              <w:t>I-08 AI recommendation</w:t>
            </w:r>
          </w:p>
        </w:tc>
        <w:tc>
          <w:tcPr>
            <w:tcW w:w="1704" w:type="dxa"/>
            <w:vAlign w:val="center"/>
          </w:tcPr>
          <w:p w14:paraId="025D78B0">
            <w:pPr>
              <w:spacing w:after="0" w:line="240" w:lineRule="auto"/>
            </w:pPr>
            <w:r>
              <w:rPr>
                <w:b w:val="0"/>
                <w:sz w:val="14"/>
              </w:rPr>
              <w:t>2</w:t>
            </w:r>
          </w:p>
        </w:tc>
        <w:tc>
          <w:tcPr>
            <w:tcW w:w="1704" w:type="dxa"/>
            <w:vAlign w:val="center"/>
          </w:tcPr>
          <w:p w14:paraId="187E81C1">
            <w:pPr>
              <w:spacing w:after="0" w:line="240" w:lineRule="auto"/>
            </w:pPr>
            <w:r>
              <w:rPr>
                <w:b w:val="0"/>
                <w:sz w:val="14"/>
              </w:rPr>
              <w:t>2</w:t>
            </w:r>
          </w:p>
        </w:tc>
        <w:tc>
          <w:tcPr>
            <w:tcW w:w="1704" w:type="dxa"/>
            <w:vAlign w:val="center"/>
          </w:tcPr>
          <w:p w14:paraId="3CCA4705">
            <w:pPr>
              <w:spacing w:after="0" w:line="240" w:lineRule="auto"/>
            </w:pPr>
            <w:r>
              <w:rPr>
                <w:b w:val="0"/>
                <w:sz w:val="14"/>
              </w:rPr>
              <w:t>5</w:t>
            </w:r>
          </w:p>
        </w:tc>
        <w:tc>
          <w:tcPr>
            <w:tcW w:w="1704" w:type="dxa"/>
            <w:vAlign w:val="center"/>
          </w:tcPr>
          <w:p w14:paraId="027A4CEC">
            <w:pPr>
              <w:spacing w:after="0" w:line="240" w:lineRule="auto"/>
            </w:pPr>
            <w:r>
              <w:rPr>
                <w:b w:val="0"/>
                <w:sz w:val="14"/>
              </w:rPr>
              <w:t>2</w:t>
            </w:r>
          </w:p>
        </w:tc>
        <w:tc>
          <w:tcPr>
            <w:tcW w:w="1704" w:type="dxa"/>
            <w:vAlign w:val="center"/>
          </w:tcPr>
          <w:p w14:paraId="40A2C244">
            <w:pPr>
              <w:spacing w:after="0" w:line="240" w:lineRule="auto"/>
            </w:pPr>
            <w:r>
              <w:rPr>
                <w:b w:val="0"/>
                <w:sz w:val="14"/>
              </w:rPr>
              <w:t>8</w:t>
            </w:r>
          </w:p>
        </w:tc>
      </w:tr>
    </w:tbl>
    <w:p w14:paraId="04859CD8">
      <w:pPr>
        <w:spacing w:before="180" w:after="80"/>
      </w:pPr>
      <w:r>
        <w:rPr>
          <w:b/>
          <w:color w:val="17365D"/>
          <w:sz w:val="30"/>
        </w:rPr>
        <w:t>5. Selected solution concept</w:t>
      </w:r>
    </w:p>
    <w:p w14:paraId="54D742B5">
      <w:r>
        <w:t>Select a coordinated ServiceNow control pattern: one reversible UI Policy named High Impact Control, a UI Policy Action for Assignment group, a UI Policy Action that makes Urgency read-only, and three Client Scripts for onChange, onSubmit, and onCellEdit behavior.</w:t>
      </w:r>
    </w:p>
    <w:p w14:paraId="7C105B69">
      <w:pPr>
        <w:spacing w:after="40"/>
        <w:ind w:left="360" w:hanging="245"/>
      </w:pPr>
      <w:r>
        <w:t>• The solution activates when Impact = 1 – High.</w:t>
      </w:r>
    </w:p>
    <w:p w14:paraId="10425667">
      <w:pPr>
        <w:spacing w:after="40"/>
        <w:ind w:left="360" w:hanging="245"/>
      </w:pPr>
      <w:r>
        <w:t>• Assignment group becomes mandatory for high-impact routing.</w:t>
      </w:r>
    </w:p>
    <w:p w14:paraId="4149AD68">
      <w:pPr>
        <w:spacing w:after="40"/>
        <w:ind w:left="360" w:hanging="245"/>
      </w:pPr>
      <w:r>
        <w:t>• Urgency is automatically set to High and controlled by the policy.</w:t>
      </w:r>
    </w:p>
    <w:p w14:paraId="5A0C02D2">
      <w:pPr>
        <w:spacing w:after="40"/>
        <w:ind w:left="360" w:hanging="245"/>
      </w:pPr>
      <w:r>
        <w:t>• Assigned To is checked before save.</w:t>
      </w:r>
    </w:p>
    <w:p w14:paraId="02ABCE12">
      <w:pPr>
        <w:spacing w:after="40"/>
        <w:ind w:left="360" w:hanging="245"/>
      </w:pPr>
      <w:r>
        <w:t>• State cannot be changed directly from list editing.</w:t>
      </w:r>
    </w:p>
    <w:p w14:paraId="2310B34B">
      <w:pPr>
        <w:spacing w:after="40"/>
        <w:ind w:left="360" w:hanging="245"/>
      </w:pPr>
      <w:r>
        <w:t>• Reverse if false restores normal behavior when Impact changes away from High.</w:t>
      </w:r>
    </w:p>
    <w:p w14:paraId="6D67A904">
      <w:pPr>
        <w:spacing w:before="180" w:after="80"/>
      </w:pPr>
      <w:r>
        <w:rPr>
          <w:b/>
          <w:color w:val="17365D"/>
          <w:sz w:val="30"/>
        </w:rPr>
        <w:t>6. Why this idea wins</w:t>
      </w:r>
    </w:p>
    <w:p w14:paraId="45B88F60">
      <w:r>
        <w:t>The selected idea is native to ServiceNow, easy to explain to agents and administrators, small enough for a focused micro-project, and directly traceable to the supplied PDF tasks. It improves consistency without inventing a new data model, analytics stack, AI model, or external API dependency.</w:t>
      </w:r>
    </w:p>
    <w:p w14:paraId="1827A186">
      <w:pPr>
        <w:spacing w:before="180" w:after="80"/>
      </w:pPr>
      <w:r>
        <w:rPr>
          <w:b/>
          <w:color w:val="17365D"/>
          <w:sz w:val="30"/>
        </w:rPr>
        <w:t>7. Phase 1 decision</w:t>
      </w:r>
    </w:p>
    <w:p w14:paraId="5C22614D">
      <w:r>
        <w:t>Proceed to problem definition and requirement analysis with the combined UI Policy + Client Script concept as the baseline solution. Capture future enhancements separately so the initial delivery remains deterministic and testable.</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2705D"/>
    <w:rsid w:val="1F117B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573</Words>
  <Characters>3241</Characters>
  <Lines>0</Lines>
  <Paragraphs>0</Paragraphs>
  <TotalTime>0</TotalTime>
  <ScaleCrop>false</ScaleCrop>
  <LinksUpToDate>false</LinksUpToDate>
  <CharactersWithSpaces>3691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Pooja Janarthanan</cp:lastModifiedBy>
  <dcterms:modified xsi:type="dcterms:W3CDTF">2026-10-02T10:20:13Z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eyJoZGlkIjoiNjU0ZTU1NWIwZThkOTk1MjJmZWQ2YzQ3ZjliY2RjZjUiLCJ1c2VySWQiOiI1NDk3NjcyNzczNjYifQ==</vt:lpwstr>
  </property>
  <property fmtid="{D5CDD505-2E9C-101B-9397-08002B2CF9AE}" pid="3" name="KSOProductBuildVer">
    <vt:lpwstr>1033-12.1.0.28485</vt:lpwstr>
  </property>
  <property fmtid="{D5CDD505-2E9C-101B-9397-08002B2CF9AE}" pid="4" name="ICV">
    <vt:lpwstr>3EDA125784EC42AD8389A1C90824B376_12</vt:lpwstr>
  </property>
</Properties>
</file>