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799C5">
      <w:pPr>
        <w:jc w:val="center"/>
      </w:pPr>
      <w:r>
        <w:rPr>
          <w:b/>
          <w:color w:val="17365D"/>
          <w:sz w:val="40"/>
        </w:rPr>
        <w:t>Phase 1 — Empathy Map Canvas</w:t>
      </w:r>
    </w:p>
    <w:p w14:paraId="53896D3B">
      <w:pPr>
        <w:jc w:val="center"/>
      </w:pPr>
      <w:r>
        <w:rPr>
          <w:b/>
          <w:color w:val="0F9D9A"/>
          <w:sz w:val="26"/>
        </w:rPr>
        <w:t>Implement Client Script &amp; UI Policy (Incident)</w:t>
      </w:r>
    </w:p>
    <w:p w14:paraId="5E352241">
      <w:pPr>
        <w:jc w:val="center"/>
      </w:pPr>
      <w:r>
        <w:rPr>
          <w:i/>
        </w:rPr>
        <w:t>0</w:t>
      </w:r>
      <w:r>
        <w:rPr>
          <w:rFonts w:hint="default"/>
          <w:i/>
          <w:lang w:val="en-US"/>
        </w:rPr>
        <w:t>1</w:t>
      </w:r>
      <w:r>
        <w:rPr>
          <w:i/>
        </w:rPr>
        <w:t xml:space="preserve"> October 2026 | Phase 1 | </w:t>
      </w:r>
      <w:r>
        <w:rPr>
          <w:rFonts w:hint="default"/>
          <w:i/>
        </w:rPr>
        <w:t>SWTID-2026-4755</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1F76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7365D"/>
            <w:vAlign w:val="center"/>
          </w:tcPr>
          <w:p w14:paraId="487F072F">
            <w:pPr>
              <w:spacing w:after="0" w:line="240" w:lineRule="auto"/>
            </w:pPr>
            <w:r>
              <w:rPr>
                <w:b/>
                <w:color w:val="FFFFFF"/>
                <w:sz w:val="16"/>
              </w:rPr>
              <w:t>Field</w:t>
            </w:r>
          </w:p>
        </w:tc>
        <w:tc>
          <w:tcPr>
            <w:tcW w:w="5112" w:type="dxa"/>
            <w:shd w:val="clear" w:color="auto" w:fill="17365D"/>
            <w:vAlign w:val="center"/>
          </w:tcPr>
          <w:p w14:paraId="7DD4C7CA">
            <w:pPr>
              <w:spacing w:after="0" w:line="240" w:lineRule="auto"/>
            </w:pPr>
            <w:r>
              <w:rPr>
                <w:b/>
                <w:color w:val="FFFFFF"/>
                <w:sz w:val="16"/>
              </w:rPr>
              <w:t>Project value</w:t>
            </w:r>
          </w:p>
        </w:tc>
      </w:tr>
      <w:tr w14:paraId="3100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796B89B">
            <w:pPr>
              <w:spacing w:after="0" w:line="240" w:lineRule="auto"/>
            </w:pPr>
            <w:r>
              <w:rPr>
                <w:b w:val="0"/>
                <w:sz w:val="14"/>
              </w:rPr>
              <w:t>Date</w:t>
            </w:r>
          </w:p>
        </w:tc>
        <w:tc>
          <w:tcPr>
            <w:tcW w:w="5112" w:type="dxa"/>
            <w:vAlign w:val="center"/>
          </w:tcPr>
          <w:p w14:paraId="06592E0E">
            <w:pPr>
              <w:spacing w:after="0" w:line="240" w:lineRule="auto"/>
            </w:pPr>
            <w:r>
              <w:rPr>
                <w:b w:val="0"/>
                <w:sz w:val="14"/>
              </w:rPr>
              <w:t>0</w:t>
            </w:r>
            <w:r>
              <w:rPr>
                <w:rFonts w:hint="default"/>
                <w:b w:val="0"/>
                <w:sz w:val="14"/>
                <w:lang w:val="en-US"/>
              </w:rPr>
              <w:t>1</w:t>
            </w:r>
            <w:r>
              <w:rPr>
                <w:b w:val="0"/>
                <w:sz w:val="14"/>
              </w:rPr>
              <w:t xml:space="preserve"> October 2026</w:t>
            </w:r>
          </w:p>
        </w:tc>
      </w:tr>
      <w:tr w14:paraId="7C26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DF05227">
            <w:pPr>
              <w:spacing w:after="0" w:line="240" w:lineRule="auto"/>
            </w:pPr>
            <w:r>
              <w:rPr>
                <w:b w:val="0"/>
                <w:sz w:val="14"/>
              </w:rPr>
              <w:t>Team ID</w:t>
            </w:r>
          </w:p>
        </w:tc>
        <w:tc>
          <w:tcPr>
            <w:tcW w:w="5112" w:type="dxa"/>
            <w:vAlign w:val="center"/>
          </w:tcPr>
          <w:p w14:paraId="09408213">
            <w:pPr>
              <w:spacing w:after="0" w:line="240" w:lineRule="auto"/>
              <w:rPr>
                <w:sz w:val="15"/>
                <w:szCs w:val="15"/>
              </w:rPr>
            </w:pPr>
            <w:r>
              <w:rPr>
                <w:rFonts w:hint="default"/>
                <w:sz w:val="15"/>
                <w:szCs w:val="15"/>
              </w:rPr>
              <w:t>SWTID-2026-4755</w:t>
            </w:r>
          </w:p>
        </w:tc>
      </w:tr>
      <w:tr w14:paraId="749D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E1E15BA">
            <w:pPr>
              <w:spacing w:after="0" w:line="240" w:lineRule="auto"/>
            </w:pPr>
            <w:r>
              <w:rPr>
                <w:b w:val="0"/>
                <w:sz w:val="14"/>
              </w:rPr>
              <w:t>Project Name</w:t>
            </w:r>
          </w:p>
        </w:tc>
        <w:tc>
          <w:tcPr>
            <w:tcW w:w="5112" w:type="dxa"/>
            <w:vAlign w:val="center"/>
          </w:tcPr>
          <w:p w14:paraId="2111DD04">
            <w:pPr>
              <w:spacing w:after="0" w:line="240" w:lineRule="auto"/>
            </w:pPr>
            <w:r>
              <w:rPr>
                <w:b w:val="0"/>
                <w:sz w:val="14"/>
              </w:rPr>
              <w:t>Implement Client Script &amp; UI Policy (Incident)</w:t>
            </w:r>
          </w:p>
        </w:tc>
      </w:tr>
      <w:tr w14:paraId="07D7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A86948B">
            <w:pPr>
              <w:spacing w:after="0" w:line="240" w:lineRule="auto"/>
            </w:pPr>
            <w:r>
              <w:rPr>
                <w:b w:val="0"/>
                <w:sz w:val="14"/>
              </w:rPr>
              <w:t>Phase 1 focus</w:t>
            </w:r>
          </w:p>
        </w:tc>
        <w:tc>
          <w:tcPr>
            <w:tcW w:w="5112" w:type="dxa"/>
            <w:vAlign w:val="center"/>
          </w:tcPr>
          <w:p w14:paraId="1B9C79F6">
            <w:pPr>
              <w:spacing w:after="0" w:line="240" w:lineRule="auto"/>
            </w:pPr>
            <w:r>
              <w:rPr>
                <w:b w:val="0"/>
                <w:sz w:val="14"/>
              </w:rPr>
              <w:t>Understand the agent experience and administrator needs behind the Incident controls</w:t>
            </w:r>
          </w:p>
        </w:tc>
      </w:tr>
    </w:tbl>
    <w:p w14:paraId="236DCABF">
      <w:pPr>
        <w:spacing w:before="180" w:after="80"/>
      </w:pPr>
      <w:r>
        <w:rPr>
          <w:b/>
          <w:color w:val="17365D"/>
          <w:sz w:val="30"/>
        </w:rPr>
        <w:t>1. Persona and context</w:t>
      </w:r>
    </w:p>
    <w:p w14:paraId="6F46685A">
      <w:r>
        <w:t>Primary persona: a service desk agent creating or updating an Incident during an active queue. The agent is expected to move quickly, but must still provide enough information for routing and resolution. Secondary persona: the ServiceNow administrator responsible for making the rule predictable, maintainable, and testable.</w:t>
      </w:r>
    </w:p>
    <w:p w14:paraId="21E79309">
      <w:pPr>
        <w:jc w:val="center"/>
      </w:pPr>
      <w:r>
        <w:drawing>
          <wp:inline distT="0" distB="0" distL="114300" distR="114300">
            <wp:extent cx="5669280" cy="318897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188970"/>
                    </a:xfrm>
                    <a:prstGeom prst="rect">
                      <a:avLst/>
                    </a:prstGeom>
                  </pic:spPr>
                </pic:pic>
              </a:graphicData>
            </a:graphic>
          </wp:inline>
        </w:drawing>
      </w:r>
    </w:p>
    <w:p w14:paraId="3BC9D536">
      <w:pPr>
        <w:jc w:val="center"/>
      </w:pPr>
      <w:r>
        <w:rPr>
          <w:i/>
          <w:sz w:val="16"/>
        </w:rPr>
        <w:t>Generated project visual: service desk agent journey from recognition to controlled resolution.</w:t>
      </w:r>
    </w:p>
    <w:p w14:paraId="13A73888">
      <w:pPr>
        <w:spacing w:before="180" w:after="80"/>
      </w:pPr>
      <w:r>
        <w:rPr>
          <w:b/>
          <w:color w:val="17365D"/>
          <w:sz w:val="30"/>
        </w:rPr>
        <w:t>2. Says</w:t>
      </w:r>
    </w:p>
    <w:p w14:paraId="770AAEC3">
      <w:pPr>
        <w:spacing w:after="40"/>
        <w:ind w:left="360" w:hanging="245"/>
      </w:pPr>
      <w:r>
        <w:t>• “I need to record the Incident quickly.”</w:t>
      </w:r>
    </w:p>
    <w:p w14:paraId="0AF15619">
      <w:pPr>
        <w:spacing w:after="40"/>
        <w:ind w:left="360" w:hanging="245"/>
      </w:pPr>
      <w:r>
        <w:t>• “Tell me exactly which field is missing.”</w:t>
      </w:r>
    </w:p>
    <w:p w14:paraId="6EA8DE5F">
      <w:pPr>
        <w:spacing w:after="40"/>
        <w:ind w:left="360" w:hanging="245"/>
      </w:pPr>
      <w:r>
        <w:t>• “If the Incident is high impact, set the urgency for me.”</w:t>
      </w:r>
    </w:p>
    <w:p w14:paraId="5105DB8C">
      <w:pPr>
        <w:spacing w:after="40"/>
        <w:ind w:left="360" w:hanging="245"/>
      </w:pPr>
      <w:r>
        <w:t>• “I should be able to understand why a list edit was blocked.”</w:t>
      </w:r>
    </w:p>
    <w:p w14:paraId="652FA5F4">
      <w:pPr>
        <w:spacing w:after="40"/>
        <w:ind w:left="360" w:hanging="245"/>
      </w:pPr>
      <w:r>
        <w:t>• “When Impact changes, the form should not keep old restrictions.”</w:t>
      </w:r>
    </w:p>
    <w:p w14:paraId="1BAF4F0F">
      <w:pPr>
        <w:spacing w:before="180" w:after="80"/>
      </w:pPr>
      <w:r>
        <w:rPr>
          <w:b/>
          <w:color w:val="17365D"/>
          <w:sz w:val="30"/>
        </w:rPr>
        <w:t>3. Thinks</w:t>
      </w:r>
    </w:p>
    <w:p w14:paraId="70301C82">
      <w:pPr>
        <w:spacing w:after="40"/>
        <w:ind w:left="360" w:hanging="245"/>
      </w:pPr>
      <w:r>
        <w:t>• High-impact work may affect many users and should not be routed incompletely.</w:t>
      </w:r>
    </w:p>
    <w:p w14:paraId="61F19CA1">
      <w:pPr>
        <w:spacing w:after="40"/>
        <w:ind w:left="360" w:hanging="245"/>
      </w:pPr>
      <w:r>
        <w:t>• A silent or generic failure will slow triage.</w:t>
      </w:r>
    </w:p>
    <w:p w14:paraId="4FF7FD75">
      <w:pPr>
        <w:spacing w:after="40"/>
        <w:ind w:left="360" w:hanging="245"/>
      </w:pPr>
      <w:r>
        <w:t>• The system should automate obvious decisions but leave meaningful decisions visible.</w:t>
      </w:r>
    </w:p>
    <w:p w14:paraId="3901F15A">
      <w:pPr>
        <w:spacing w:after="40"/>
        <w:ind w:left="360" w:hanging="245"/>
      </w:pPr>
      <w:r>
        <w:t>• List editing is convenient, but State changes may need the full form context.</w:t>
      </w:r>
    </w:p>
    <w:p w14:paraId="445BCB45">
      <w:pPr>
        <w:spacing w:after="40"/>
        <w:ind w:left="360" w:hanging="245"/>
      </w:pPr>
      <w:r>
        <w:t>• A rule that is difficult to explain will be difficult to trust.</w:t>
      </w:r>
    </w:p>
    <w:p w14:paraId="25C2770A">
      <w:pPr>
        <w:spacing w:before="180" w:after="80"/>
      </w:pPr>
      <w:r>
        <w:rPr>
          <w:b/>
          <w:color w:val="17365D"/>
          <w:sz w:val="30"/>
        </w:rPr>
        <w:t>4. Does</w:t>
      </w:r>
    </w:p>
    <w:p w14:paraId="036B1C2B">
      <w:pPr>
        <w:spacing w:after="40"/>
        <w:ind w:left="360" w:hanging="245"/>
      </w:pPr>
      <w:r>
        <w:t>• Opens Incident → Create New or an existing Incident.</w:t>
      </w:r>
    </w:p>
    <w:p w14:paraId="107444BB">
      <w:pPr>
        <w:spacing w:after="40"/>
        <w:ind w:left="360" w:hanging="245"/>
      </w:pPr>
      <w:r>
        <w:t>• Selects or changes Impact.</w:t>
      </w:r>
    </w:p>
    <w:p w14:paraId="443E261B">
      <w:pPr>
        <w:spacing w:after="40"/>
        <w:ind w:left="360" w:hanging="245"/>
      </w:pPr>
      <w:r>
        <w:t>• Checks Assignment group, Assigned To, Urgency, State, and description.</w:t>
      </w:r>
    </w:p>
    <w:p w14:paraId="717DEAE7">
      <w:pPr>
        <w:spacing w:after="40"/>
        <w:ind w:left="360" w:hanging="245"/>
      </w:pPr>
      <w:r>
        <w:t>• Attempts to submit the record.</w:t>
      </w:r>
    </w:p>
    <w:p w14:paraId="5628F615">
      <w:pPr>
        <w:spacing w:after="40"/>
        <w:ind w:left="360" w:hanging="245"/>
      </w:pPr>
      <w:r>
        <w:t>• May edit records directly in a list when working through a queue.</w:t>
      </w:r>
    </w:p>
    <w:p w14:paraId="74962FD0">
      <w:pPr>
        <w:spacing w:after="40"/>
        <w:ind w:left="360" w:hanging="245"/>
      </w:pPr>
      <w:r>
        <w:t>• Uses the full form when an action requires context or validation.</w:t>
      </w:r>
    </w:p>
    <w:p w14:paraId="5EF63BEB">
      <w:pPr>
        <w:spacing w:before="180" w:after="80"/>
      </w:pPr>
      <w:r>
        <w:rPr>
          <w:b/>
          <w:color w:val="17365D"/>
          <w:sz w:val="30"/>
        </w:rPr>
        <w:t>5. Feels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8E72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7365D"/>
            <w:vAlign w:val="center"/>
          </w:tcPr>
          <w:p w14:paraId="733184FF">
            <w:pPr>
              <w:spacing w:after="0" w:line="240" w:lineRule="auto"/>
            </w:pPr>
            <w:r>
              <w:rPr>
                <w:b/>
                <w:color w:val="FFFFFF"/>
                <w:sz w:val="16"/>
              </w:rPr>
              <w:t>Moment</w:t>
            </w:r>
          </w:p>
        </w:tc>
        <w:tc>
          <w:tcPr>
            <w:tcW w:w="3408" w:type="dxa"/>
            <w:shd w:val="clear" w:color="auto" w:fill="17365D"/>
            <w:vAlign w:val="center"/>
          </w:tcPr>
          <w:p w14:paraId="17BF6145">
            <w:pPr>
              <w:spacing w:after="0" w:line="240" w:lineRule="auto"/>
            </w:pPr>
            <w:r>
              <w:rPr>
                <w:b/>
                <w:color w:val="FFFFFF"/>
                <w:sz w:val="16"/>
              </w:rPr>
              <w:t>Likely feeling</w:t>
            </w:r>
          </w:p>
        </w:tc>
        <w:tc>
          <w:tcPr>
            <w:tcW w:w="3408" w:type="dxa"/>
            <w:shd w:val="clear" w:color="auto" w:fill="17365D"/>
            <w:vAlign w:val="center"/>
          </w:tcPr>
          <w:p w14:paraId="06350310">
            <w:pPr>
              <w:spacing w:after="0" w:line="240" w:lineRule="auto"/>
            </w:pPr>
            <w:r>
              <w:rPr>
                <w:b/>
                <w:color w:val="FFFFFF"/>
                <w:sz w:val="16"/>
              </w:rPr>
              <w:t>Design response</w:t>
            </w:r>
          </w:p>
        </w:tc>
      </w:tr>
      <w:tr w14:paraId="75CD7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67B687">
            <w:pPr>
              <w:spacing w:after="0" w:line="240" w:lineRule="auto"/>
            </w:pPr>
            <w:r>
              <w:rPr>
                <w:b w:val="0"/>
                <w:sz w:val="14"/>
              </w:rPr>
              <w:t>Before Impact is set</w:t>
            </w:r>
          </w:p>
        </w:tc>
        <w:tc>
          <w:tcPr>
            <w:tcW w:w="3408" w:type="dxa"/>
            <w:vAlign w:val="center"/>
          </w:tcPr>
          <w:p w14:paraId="5F83331F">
            <w:pPr>
              <w:spacing w:after="0" w:line="240" w:lineRule="auto"/>
            </w:pPr>
            <w:r>
              <w:rPr>
                <w:b w:val="0"/>
                <w:sz w:val="14"/>
              </w:rPr>
              <w:t>Focused but time-pressured</w:t>
            </w:r>
          </w:p>
        </w:tc>
        <w:tc>
          <w:tcPr>
            <w:tcW w:w="3408" w:type="dxa"/>
            <w:vAlign w:val="center"/>
          </w:tcPr>
          <w:p w14:paraId="6F43A5F1">
            <w:pPr>
              <w:spacing w:after="0" w:line="240" w:lineRule="auto"/>
            </w:pPr>
            <w:r>
              <w:rPr>
                <w:b w:val="0"/>
                <w:sz w:val="14"/>
              </w:rPr>
              <w:t>Keep routine form behavior lightweight.</w:t>
            </w:r>
          </w:p>
        </w:tc>
      </w:tr>
      <w:tr w14:paraId="79B1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69CE109">
            <w:pPr>
              <w:spacing w:after="0" w:line="240" w:lineRule="auto"/>
            </w:pPr>
            <w:r>
              <w:rPr>
                <w:b w:val="0"/>
                <w:sz w:val="14"/>
              </w:rPr>
              <w:t>Impact becomes High</w:t>
            </w:r>
          </w:p>
        </w:tc>
        <w:tc>
          <w:tcPr>
            <w:tcW w:w="3408" w:type="dxa"/>
            <w:vAlign w:val="center"/>
          </w:tcPr>
          <w:p w14:paraId="34E0112E">
            <w:pPr>
              <w:spacing w:after="0" w:line="240" w:lineRule="auto"/>
            </w:pPr>
            <w:r>
              <w:rPr>
                <w:b w:val="0"/>
                <w:sz w:val="14"/>
              </w:rPr>
              <w:t>Concerned about completeness</w:t>
            </w:r>
          </w:p>
        </w:tc>
        <w:tc>
          <w:tcPr>
            <w:tcW w:w="3408" w:type="dxa"/>
            <w:vAlign w:val="center"/>
          </w:tcPr>
          <w:p w14:paraId="2D17ED72">
            <w:pPr>
              <w:spacing w:after="0" w:line="240" w:lineRule="auto"/>
            </w:pPr>
            <w:r>
              <w:rPr>
                <w:b w:val="0"/>
                <w:sz w:val="14"/>
              </w:rPr>
              <w:t>Activate visible mandatory/routing controls.</w:t>
            </w:r>
          </w:p>
        </w:tc>
      </w:tr>
      <w:tr w14:paraId="7084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525EEE4">
            <w:pPr>
              <w:spacing w:after="0" w:line="240" w:lineRule="auto"/>
            </w:pPr>
            <w:r>
              <w:rPr>
                <w:b w:val="0"/>
                <w:sz w:val="14"/>
              </w:rPr>
              <w:t>Urgency changes automatically</w:t>
            </w:r>
          </w:p>
        </w:tc>
        <w:tc>
          <w:tcPr>
            <w:tcW w:w="3408" w:type="dxa"/>
            <w:vAlign w:val="center"/>
          </w:tcPr>
          <w:p w14:paraId="38070B6A">
            <w:pPr>
              <w:spacing w:after="0" w:line="240" w:lineRule="auto"/>
            </w:pPr>
            <w:r>
              <w:rPr>
                <w:b w:val="0"/>
                <w:sz w:val="14"/>
              </w:rPr>
              <w:t>Reassured if explained</w:t>
            </w:r>
          </w:p>
        </w:tc>
        <w:tc>
          <w:tcPr>
            <w:tcW w:w="3408" w:type="dxa"/>
            <w:vAlign w:val="center"/>
          </w:tcPr>
          <w:p w14:paraId="2F2CA1B5">
            <w:pPr>
              <w:spacing w:after="0" w:line="240" w:lineRule="auto"/>
            </w:pPr>
            <w:r>
              <w:rPr>
                <w:b w:val="0"/>
                <w:sz w:val="14"/>
              </w:rPr>
              <w:t>Show an information message.</w:t>
            </w:r>
          </w:p>
        </w:tc>
      </w:tr>
      <w:tr w14:paraId="1907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B5962DE">
            <w:pPr>
              <w:spacing w:after="0" w:line="240" w:lineRule="auto"/>
            </w:pPr>
            <w:r>
              <w:rPr>
                <w:b w:val="0"/>
                <w:sz w:val="14"/>
              </w:rPr>
              <w:t>Save is blocked</w:t>
            </w:r>
          </w:p>
        </w:tc>
        <w:tc>
          <w:tcPr>
            <w:tcW w:w="3408" w:type="dxa"/>
            <w:vAlign w:val="center"/>
          </w:tcPr>
          <w:p w14:paraId="22346559">
            <w:pPr>
              <w:spacing w:after="0" w:line="240" w:lineRule="auto"/>
            </w:pPr>
            <w:r>
              <w:rPr>
                <w:b w:val="0"/>
                <w:sz w:val="14"/>
              </w:rPr>
              <w:t>Frustrated if unclear</w:t>
            </w:r>
          </w:p>
        </w:tc>
        <w:tc>
          <w:tcPr>
            <w:tcW w:w="3408" w:type="dxa"/>
            <w:vAlign w:val="center"/>
          </w:tcPr>
          <w:p w14:paraId="67BDF3D9">
            <w:pPr>
              <w:spacing w:after="0" w:line="240" w:lineRule="auto"/>
            </w:pPr>
            <w:r>
              <w:rPr>
                <w:b w:val="0"/>
                <w:sz w:val="14"/>
              </w:rPr>
              <w:t>Show a field-level error naming Assigned To.</w:t>
            </w:r>
          </w:p>
        </w:tc>
      </w:tr>
      <w:tr w14:paraId="662E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1B77F3F">
            <w:pPr>
              <w:spacing w:after="0" w:line="240" w:lineRule="auto"/>
            </w:pPr>
            <w:r>
              <w:rPr>
                <w:b w:val="0"/>
                <w:sz w:val="14"/>
              </w:rPr>
              <w:t>List State edit is blocked</w:t>
            </w:r>
          </w:p>
        </w:tc>
        <w:tc>
          <w:tcPr>
            <w:tcW w:w="3408" w:type="dxa"/>
            <w:vAlign w:val="center"/>
          </w:tcPr>
          <w:p w14:paraId="5C808704">
            <w:pPr>
              <w:spacing w:after="0" w:line="240" w:lineRule="auto"/>
            </w:pPr>
            <w:r>
              <w:rPr>
                <w:b w:val="0"/>
                <w:sz w:val="14"/>
              </w:rPr>
              <w:t>Surprised or annoyed</w:t>
            </w:r>
          </w:p>
        </w:tc>
        <w:tc>
          <w:tcPr>
            <w:tcW w:w="3408" w:type="dxa"/>
            <w:vAlign w:val="center"/>
          </w:tcPr>
          <w:p w14:paraId="1A87B215">
            <w:pPr>
              <w:spacing w:after="0" w:line="240" w:lineRule="auto"/>
            </w:pPr>
            <w:r>
              <w:rPr>
                <w:b w:val="0"/>
                <w:sz w:val="14"/>
              </w:rPr>
              <w:t>Explain that the Incident form is required.</w:t>
            </w:r>
          </w:p>
        </w:tc>
      </w:tr>
      <w:tr w14:paraId="5E74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C7E379A">
            <w:pPr>
              <w:spacing w:after="0" w:line="240" w:lineRule="auto"/>
            </w:pPr>
            <w:r>
              <w:rPr>
                <w:b w:val="0"/>
                <w:sz w:val="14"/>
              </w:rPr>
              <w:t>Impact is reduced</w:t>
            </w:r>
          </w:p>
        </w:tc>
        <w:tc>
          <w:tcPr>
            <w:tcW w:w="3408" w:type="dxa"/>
            <w:vAlign w:val="center"/>
          </w:tcPr>
          <w:p w14:paraId="529CC8CF">
            <w:pPr>
              <w:spacing w:after="0" w:line="240" w:lineRule="auto"/>
            </w:pPr>
            <w:r>
              <w:rPr>
                <w:b w:val="0"/>
                <w:sz w:val="14"/>
              </w:rPr>
              <w:t>Relieved</w:t>
            </w:r>
          </w:p>
        </w:tc>
        <w:tc>
          <w:tcPr>
            <w:tcW w:w="3408" w:type="dxa"/>
            <w:vAlign w:val="center"/>
          </w:tcPr>
          <w:p w14:paraId="186F9079">
            <w:pPr>
              <w:spacing w:after="0" w:line="240" w:lineRule="auto"/>
            </w:pPr>
            <w:r>
              <w:rPr>
                <w:b w:val="0"/>
                <w:sz w:val="14"/>
              </w:rPr>
              <w:t>Reverse temporary restrictions automatically.</w:t>
            </w:r>
          </w:p>
        </w:tc>
      </w:tr>
    </w:tbl>
    <w:p w14:paraId="5D92B59D">
      <w:pPr>
        <w:spacing w:before="180" w:after="80"/>
      </w:pPr>
      <w:r>
        <w:rPr>
          <w:b/>
          <w:color w:val="17365D"/>
          <w:sz w:val="30"/>
        </w:rPr>
        <w:t>6. Pains</w:t>
      </w:r>
    </w:p>
    <w:p w14:paraId="183CB101">
      <w:pPr>
        <w:spacing w:after="40"/>
        <w:ind w:left="360" w:hanging="245"/>
      </w:pPr>
      <w:r>
        <w:t>• Remembering multiple high-impact rules while responding quickly.</w:t>
      </w:r>
    </w:p>
    <w:p w14:paraId="70A0FE46">
      <w:pPr>
        <w:spacing w:after="40"/>
        <w:ind w:left="360" w:hanging="245"/>
      </w:pPr>
      <w:r>
        <w:t>• Incomplete records creating rework or delayed ownership.</w:t>
      </w:r>
    </w:p>
    <w:p w14:paraId="3DE5B17D">
      <w:pPr>
        <w:spacing w:after="40"/>
        <w:ind w:left="360" w:hanging="245"/>
      </w:pPr>
      <w:r>
        <w:t>• Unclear error messages that do not identify the next action.</w:t>
      </w:r>
    </w:p>
    <w:p w14:paraId="5323686B">
      <w:pPr>
        <w:spacing w:after="40"/>
        <w:ind w:left="360" w:hanging="245"/>
      </w:pPr>
      <w:r>
        <w:t>• Unexpected restrictions that remain after the Incident becomes lower impact.</w:t>
      </w:r>
    </w:p>
    <w:p w14:paraId="38968E96">
      <w:pPr>
        <w:spacing w:after="40"/>
        <w:ind w:left="360" w:hanging="245"/>
      </w:pPr>
      <w:r>
        <w:t>• Unsafe list edits changing workflow state without sufficient context.</w:t>
      </w:r>
    </w:p>
    <w:p w14:paraId="70FFC7E6">
      <w:pPr>
        <w:spacing w:before="180" w:after="80"/>
      </w:pPr>
      <w:r>
        <w:rPr>
          <w:b/>
          <w:color w:val="17365D"/>
          <w:sz w:val="30"/>
        </w:rPr>
        <w:t>7. Gains</w:t>
      </w:r>
    </w:p>
    <w:p w14:paraId="52C227BE">
      <w:pPr>
        <w:spacing w:after="40"/>
        <w:ind w:left="360" w:hanging="245"/>
      </w:pPr>
      <w:r>
        <w:t>• A dependable high-impact record at the first save.</w:t>
      </w:r>
    </w:p>
    <w:p w14:paraId="317AD74B">
      <w:pPr>
        <w:spacing w:after="40"/>
        <w:ind w:left="360" w:hanging="245"/>
      </w:pPr>
      <w:r>
        <w:t>• Automatic urgency alignment.</w:t>
      </w:r>
    </w:p>
    <w:p w14:paraId="11E5BB05">
      <w:pPr>
        <w:spacing w:after="40"/>
        <w:ind w:left="360" w:hanging="245"/>
      </w:pPr>
      <w:r>
        <w:t>• Clear field-level and action-level feedback.</w:t>
      </w:r>
    </w:p>
    <w:p w14:paraId="57EE05D5">
      <w:pPr>
        <w:spacing w:after="40"/>
        <w:ind w:left="360" w:hanging="245"/>
      </w:pPr>
      <w:r>
        <w:t>• Predictable reversibility.</w:t>
      </w:r>
    </w:p>
    <w:p w14:paraId="73000AF3">
      <w:pPr>
        <w:spacing w:after="40"/>
        <w:ind w:left="360" w:hanging="245"/>
      </w:pPr>
      <w:r>
        <w:t>• Confidence that list editing cannot bypass workflow safety.</w:t>
      </w:r>
    </w:p>
    <w:p w14:paraId="5E57089A">
      <w:pPr>
        <w:spacing w:after="40"/>
        <w:ind w:left="360" w:hanging="245"/>
      </w:pPr>
      <w:r>
        <w:t>• A maintainable configuration the administrator can test and explain.</w:t>
      </w:r>
    </w:p>
    <w:p w14:paraId="22FD0A07">
      <w:pPr>
        <w:jc w:val="center"/>
      </w:pPr>
      <w:r>
        <w:drawing>
          <wp:inline distT="0" distB="0" distL="114300" distR="114300">
            <wp:extent cx="5623560" cy="3162935"/>
            <wp:effectExtent l="0" t="0" r="25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23560" cy="3163252"/>
                    </a:xfrm>
                    <a:prstGeom prst="rect">
                      <a:avLst/>
                    </a:prstGeom>
                  </pic:spPr>
                </pic:pic>
              </a:graphicData>
            </a:graphic>
          </wp:inline>
        </w:drawing>
      </w:r>
    </w:p>
    <w:p w14:paraId="490E3CFA">
      <w:pPr>
        <w:jc w:val="center"/>
      </w:pPr>
      <w:r>
        <w:rPr>
          <w:i/>
          <w:sz w:val="16"/>
        </w:rPr>
        <w:t>Generated project visual: the user experience is supported by a native ServiceNow policy and event-control layer.</w:t>
      </w:r>
    </w:p>
    <w:p w14:paraId="7E12408C">
      <w:pPr>
        <w:spacing w:before="180" w:after="80"/>
      </w:pPr>
      <w:r>
        <w:rPr>
          <w:b/>
          <w:color w:val="17365D"/>
          <w:sz w:val="30"/>
        </w:rPr>
        <w:t>8. Empathy insight translated into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B747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7365D"/>
            <w:vAlign w:val="center"/>
          </w:tcPr>
          <w:p w14:paraId="67D8C711">
            <w:pPr>
              <w:spacing w:after="0" w:line="240" w:lineRule="auto"/>
            </w:pPr>
            <w:r>
              <w:rPr>
                <w:b/>
                <w:color w:val="FFFFFF"/>
                <w:sz w:val="16"/>
              </w:rPr>
              <w:t>Insight</w:t>
            </w:r>
          </w:p>
        </w:tc>
        <w:tc>
          <w:tcPr>
            <w:tcW w:w="5112" w:type="dxa"/>
            <w:shd w:val="clear" w:color="auto" w:fill="17365D"/>
            <w:vAlign w:val="center"/>
          </w:tcPr>
          <w:p w14:paraId="5DB542E1">
            <w:pPr>
              <w:spacing w:after="0" w:line="240" w:lineRule="auto"/>
            </w:pPr>
            <w:r>
              <w:rPr>
                <w:b/>
                <w:color w:val="FFFFFF"/>
                <w:sz w:val="16"/>
              </w:rPr>
              <w:t>Requirement implication</w:t>
            </w:r>
          </w:p>
        </w:tc>
      </w:tr>
      <w:tr w14:paraId="7527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0EE63FC">
            <w:pPr>
              <w:spacing w:after="0" w:line="240" w:lineRule="auto"/>
            </w:pPr>
            <w:r>
              <w:rPr>
                <w:b w:val="0"/>
                <w:sz w:val="14"/>
              </w:rPr>
              <w:t>Agent needs immediate guidance</w:t>
            </w:r>
          </w:p>
        </w:tc>
        <w:tc>
          <w:tcPr>
            <w:tcW w:w="5112" w:type="dxa"/>
            <w:vAlign w:val="center"/>
          </w:tcPr>
          <w:p w14:paraId="1EFAC45B">
            <w:pPr>
              <w:spacing w:after="0" w:line="240" w:lineRule="auto"/>
            </w:pPr>
            <w:r>
              <w:rPr>
                <w:b w:val="0"/>
                <w:sz w:val="14"/>
              </w:rPr>
              <w:t>Use UI Policy actions and g_form messages at the relevant event.</w:t>
            </w:r>
          </w:p>
        </w:tc>
      </w:tr>
      <w:tr w14:paraId="2BD4E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E84AF3">
            <w:pPr>
              <w:spacing w:after="0" w:line="240" w:lineRule="auto"/>
            </w:pPr>
            <w:r>
              <w:rPr>
                <w:b w:val="0"/>
                <w:sz w:val="14"/>
              </w:rPr>
              <w:t>Agent needs a clear correction path</w:t>
            </w:r>
          </w:p>
        </w:tc>
        <w:tc>
          <w:tcPr>
            <w:tcW w:w="5112" w:type="dxa"/>
            <w:vAlign w:val="center"/>
          </w:tcPr>
          <w:p w14:paraId="7B663106">
            <w:pPr>
              <w:spacing w:after="0" w:line="240" w:lineRule="auto"/>
            </w:pPr>
            <w:r>
              <w:rPr>
                <w:b w:val="0"/>
                <w:sz w:val="14"/>
              </w:rPr>
              <w:t>Use showErrorBox on Assigned To and an alert for State list edits.</w:t>
            </w:r>
          </w:p>
        </w:tc>
      </w:tr>
      <w:tr w14:paraId="2513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1126E3">
            <w:pPr>
              <w:spacing w:after="0" w:line="240" w:lineRule="auto"/>
            </w:pPr>
            <w:r>
              <w:rPr>
                <w:b w:val="0"/>
                <w:sz w:val="14"/>
              </w:rPr>
              <w:t>Administrator needs predictable scope</w:t>
            </w:r>
          </w:p>
        </w:tc>
        <w:tc>
          <w:tcPr>
            <w:tcW w:w="5112" w:type="dxa"/>
            <w:vAlign w:val="center"/>
          </w:tcPr>
          <w:p w14:paraId="49F9E6B7">
            <w:pPr>
              <w:spacing w:after="0" w:line="240" w:lineRule="auto"/>
            </w:pPr>
            <w:r>
              <w:rPr>
                <w:b w:val="0"/>
                <w:sz w:val="14"/>
              </w:rPr>
              <w:t>Bind controls to Incident and explicit fields/events.</w:t>
            </w:r>
          </w:p>
        </w:tc>
      </w:tr>
      <w:tr w14:paraId="6470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5B1099">
            <w:pPr>
              <w:spacing w:after="0" w:line="240" w:lineRule="auto"/>
            </w:pPr>
            <w:r>
              <w:rPr>
                <w:b w:val="0"/>
                <w:sz w:val="14"/>
              </w:rPr>
              <w:t>Users need normal behavior after risk decreases</w:t>
            </w:r>
          </w:p>
        </w:tc>
        <w:tc>
          <w:tcPr>
            <w:tcW w:w="5112" w:type="dxa"/>
            <w:vAlign w:val="center"/>
          </w:tcPr>
          <w:p w14:paraId="2D05406E">
            <w:pPr>
              <w:spacing w:after="0" w:line="240" w:lineRule="auto"/>
            </w:pPr>
            <w:r>
              <w:rPr>
                <w:b w:val="0"/>
                <w:sz w:val="14"/>
              </w:rPr>
              <w:t>Set Reverse if false = true and test the transition.</w:t>
            </w:r>
          </w:p>
        </w:tc>
      </w:tr>
      <w:tr w14:paraId="6C521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15EA76A">
            <w:pPr>
              <w:spacing w:after="0" w:line="240" w:lineRule="auto"/>
            </w:pPr>
            <w:r>
              <w:rPr>
                <w:b w:val="0"/>
                <w:sz w:val="14"/>
              </w:rPr>
              <w:t>Operations need trustworthy records</w:t>
            </w:r>
          </w:p>
        </w:tc>
        <w:tc>
          <w:tcPr>
            <w:tcW w:w="5112" w:type="dxa"/>
            <w:vAlign w:val="center"/>
          </w:tcPr>
          <w:p w14:paraId="0B10B147">
            <w:pPr>
              <w:spacing w:after="0" w:line="240" w:lineRule="auto"/>
            </w:pPr>
            <w:r>
              <w:rPr>
                <w:b w:val="0"/>
                <w:sz w:val="14"/>
              </w:rPr>
              <w:t>Validate before submit and protect State changes.</w:t>
            </w:r>
          </w:p>
        </w:tc>
      </w:tr>
    </w:tbl>
    <w:p w14:paraId="34E2FA39">
      <w:pPr>
        <w:spacing w:before="180" w:after="80"/>
      </w:pPr>
      <w:r>
        <w:rPr>
          <w:b/>
          <w:color w:val="17365D"/>
          <w:sz w:val="30"/>
        </w:rPr>
        <w:t>9. Phase 1 empathy conclusion</w:t>
      </w:r>
    </w:p>
    <w:p w14:paraId="5B5CF01A">
      <w:r>
        <w:t>The empathy map confirms that the solution should not be a blanket restriction. It should be conditional, explainable, reversible, and aligned to the agent’s moment of risk. The selected ServiceNow UI Policy and Client Script pattern fits those needs while keeping the platform-native workflow intact.</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DD62EA"/>
    <w:rsid w:val="785E21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608</Words>
  <Characters>3396</Characters>
  <Lines>0</Lines>
  <Paragraphs>0</Paragraphs>
  <TotalTime>0</TotalTime>
  <ScaleCrop>false</ScaleCrop>
  <LinksUpToDate>false</LinksUpToDate>
  <CharactersWithSpaces>3918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Pooja Janarthanan</cp:lastModifiedBy>
  <dcterms:modified xsi:type="dcterms:W3CDTF">2026-10-02T10:19:31Z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eyJoZGlkIjoiNjU0ZTU1NWIwZThkOTk1MjJmZWQ2YzQ3ZjliY2RjZjUiLCJ1c2VySWQiOiI1NDk3NjcyNzczNjYifQ==</vt:lpwstr>
  </property>
  <property fmtid="{D5CDD505-2E9C-101B-9397-08002B2CF9AE}" pid="3" name="KSOProductBuildVer">
    <vt:lpwstr>1033-12.1.0.28485</vt:lpwstr>
  </property>
  <property fmtid="{D5CDD505-2E9C-101B-9397-08002B2CF9AE}" pid="4" name="ICV">
    <vt:lpwstr>B86E43739BB84775A28D3CE718E46A66_12</vt:lpwstr>
  </property>
</Properties>
</file>