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29E486">
      <w:pPr>
        <w:jc w:val="center"/>
      </w:pPr>
      <w:r>
        <w:rPr>
          <w:b/>
          <w:color w:val="17365D"/>
          <w:sz w:val="40"/>
        </w:rPr>
        <w:t>Requirement Analysis — Solution Requirements</w:t>
      </w:r>
    </w:p>
    <w:p w14:paraId="7547F333">
      <w:pPr>
        <w:jc w:val="center"/>
      </w:pPr>
      <w:bookmarkStart w:id="0" w:name="_GoBack"/>
      <w:r>
        <w:rPr>
          <w:b/>
          <w:color w:val="0F9D9A"/>
          <w:sz w:val="26"/>
        </w:rPr>
        <w:t>Implement Client Script &amp; UI Policy (Incident)</w:t>
      </w:r>
    </w:p>
    <w:bookmarkEnd w:id="0"/>
    <w:p w14:paraId="53F66B6A">
      <w:pPr>
        <w:jc w:val="center"/>
      </w:pPr>
      <w:r>
        <w:rPr>
          <w:i/>
        </w:rPr>
        <w:t>0</w:t>
      </w:r>
      <w:r>
        <w:rPr>
          <w:rFonts w:hint="default"/>
          <w:i/>
          <w:lang w:val="en-US"/>
        </w:rPr>
        <w:t>1</w:t>
      </w:r>
      <w:r>
        <w:rPr>
          <w:i/>
        </w:rPr>
        <w:t xml:space="preserve"> October 2026 | Requirement Analysis | </w:t>
      </w:r>
      <w:r>
        <w:rPr>
          <w:rFonts w:hint="default"/>
          <w:i/>
        </w:rPr>
        <w:t>SWTID-2026-4755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12"/>
        <w:gridCol w:w="5112"/>
      </w:tblGrid>
      <w:tr w14:paraId="5967E5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  <w:shd w:val="clear" w:color="auto" w:fill="17365D"/>
            <w:vAlign w:val="center"/>
          </w:tcPr>
          <w:p w14:paraId="3C44044F">
            <w:pPr>
              <w:spacing w:after="0" w:line="240" w:lineRule="auto"/>
            </w:pPr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w="5112" w:type="dxa"/>
            <w:shd w:val="clear" w:color="auto" w:fill="17365D"/>
            <w:vAlign w:val="center"/>
          </w:tcPr>
          <w:p w14:paraId="2A353969">
            <w:pPr>
              <w:spacing w:after="0" w:line="240" w:lineRule="auto"/>
            </w:pPr>
            <w:r>
              <w:rPr>
                <w:b/>
                <w:color w:val="FFFFFF"/>
                <w:sz w:val="16"/>
              </w:rPr>
              <w:t>Project value</w:t>
            </w:r>
          </w:p>
        </w:tc>
      </w:tr>
      <w:tr w14:paraId="34EA9A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  <w:vAlign w:val="center"/>
          </w:tcPr>
          <w:p w14:paraId="5B3A38E2">
            <w:pPr>
              <w:spacing w:after="0" w:line="240" w:lineRule="auto"/>
            </w:pPr>
            <w:r>
              <w:rPr>
                <w:b w:val="0"/>
                <w:sz w:val="14"/>
              </w:rPr>
              <w:t>Date</w:t>
            </w:r>
          </w:p>
        </w:tc>
        <w:tc>
          <w:tcPr>
            <w:tcW w:w="5112" w:type="dxa"/>
            <w:vAlign w:val="center"/>
          </w:tcPr>
          <w:p w14:paraId="0C9AA7D5">
            <w:pPr>
              <w:spacing w:after="0" w:line="240" w:lineRule="auto"/>
            </w:pPr>
            <w:r>
              <w:rPr>
                <w:rFonts w:hint="default"/>
                <w:b w:val="0"/>
                <w:sz w:val="14"/>
                <w:lang w:val="en-US"/>
              </w:rPr>
              <w:t>01</w:t>
            </w:r>
            <w:r>
              <w:rPr>
                <w:b w:val="0"/>
                <w:sz w:val="14"/>
              </w:rPr>
              <w:t xml:space="preserve"> October 2026</w:t>
            </w:r>
          </w:p>
        </w:tc>
      </w:tr>
      <w:tr w14:paraId="2D1FCD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  <w:vAlign w:val="center"/>
          </w:tcPr>
          <w:p w14:paraId="3285E16A">
            <w:pPr>
              <w:spacing w:after="0" w:line="240" w:lineRule="auto"/>
            </w:pPr>
            <w:r>
              <w:rPr>
                <w:b w:val="0"/>
                <w:sz w:val="14"/>
              </w:rPr>
              <w:t>Team ID</w:t>
            </w:r>
          </w:p>
        </w:tc>
        <w:tc>
          <w:tcPr>
            <w:tcW w:w="5112" w:type="dxa"/>
            <w:vAlign w:val="center"/>
          </w:tcPr>
          <w:p w14:paraId="50C488D8">
            <w:pPr>
              <w:spacing w:after="0" w:line="240" w:lineRule="auto"/>
            </w:pPr>
            <w:r>
              <w:rPr>
                <w:rFonts w:hint="default"/>
                <w:sz w:val="14"/>
                <w:szCs w:val="14"/>
              </w:rPr>
              <w:t>SWTID-2026-4755</w:t>
            </w:r>
          </w:p>
        </w:tc>
      </w:tr>
      <w:tr w14:paraId="428916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  <w:vAlign w:val="center"/>
          </w:tcPr>
          <w:p w14:paraId="3B1E18BC">
            <w:pPr>
              <w:spacing w:after="0" w:line="240" w:lineRule="auto"/>
            </w:pPr>
            <w:r>
              <w:rPr>
                <w:b w:val="0"/>
                <w:sz w:val="14"/>
              </w:rPr>
              <w:t>Project Name</w:t>
            </w:r>
          </w:p>
        </w:tc>
        <w:tc>
          <w:tcPr>
            <w:tcW w:w="5112" w:type="dxa"/>
            <w:vAlign w:val="center"/>
          </w:tcPr>
          <w:p w14:paraId="00CA92A2">
            <w:pPr>
              <w:spacing w:after="0" w:line="240" w:lineRule="auto"/>
            </w:pPr>
            <w:r>
              <w:rPr>
                <w:b w:val="0"/>
                <w:sz w:val="14"/>
              </w:rPr>
              <w:t>Implement Client Script &amp; UI Policy (Incident)</w:t>
            </w:r>
          </w:p>
        </w:tc>
      </w:tr>
      <w:tr w14:paraId="349FD2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  <w:vAlign w:val="center"/>
          </w:tcPr>
          <w:p w14:paraId="25D70569">
            <w:pPr>
              <w:spacing w:after="0" w:line="240" w:lineRule="auto"/>
            </w:pPr>
            <w:r>
              <w:rPr>
                <w:b w:val="0"/>
                <w:sz w:val="14"/>
              </w:rPr>
              <w:t>Analysis focus</w:t>
            </w:r>
          </w:p>
        </w:tc>
        <w:tc>
          <w:tcPr>
            <w:tcW w:w="5112" w:type="dxa"/>
            <w:vAlign w:val="center"/>
          </w:tcPr>
          <w:p w14:paraId="0E7EAC99">
            <w:pPr>
              <w:spacing w:after="0" w:line="240" w:lineRule="auto"/>
            </w:pPr>
            <w:r>
              <w:rPr>
                <w:b w:val="0"/>
                <w:sz w:val="14"/>
              </w:rPr>
              <w:t>Functional, non-functional, acceptance, and traceability requirements</w:t>
            </w:r>
          </w:p>
        </w:tc>
      </w:tr>
    </w:tbl>
    <w:p w14:paraId="5F70412B">
      <w:pPr>
        <w:spacing w:before="180" w:after="80"/>
      </w:pPr>
      <w:r>
        <w:rPr>
          <w:b/>
          <w:color w:val="17365D"/>
          <w:sz w:val="30"/>
        </w:rPr>
        <w:t>1. Requirement objective</w:t>
      </w:r>
    </w:p>
    <w:p w14:paraId="398D585F">
      <w:r>
        <w:t>Define the requirements for enforcing reliable high-impact Incident data entry and workflow safety through a UI Policy and Client Scripts. Each requirement is directly traceable to a configuration task or verification scenario in the supplied implementation PDF.</w:t>
      </w:r>
    </w:p>
    <w:p w14:paraId="0A7BE51C">
      <w:pPr>
        <w:spacing w:before="180" w:after="80"/>
      </w:pPr>
      <w:r>
        <w:rPr>
          <w:b/>
          <w:color w:val="17365D"/>
          <w:sz w:val="30"/>
        </w:rPr>
        <w:t>2. Functional requirements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6"/>
        <w:gridCol w:w="2556"/>
        <w:gridCol w:w="2556"/>
        <w:gridCol w:w="2556"/>
      </w:tblGrid>
      <w:tr w14:paraId="52C821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6" w:type="dxa"/>
            <w:shd w:val="clear" w:color="auto" w:fill="17365D"/>
            <w:vAlign w:val="center"/>
          </w:tcPr>
          <w:p w14:paraId="42B2150E">
            <w:pPr>
              <w:spacing w:after="0" w:line="240" w:lineRule="auto"/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w="2556" w:type="dxa"/>
            <w:shd w:val="clear" w:color="auto" w:fill="17365D"/>
            <w:vAlign w:val="center"/>
          </w:tcPr>
          <w:p w14:paraId="2F559493">
            <w:pPr>
              <w:spacing w:after="0" w:line="240" w:lineRule="auto"/>
            </w:pPr>
            <w:r>
              <w:rPr>
                <w:b/>
                <w:color w:val="FFFFFF"/>
                <w:sz w:val="16"/>
              </w:rPr>
              <w:t>Requirement</w:t>
            </w:r>
          </w:p>
        </w:tc>
        <w:tc>
          <w:tcPr>
            <w:tcW w:w="2556" w:type="dxa"/>
            <w:shd w:val="clear" w:color="auto" w:fill="17365D"/>
            <w:vAlign w:val="center"/>
          </w:tcPr>
          <w:p w14:paraId="64526CCE">
            <w:pPr>
              <w:spacing w:after="0" w:line="240" w:lineRule="auto"/>
            </w:pPr>
            <w:r>
              <w:rPr>
                <w:b/>
                <w:color w:val="FFFFFF"/>
                <w:sz w:val="16"/>
              </w:rPr>
              <w:t>Priority</w:t>
            </w:r>
          </w:p>
        </w:tc>
        <w:tc>
          <w:tcPr>
            <w:tcW w:w="2556" w:type="dxa"/>
            <w:shd w:val="clear" w:color="auto" w:fill="17365D"/>
            <w:vAlign w:val="center"/>
          </w:tcPr>
          <w:p w14:paraId="5F0BCD84">
            <w:pPr>
              <w:spacing w:after="0" w:line="240" w:lineRule="auto"/>
            </w:pPr>
            <w:r>
              <w:rPr>
                <w:b/>
                <w:color w:val="FFFFFF"/>
                <w:sz w:val="16"/>
              </w:rPr>
              <w:t>Acceptance evidence</w:t>
            </w:r>
          </w:p>
        </w:tc>
      </w:tr>
      <w:tr w14:paraId="342096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6" w:type="dxa"/>
            <w:vAlign w:val="center"/>
          </w:tcPr>
          <w:p w14:paraId="264938E1">
            <w:pPr>
              <w:spacing w:after="0" w:line="240" w:lineRule="auto"/>
            </w:pPr>
            <w:r>
              <w:rPr>
                <w:b w:val="0"/>
                <w:sz w:val="14"/>
              </w:rPr>
              <w:t>FR-01</w:t>
            </w:r>
          </w:p>
        </w:tc>
        <w:tc>
          <w:tcPr>
            <w:tcW w:w="2556" w:type="dxa"/>
            <w:vAlign w:val="center"/>
          </w:tcPr>
          <w:p w14:paraId="1B5CA9F0">
            <w:pPr>
              <w:spacing w:after="0" w:line="240" w:lineRule="auto"/>
            </w:pPr>
            <w:r>
              <w:rPr>
                <w:b w:val="0"/>
                <w:sz w:val="14"/>
              </w:rPr>
              <w:t>The system shall provide an active UI Policy named High Impact Control on the Incident table.</w:t>
            </w:r>
          </w:p>
        </w:tc>
        <w:tc>
          <w:tcPr>
            <w:tcW w:w="2556" w:type="dxa"/>
            <w:vAlign w:val="center"/>
          </w:tcPr>
          <w:p w14:paraId="0D56A625">
            <w:pPr>
              <w:spacing w:after="0" w:line="240" w:lineRule="auto"/>
            </w:pPr>
            <w:r>
              <w:rPr>
                <w:b w:val="0"/>
                <w:sz w:val="14"/>
              </w:rPr>
              <w:t>Must</w:t>
            </w:r>
          </w:p>
        </w:tc>
        <w:tc>
          <w:tcPr>
            <w:tcW w:w="2556" w:type="dxa"/>
            <w:vAlign w:val="center"/>
          </w:tcPr>
          <w:p w14:paraId="470681F4">
            <w:pPr>
              <w:spacing w:after="0" w:line="240" w:lineRule="auto"/>
            </w:pPr>
            <w:r>
              <w:rPr>
                <w:b w:val="0"/>
                <w:sz w:val="14"/>
              </w:rPr>
              <w:t>Policy record exists with correct table and active flag.</w:t>
            </w:r>
          </w:p>
        </w:tc>
      </w:tr>
      <w:tr w14:paraId="7C0F5F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6" w:type="dxa"/>
            <w:vAlign w:val="center"/>
          </w:tcPr>
          <w:p w14:paraId="0421F2FD">
            <w:pPr>
              <w:spacing w:after="0" w:line="240" w:lineRule="auto"/>
            </w:pPr>
            <w:r>
              <w:rPr>
                <w:b w:val="0"/>
                <w:sz w:val="14"/>
              </w:rPr>
              <w:t>FR-02</w:t>
            </w:r>
          </w:p>
        </w:tc>
        <w:tc>
          <w:tcPr>
            <w:tcW w:w="2556" w:type="dxa"/>
            <w:vAlign w:val="center"/>
          </w:tcPr>
          <w:p w14:paraId="36ABE472">
            <w:pPr>
              <w:spacing w:after="0" w:line="240" w:lineRule="auto"/>
            </w:pPr>
            <w:r>
              <w:rPr>
                <w:b w:val="0"/>
                <w:sz w:val="14"/>
              </w:rPr>
              <w:t>The policy shall activate when Impact is 1 – High.</w:t>
            </w:r>
          </w:p>
        </w:tc>
        <w:tc>
          <w:tcPr>
            <w:tcW w:w="2556" w:type="dxa"/>
            <w:vAlign w:val="center"/>
          </w:tcPr>
          <w:p w14:paraId="5101C72B">
            <w:pPr>
              <w:spacing w:after="0" w:line="240" w:lineRule="auto"/>
            </w:pPr>
            <w:r>
              <w:rPr>
                <w:b w:val="0"/>
                <w:sz w:val="14"/>
              </w:rPr>
              <w:t>Must</w:t>
            </w:r>
          </w:p>
        </w:tc>
        <w:tc>
          <w:tcPr>
            <w:tcW w:w="2556" w:type="dxa"/>
            <w:vAlign w:val="center"/>
          </w:tcPr>
          <w:p w14:paraId="40966509">
            <w:pPr>
              <w:spacing w:after="0" w:line="240" w:lineRule="auto"/>
            </w:pPr>
            <w:r>
              <w:rPr>
                <w:b w:val="0"/>
                <w:sz w:val="14"/>
              </w:rPr>
              <w:t>Impact condition evaluates correctly.</w:t>
            </w:r>
          </w:p>
        </w:tc>
      </w:tr>
      <w:tr w14:paraId="602A1B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6" w:type="dxa"/>
            <w:vAlign w:val="center"/>
          </w:tcPr>
          <w:p w14:paraId="018A848F">
            <w:pPr>
              <w:spacing w:after="0" w:line="240" w:lineRule="auto"/>
            </w:pPr>
            <w:r>
              <w:rPr>
                <w:b w:val="0"/>
                <w:sz w:val="14"/>
              </w:rPr>
              <w:t>FR-03</w:t>
            </w:r>
          </w:p>
        </w:tc>
        <w:tc>
          <w:tcPr>
            <w:tcW w:w="2556" w:type="dxa"/>
            <w:vAlign w:val="center"/>
          </w:tcPr>
          <w:p w14:paraId="1599E2A4">
            <w:pPr>
              <w:spacing w:after="0" w:line="240" w:lineRule="auto"/>
            </w:pPr>
            <w:r>
              <w:rPr>
                <w:b w:val="0"/>
                <w:sz w:val="14"/>
              </w:rPr>
              <w:t>Assignment group shall become mandatory when the policy is active.</w:t>
            </w:r>
          </w:p>
        </w:tc>
        <w:tc>
          <w:tcPr>
            <w:tcW w:w="2556" w:type="dxa"/>
            <w:vAlign w:val="center"/>
          </w:tcPr>
          <w:p w14:paraId="0709EB81">
            <w:pPr>
              <w:spacing w:after="0" w:line="240" w:lineRule="auto"/>
            </w:pPr>
            <w:r>
              <w:rPr>
                <w:b w:val="0"/>
                <w:sz w:val="14"/>
              </w:rPr>
              <w:t>Must</w:t>
            </w:r>
          </w:p>
        </w:tc>
        <w:tc>
          <w:tcPr>
            <w:tcW w:w="2556" w:type="dxa"/>
            <w:vAlign w:val="center"/>
          </w:tcPr>
          <w:p w14:paraId="75DE7579">
            <w:pPr>
              <w:spacing w:after="0" w:line="240" w:lineRule="auto"/>
            </w:pPr>
            <w:r>
              <w:rPr>
                <w:b w:val="0"/>
                <w:sz w:val="14"/>
              </w:rPr>
              <w:t>UAT-01.</w:t>
            </w:r>
          </w:p>
        </w:tc>
      </w:tr>
      <w:tr w14:paraId="045DD3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6" w:type="dxa"/>
            <w:vAlign w:val="center"/>
          </w:tcPr>
          <w:p w14:paraId="4AB37120">
            <w:pPr>
              <w:spacing w:after="0" w:line="240" w:lineRule="auto"/>
            </w:pPr>
            <w:r>
              <w:rPr>
                <w:b w:val="0"/>
                <w:sz w:val="14"/>
              </w:rPr>
              <w:t>FR-04</w:t>
            </w:r>
          </w:p>
        </w:tc>
        <w:tc>
          <w:tcPr>
            <w:tcW w:w="2556" w:type="dxa"/>
            <w:vAlign w:val="center"/>
          </w:tcPr>
          <w:p w14:paraId="20B93C44">
            <w:pPr>
              <w:spacing w:after="0" w:line="240" w:lineRule="auto"/>
            </w:pPr>
            <w:r>
              <w:rPr>
                <w:b w:val="0"/>
                <w:sz w:val="14"/>
              </w:rPr>
              <w:t>Urgency shall become read-only while the policy is active.</w:t>
            </w:r>
          </w:p>
        </w:tc>
        <w:tc>
          <w:tcPr>
            <w:tcW w:w="2556" w:type="dxa"/>
            <w:vAlign w:val="center"/>
          </w:tcPr>
          <w:p w14:paraId="59EFE965">
            <w:pPr>
              <w:spacing w:after="0" w:line="240" w:lineRule="auto"/>
            </w:pPr>
            <w:r>
              <w:rPr>
                <w:b w:val="0"/>
                <w:sz w:val="14"/>
              </w:rPr>
              <w:t>Must</w:t>
            </w:r>
          </w:p>
        </w:tc>
        <w:tc>
          <w:tcPr>
            <w:tcW w:w="2556" w:type="dxa"/>
            <w:vAlign w:val="center"/>
          </w:tcPr>
          <w:p w14:paraId="57BD0C02">
            <w:pPr>
              <w:spacing w:after="0" w:line="240" w:lineRule="auto"/>
            </w:pPr>
            <w:r>
              <w:rPr>
                <w:b w:val="0"/>
                <w:sz w:val="14"/>
              </w:rPr>
              <w:t>High-impact form inspection and reverse test.</w:t>
            </w:r>
          </w:p>
        </w:tc>
      </w:tr>
      <w:tr w14:paraId="03C45A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6" w:type="dxa"/>
            <w:vAlign w:val="center"/>
          </w:tcPr>
          <w:p w14:paraId="019FC162">
            <w:pPr>
              <w:spacing w:after="0" w:line="240" w:lineRule="auto"/>
            </w:pPr>
            <w:r>
              <w:rPr>
                <w:b w:val="0"/>
                <w:sz w:val="14"/>
              </w:rPr>
              <w:t>FR-05</w:t>
            </w:r>
          </w:p>
        </w:tc>
        <w:tc>
          <w:tcPr>
            <w:tcW w:w="2556" w:type="dxa"/>
            <w:vAlign w:val="center"/>
          </w:tcPr>
          <w:p w14:paraId="36C3CE91">
            <w:pPr>
              <w:spacing w:after="0" w:line="240" w:lineRule="auto"/>
            </w:pPr>
            <w:r>
              <w:rPr>
                <w:b w:val="0"/>
                <w:sz w:val="14"/>
              </w:rPr>
              <w:t>The onChange script shall set Urgency to High when Impact changes to High.</w:t>
            </w:r>
          </w:p>
        </w:tc>
        <w:tc>
          <w:tcPr>
            <w:tcW w:w="2556" w:type="dxa"/>
            <w:vAlign w:val="center"/>
          </w:tcPr>
          <w:p w14:paraId="1650D35B">
            <w:pPr>
              <w:spacing w:after="0" w:line="240" w:lineRule="auto"/>
            </w:pPr>
            <w:r>
              <w:rPr>
                <w:b w:val="0"/>
                <w:sz w:val="14"/>
              </w:rPr>
              <w:t>Must</w:t>
            </w:r>
          </w:p>
        </w:tc>
        <w:tc>
          <w:tcPr>
            <w:tcW w:w="2556" w:type="dxa"/>
            <w:vAlign w:val="center"/>
          </w:tcPr>
          <w:p w14:paraId="0E956971">
            <w:pPr>
              <w:spacing w:after="0" w:line="240" w:lineRule="auto"/>
            </w:pPr>
            <w:r>
              <w:rPr>
                <w:b w:val="0"/>
                <w:sz w:val="14"/>
              </w:rPr>
              <w:t>UAT-02.</w:t>
            </w:r>
          </w:p>
        </w:tc>
      </w:tr>
      <w:tr w14:paraId="51F04C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6" w:type="dxa"/>
            <w:vAlign w:val="center"/>
          </w:tcPr>
          <w:p w14:paraId="56D7C75B">
            <w:pPr>
              <w:spacing w:after="0" w:line="240" w:lineRule="auto"/>
            </w:pPr>
            <w:r>
              <w:rPr>
                <w:b w:val="0"/>
                <w:sz w:val="14"/>
              </w:rPr>
              <w:t>FR-06</w:t>
            </w:r>
          </w:p>
        </w:tc>
        <w:tc>
          <w:tcPr>
            <w:tcW w:w="2556" w:type="dxa"/>
            <w:vAlign w:val="center"/>
          </w:tcPr>
          <w:p w14:paraId="410DC2FC">
            <w:pPr>
              <w:spacing w:after="0" w:line="240" w:lineRule="auto"/>
            </w:pPr>
            <w:r>
              <w:rPr>
                <w:b w:val="0"/>
                <w:sz w:val="14"/>
              </w:rPr>
              <w:t>The onSubmit script shall block save when Impact is High and Assigned To is empty.</w:t>
            </w:r>
          </w:p>
        </w:tc>
        <w:tc>
          <w:tcPr>
            <w:tcW w:w="2556" w:type="dxa"/>
            <w:vAlign w:val="center"/>
          </w:tcPr>
          <w:p w14:paraId="44BA2553">
            <w:pPr>
              <w:spacing w:after="0" w:line="240" w:lineRule="auto"/>
            </w:pPr>
            <w:r>
              <w:rPr>
                <w:b w:val="0"/>
                <w:sz w:val="14"/>
              </w:rPr>
              <w:t>Must</w:t>
            </w:r>
          </w:p>
        </w:tc>
        <w:tc>
          <w:tcPr>
            <w:tcW w:w="2556" w:type="dxa"/>
            <w:vAlign w:val="center"/>
          </w:tcPr>
          <w:p w14:paraId="02B96FCB">
            <w:pPr>
              <w:spacing w:after="0" w:line="240" w:lineRule="auto"/>
            </w:pPr>
            <w:r>
              <w:rPr>
                <w:b w:val="0"/>
                <w:sz w:val="14"/>
              </w:rPr>
              <w:t>UAT-03; field error is visible.</w:t>
            </w:r>
          </w:p>
        </w:tc>
      </w:tr>
      <w:tr w14:paraId="5E764E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6" w:type="dxa"/>
            <w:vAlign w:val="center"/>
          </w:tcPr>
          <w:p w14:paraId="1FD00BC7">
            <w:pPr>
              <w:spacing w:after="0" w:line="240" w:lineRule="auto"/>
            </w:pPr>
            <w:r>
              <w:rPr>
                <w:b w:val="0"/>
                <w:sz w:val="14"/>
              </w:rPr>
              <w:t>FR-07</w:t>
            </w:r>
          </w:p>
        </w:tc>
        <w:tc>
          <w:tcPr>
            <w:tcW w:w="2556" w:type="dxa"/>
            <w:vAlign w:val="center"/>
          </w:tcPr>
          <w:p w14:paraId="4C44B9AE">
            <w:pPr>
              <w:spacing w:after="0" w:line="240" w:lineRule="auto"/>
            </w:pPr>
            <w:r>
              <w:rPr>
                <w:b w:val="0"/>
                <w:sz w:val="14"/>
              </w:rPr>
              <w:t>The onCellEdit script shall reject direct State list editing.</w:t>
            </w:r>
          </w:p>
        </w:tc>
        <w:tc>
          <w:tcPr>
            <w:tcW w:w="2556" w:type="dxa"/>
            <w:vAlign w:val="center"/>
          </w:tcPr>
          <w:p w14:paraId="3A5DFB12">
            <w:pPr>
              <w:spacing w:after="0" w:line="240" w:lineRule="auto"/>
            </w:pPr>
            <w:r>
              <w:rPr>
                <w:b w:val="0"/>
                <w:sz w:val="14"/>
              </w:rPr>
              <w:t>Must</w:t>
            </w:r>
          </w:p>
        </w:tc>
        <w:tc>
          <w:tcPr>
            <w:tcW w:w="2556" w:type="dxa"/>
            <w:vAlign w:val="center"/>
          </w:tcPr>
          <w:p w14:paraId="7E5198B3">
            <w:pPr>
              <w:spacing w:after="0" w:line="240" w:lineRule="auto"/>
            </w:pPr>
            <w:r>
              <w:rPr>
                <w:b w:val="0"/>
                <w:sz w:val="14"/>
              </w:rPr>
              <w:t>UAT-06; callback(false).</w:t>
            </w:r>
          </w:p>
        </w:tc>
      </w:tr>
      <w:tr w14:paraId="41F66D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6" w:type="dxa"/>
            <w:vAlign w:val="center"/>
          </w:tcPr>
          <w:p w14:paraId="73D7A545">
            <w:pPr>
              <w:spacing w:after="0" w:line="240" w:lineRule="auto"/>
            </w:pPr>
            <w:r>
              <w:rPr>
                <w:b w:val="0"/>
                <w:sz w:val="14"/>
              </w:rPr>
              <w:t>FR-08</w:t>
            </w:r>
          </w:p>
        </w:tc>
        <w:tc>
          <w:tcPr>
            <w:tcW w:w="2556" w:type="dxa"/>
            <w:vAlign w:val="center"/>
          </w:tcPr>
          <w:p w14:paraId="020D1C43">
            <w:pPr>
              <w:spacing w:after="0" w:line="240" w:lineRule="auto"/>
            </w:pPr>
            <w:r>
              <w:rPr>
                <w:b w:val="0"/>
                <w:sz w:val="14"/>
              </w:rPr>
              <w:t>The UI Policy shall reverse temporary behavior when the condition becomes false.</w:t>
            </w:r>
          </w:p>
        </w:tc>
        <w:tc>
          <w:tcPr>
            <w:tcW w:w="2556" w:type="dxa"/>
            <w:vAlign w:val="center"/>
          </w:tcPr>
          <w:p w14:paraId="05FB0A81">
            <w:pPr>
              <w:spacing w:after="0" w:line="240" w:lineRule="auto"/>
            </w:pPr>
            <w:r>
              <w:rPr>
                <w:b w:val="0"/>
                <w:sz w:val="14"/>
              </w:rPr>
              <w:t>Must</w:t>
            </w:r>
          </w:p>
        </w:tc>
        <w:tc>
          <w:tcPr>
            <w:tcW w:w="2556" w:type="dxa"/>
            <w:vAlign w:val="center"/>
          </w:tcPr>
          <w:p w14:paraId="39B0D64B">
            <w:pPr>
              <w:spacing w:after="0" w:line="240" w:lineRule="auto"/>
            </w:pPr>
            <w:r>
              <w:rPr>
                <w:b w:val="0"/>
                <w:sz w:val="14"/>
              </w:rPr>
              <w:t>UAT-05.</w:t>
            </w:r>
          </w:p>
        </w:tc>
      </w:tr>
      <w:tr w14:paraId="45D643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6" w:type="dxa"/>
            <w:vAlign w:val="center"/>
          </w:tcPr>
          <w:p w14:paraId="3AD1BB35">
            <w:pPr>
              <w:spacing w:after="0" w:line="240" w:lineRule="auto"/>
            </w:pPr>
            <w:r>
              <w:rPr>
                <w:b w:val="0"/>
                <w:sz w:val="14"/>
              </w:rPr>
              <w:t>FR-09</w:t>
            </w:r>
          </w:p>
        </w:tc>
        <w:tc>
          <w:tcPr>
            <w:tcW w:w="2556" w:type="dxa"/>
            <w:vAlign w:val="center"/>
          </w:tcPr>
          <w:p w14:paraId="301D1BDF">
            <w:pPr>
              <w:spacing w:after="0" w:line="240" w:lineRule="auto"/>
            </w:pPr>
            <w:r>
              <w:rPr>
                <w:b w:val="0"/>
                <w:sz w:val="14"/>
              </w:rPr>
              <w:t>Form-based State updates shall remain possible.</w:t>
            </w:r>
          </w:p>
        </w:tc>
        <w:tc>
          <w:tcPr>
            <w:tcW w:w="2556" w:type="dxa"/>
            <w:vAlign w:val="center"/>
          </w:tcPr>
          <w:p w14:paraId="6F632037">
            <w:pPr>
              <w:spacing w:after="0" w:line="240" w:lineRule="auto"/>
            </w:pPr>
            <w:r>
              <w:rPr>
                <w:b w:val="0"/>
                <w:sz w:val="14"/>
              </w:rPr>
              <w:t>Should</w:t>
            </w:r>
          </w:p>
        </w:tc>
        <w:tc>
          <w:tcPr>
            <w:tcW w:w="2556" w:type="dxa"/>
            <w:vAlign w:val="center"/>
          </w:tcPr>
          <w:p w14:paraId="0F98003E">
            <w:pPr>
              <w:spacing w:after="0" w:line="240" w:lineRule="auto"/>
            </w:pPr>
            <w:r>
              <w:rPr>
                <w:b w:val="0"/>
                <w:sz w:val="14"/>
              </w:rPr>
              <w:t>UAT-07.</w:t>
            </w:r>
          </w:p>
        </w:tc>
      </w:tr>
    </w:tbl>
    <w:p w14:paraId="565DDAE2">
      <w:pPr>
        <w:spacing w:before="180" w:after="80"/>
      </w:pPr>
      <w:r>
        <w:rPr>
          <w:b/>
          <w:color w:val="17365D"/>
          <w:sz w:val="30"/>
        </w:rPr>
        <w:t>3. Non-functional requirements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8"/>
        <w:gridCol w:w="3408"/>
        <w:gridCol w:w="3408"/>
      </w:tblGrid>
      <w:tr w14:paraId="2B1DBB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8" w:type="dxa"/>
            <w:shd w:val="clear" w:color="auto" w:fill="17365D"/>
            <w:vAlign w:val="center"/>
          </w:tcPr>
          <w:p w14:paraId="39C571C0">
            <w:pPr>
              <w:spacing w:after="0" w:line="240" w:lineRule="auto"/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w="3408" w:type="dxa"/>
            <w:shd w:val="clear" w:color="auto" w:fill="17365D"/>
            <w:vAlign w:val="center"/>
          </w:tcPr>
          <w:p w14:paraId="2A14EE10">
            <w:pPr>
              <w:spacing w:after="0" w:line="240" w:lineRule="auto"/>
            </w:pPr>
            <w:r>
              <w:rPr>
                <w:b/>
                <w:color w:val="FFFFFF"/>
                <w:sz w:val="16"/>
              </w:rPr>
              <w:t>Requirement</w:t>
            </w:r>
          </w:p>
        </w:tc>
        <w:tc>
          <w:tcPr>
            <w:tcW w:w="3408" w:type="dxa"/>
            <w:shd w:val="clear" w:color="auto" w:fill="17365D"/>
            <w:vAlign w:val="center"/>
          </w:tcPr>
          <w:p w14:paraId="16C21FEE">
            <w:pPr>
              <w:spacing w:after="0" w:line="240" w:lineRule="auto"/>
            </w:pPr>
            <w:r>
              <w:rPr>
                <w:b/>
                <w:color w:val="FFFFFF"/>
                <w:sz w:val="16"/>
              </w:rPr>
              <w:t>Measure / rationale</w:t>
            </w:r>
          </w:p>
        </w:tc>
      </w:tr>
      <w:tr w14:paraId="4EFFF9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8" w:type="dxa"/>
            <w:vAlign w:val="center"/>
          </w:tcPr>
          <w:p w14:paraId="1A86CA01">
            <w:pPr>
              <w:spacing w:after="0" w:line="240" w:lineRule="auto"/>
            </w:pPr>
            <w:r>
              <w:rPr>
                <w:b w:val="0"/>
                <w:sz w:val="14"/>
              </w:rPr>
              <w:t>NFR-01</w:t>
            </w:r>
          </w:p>
        </w:tc>
        <w:tc>
          <w:tcPr>
            <w:tcW w:w="3408" w:type="dxa"/>
            <w:vAlign w:val="center"/>
          </w:tcPr>
          <w:p w14:paraId="621D1363">
            <w:pPr>
              <w:spacing w:after="0" w:line="240" w:lineRule="auto"/>
            </w:pPr>
            <w:r>
              <w:rPr>
                <w:b w:val="0"/>
                <w:sz w:val="14"/>
              </w:rPr>
              <w:t>Explainability</w:t>
            </w:r>
          </w:p>
        </w:tc>
        <w:tc>
          <w:tcPr>
            <w:tcW w:w="3408" w:type="dxa"/>
            <w:vAlign w:val="center"/>
          </w:tcPr>
          <w:p w14:paraId="1C7E7491">
            <w:pPr>
              <w:spacing w:after="0" w:line="240" w:lineRule="auto"/>
            </w:pPr>
            <w:r>
              <w:rPr>
                <w:b w:val="0"/>
                <w:sz w:val="14"/>
              </w:rPr>
              <w:t>Every blocked action provides a message or field-level error that names the next step.</w:t>
            </w:r>
          </w:p>
        </w:tc>
      </w:tr>
      <w:tr w14:paraId="0FCBE7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8" w:type="dxa"/>
            <w:vAlign w:val="center"/>
          </w:tcPr>
          <w:p w14:paraId="4C62C7C4">
            <w:pPr>
              <w:spacing w:after="0" w:line="240" w:lineRule="auto"/>
            </w:pPr>
            <w:r>
              <w:rPr>
                <w:b w:val="0"/>
                <w:sz w:val="14"/>
              </w:rPr>
              <w:t>NFR-02</w:t>
            </w:r>
          </w:p>
        </w:tc>
        <w:tc>
          <w:tcPr>
            <w:tcW w:w="3408" w:type="dxa"/>
            <w:vAlign w:val="center"/>
          </w:tcPr>
          <w:p w14:paraId="22FA7FAA">
            <w:pPr>
              <w:spacing w:after="0" w:line="240" w:lineRule="auto"/>
            </w:pPr>
            <w:r>
              <w:rPr>
                <w:b w:val="0"/>
                <w:sz w:val="14"/>
              </w:rPr>
              <w:t>Responsiveness</w:t>
            </w:r>
          </w:p>
        </w:tc>
        <w:tc>
          <w:tcPr>
            <w:tcW w:w="3408" w:type="dxa"/>
            <w:vAlign w:val="center"/>
          </w:tcPr>
          <w:p w14:paraId="014731E9">
            <w:pPr>
              <w:spacing w:after="0" w:line="240" w:lineRule="auto"/>
            </w:pPr>
            <w:r>
              <w:rPr>
                <w:b w:val="0"/>
                <w:sz w:val="14"/>
              </w:rPr>
              <w:t>Client logic runs on the current UI event and does not poll an external service.</w:t>
            </w:r>
          </w:p>
        </w:tc>
      </w:tr>
      <w:tr w14:paraId="4A0516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8" w:type="dxa"/>
            <w:vAlign w:val="center"/>
          </w:tcPr>
          <w:p w14:paraId="255AF87B">
            <w:pPr>
              <w:spacing w:after="0" w:line="240" w:lineRule="auto"/>
            </w:pPr>
            <w:r>
              <w:rPr>
                <w:b w:val="0"/>
                <w:sz w:val="14"/>
              </w:rPr>
              <w:t>NFR-03</w:t>
            </w:r>
          </w:p>
        </w:tc>
        <w:tc>
          <w:tcPr>
            <w:tcW w:w="3408" w:type="dxa"/>
            <w:vAlign w:val="center"/>
          </w:tcPr>
          <w:p w14:paraId="29F7B33C">
            <w:pPr>
              <w:spacing w:after="0" w:line="240" w:lineRule="auto"/>
            </w:pPr>
            <w:r>
              <w:rPr>
                <w:b w:val="0"/>
                <w:sz w:val="14"/>
              </w:rPr>
              <w:t>Maintainability</w:t>
            </w:r>
          </w:p>
        </w:tc>
        <w:tc>
          <w:tcPr>
            <w:tcW w:w="3408" w:type="dxa"/>
            <w:vAlign w:val="center"/>
          </w:tcPr>
          <w:p w14:paraId="01356B6D">
            <w:pPr>
              <w:spacing w:after="0" w:line="240" w:lineRule="auto"/>
            </w:pPr>
            <w:r>
              <w:rPr>
                <w:b w:val="0"/>
                <w:sz w:val="14"/>
              </w:rPr>
              <w:t>Names, event types, fields, and conditions are explicit and narrowly scoped.</w:t>
            </w:r>
          </w:p>
        </w:tc>
      </w:tr>
      <w:tr w14:paraId="5F9F70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8" w:type="dxa"/>
            <w:vAlign w:val="center"/>
          </w:tcPr>
          <w:p w14:paraId="174EDA06">
            <w:pPr>
              <w:spacing w:after="0" w:line="240" w:lineRule="auto"/>
            </w:pPr>
            <w:r>
              <w:rPr>
                <w:b w:val="0"/>
                <w:sz w:val="14"/>
              </w:rPr>
              <w:t>NFR-04</w:t>
            </w:r>
          </w:p>
        </w:tc>
        <w:tc>
          <w:tcPr>
            <w:tcW w:w="3408" w:type="dxa"/>
            <w:vAlign w:val="center"/>
          </w:tcPr>
          <w:p w14:paraId="20BB12AC">
            <w:pPr>
              <w:spacing w:after="0" w:line="240" w:lineRule="auto"/>
            </w:pPr>
            <w:r>
              <w:rPr>
                <w:b w:val="0"/>
                <w:sz w:val="14"/>
              </w:rPr>
              <w:t>Reversibility</w:t>
            </w:r>
          </w:p>
        </w:tc>
        <w:tc>
          <w:tcPr>
            <w:tcW w:w="3408" w:type="dxa"/>
            <w:vAlign w:val="center"/>
          </w:tcPr>
          <w:p w14:paraId="41BDC636">
            <w:pPr>
              <w:spacing w:after="0" w:line="240" w:lineRule="auto"/>
            </w:pPr>
            <w:r>
              <w:rPr>
                <w:b w:val="0"/>
                <w:sz w:val="14"/>
              </w:rPr>
              <w:t>Temporary policy effects return to normal behavior when Impact is not High.</w:t>
            </w:r>
          </w:p>
        </w:tc>
      </w:tr>
      <w:tr w14:paraId="03226C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8" w:type="dxa"/>
            <w:vAlign w:val="center"/>
          </w:tcPr>
          <w:p w14:paraId="24CA4D64">
            <w:pPr>
              <w:spacing w:after="0" w:line="240" w:lineRule="auto"/>
            </w:pPr>
            <w:r>
              <w:rPr>
                <w:b w:val="0"/>
                <w:sz w:val="14"/>
              </w:rPr>
              <w:t>NFR-05</w:t>
            </w:r>
          </w:p>
        </w:tc>
        <w:tc>
          <w:tcPr>
            <w:tcW w:w="3408" w:type="dxa"/>
            <w:vAlign w:val="center"/>
          </w:tcPr>
          <w:p w14:paraId="7B8E6C9E">
            <w:pPr>
              <w:spacing w:after="0" w:line="240" w:lineRule="auto"/>
            </w:pPr>
            <w:r>
              <w:rPr>
                <w:b w:val="0"/>
                <w:sz w:val="14"/>
              </w:rPr>
              <w:t>Security boundary</w:t>
            </w:r>
          </w:p>
        </w:tc>
        <w:tc>
          <w:tcPr>
            <w:tcW w:w="3408" w:type="dxa"/>
            <w:vAlign w:val="center"/>
          </w:tcPr>
          <w:p w14:paraId="07D833D1">
            <w:pPr>
              <w:spacing w:after="0" w:line="240" w:lineRule="auto"/>
            </w:pPr>
            <w:r>
              <w:rPr>
                <w:b w:val="0"/>
                <w:sz w:val="14"/>
              </w:rPr>
              <w:t>Client controls do not replace ACLs, roles, or server-side authorization.</w:t>
            </w:r>
          </w:p>
        </w:tc>
      </w:tr>
      <w:tr w14:paraId="18C140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8" w:type="dxa"/>
            <w:vAlign w:val="center"/>
          </w:tcPr>
          <w:p w14:paraId="6A85C6C7">
            <w:pPr>
              <w:spacing w:after="0" w:line="240" w:lineRule="auto"/>
            </w:pPr>
            <w:r>
              <w:rPr>
                <w:b w:val="0"/>
                <w:sz w:val="14"/>
              </w:rPr>
              <w:t>NFR-06</w:t>
            </w:r>
          </w:p>
        </w:tc>
        <w:tc>
          <w:tcPr>
            <w:tcW w:w="3408" w:type="dxa"/>
            <w:vAlign w:val="center"/>
          </w:tcPr>
          <w:p w14:paraId="3D9CD43D">
            <w:pPr>
              <w:spacing w:after="0" w:line="240" w:lineRule="auto"/>
            </w:pPr>
            <w:r>
              <w:rPr>
                <w:b w:val="0"/>
                <w:sz w:val="14"/>
              </w:rPr>
              <w:t>Auditability</w:t>
            </w:r>
          </w:p>
        </w:tc>
        <w:tc>
          <w:tcPr>
            <w:tcW w:w="3408" w:type="dxa"/>
            <w:vAlign w:val="center"/>
          </w:tcPr>
          <w:p w14:paraId="4D501977">
            <w:pPr>
              <w:spacing w:after="0" w:line="240" w:lineRule="auto"/>
            </w:pPr>
            <w:r>
              <w:rPr>
                <w:b w:val="0"/>
                <w:sz w:val="14"/>
              </w:rPr>
              <w:t>Valid changes remain in the native Incident history/reporting model.</w:t>
            </w:r>
          </w:p>
        </w:tc>
      </w:tr>
    </w:tbl>
    <w:p w14:paraId="0DAB32FF">
      <w:pPr>
        <w:spacing w:before="180" w:after="80"/>
      </w:pPr>
      <w:r>
        <w:rPr>
          <w:b/>
          <w:color w:val="17365D"/>
          <w:sz w:val="30"/>
        </w:rPr>
        <w:t>4. Acceptance criteria</w:t>
      </w:r>
    </w:p>
    <w:p w14:paraId="2C2DEB90">
      <w:pPr>
        <w:spacing w:after="40"/>
        <w:ind w:left="360" w:hanging="245"/>
      </w:pPr>
      <w:r>
        <w:t>• High-impact Incident without Assignment group cannot satisfy routing completeness.</w:t>
      </w:r>
    </w:p>
    <w:p w14:paraId="463024FE">
      <w:pPr>
        <w:spacing w:after="40"/>
        <w:ind w:left="360" w:hanging="245"/>
      </w:pPr>
      <w:r>
        <w:t>• High-impact Incident without Assigned To cannot be saved.</w:t>
      </w:r>
    </w:p>
    <w:p w14:paraId="1FCF4A92">
      <w:pPr>
        <w:spacing w:after="40"/>
        <w:ind w:left="360" w:hanging="245"/>
      </w:pPr>
      <w:r>
        <w:t>• Impact change to High sets Urgency to High and displays the project message.</w:t>
      </w:r>
    </w:p>
    <w:p w14:paraId="36AF8B00">
      <w:pPr>
        <w:spacing w:after="40"/>
        <w:ind w:left="360" w:hanging="245"/>
      </w:pPr>
      <w:r>
        <w:t>• Impact change away from High reverses mandatory/read-only behavior.</w:t>
      </w:r>
    </w:p>
    <w:p w14:paraId="42B2681B">
      <w:pPr>
        <w:spacing w:after="40"/>
        <w:ind w:left="360" w:hanging="245"/>
      </w:pPr>
      <w:r>
        <w:t>• State list edit is rejected and the original value is preserved.</w:t>
      </w:r>
    </w:p>
    <w:p w14:paraId="57CE5EEB">
      <w:pPr>
        <w:spacing w:after="40"/>
        <w:ind w:left="360" w:hanging="245"/>
      </w:pPr>
      <w:r>
        <w:t>• State update from the Incident form succeeds.</w:t>
      </w:r>
    </w:p>
    <w:p w14:paraId="7D7D17F4">
      <w:pPr>
        <w:spacing w:before="180" w:after="80"/>
      </w:pPr>
      <w:r>
        <w:rPr>
          <w:b/>
          <w:color w:val="17365D"/>
          <w:sz w:val="30"/>
        </w:rPr>
        <w:t>5. Requirement traceability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8"/>
        <w:gridCol w:w="3408"/>
        <w:gridCol w:w="3408"/>
      </w:tblGrid>
      <w:tr w14:paraId="7D862C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8" w:type="dxa"/>
            <w:shd w:val="clear" w:color="auto" w:fill="17365D"/>
            <w:vAlign w:val="center"/>
          </w:tcPr>
          <w:p w14:paraId="2F3765E2">
            <w:pPr>
              <w:spacing w:after="0" w:line="240" w:lineRule="auto"/>
            </w:pPr>
            <w:r>
              <w:rPr>
                <w:b/>
                <w:color w:val="FFFFFF"/>
                <w:sz w:val="16"/>
              </w:rPr>
              <w:t>Project PDF task</w:t>
            </w:r>
          </w:p>
        </w:tc>
        <w:tc>
          <w:tcPr>
            <w:tcW w:w="3408" w:type="dxa"/>
            <w:shd w:val="clear" w:color="auto" w:fill="17365D"/>
            <w:vAlign w:val="center"/>
          </w:tcPr>
          <w:p w14:paraId="48D1F1A8">
            <w:pPr>
              <w:spacing w:after="0" w:line="240" w:lineRule="auto"/>
            </w:pPr>
            <w:r>
              <w:rPr>
                <w:b/>
                <w:color w:val="FFFFFF"/>
                <w:sz w:val="16"/>
              </w:rPr>
              <w:t>Requirement group</w:t>
            </w:r>
          </w:p>
        </w:tc>
        <w:tc>
          <w:tcPr>
            <w:tcW w:w="3408" w:type="dxa"/>
            <w:shd w:val="clear" w:color="auto" w:fill="17365D"/>
            <w:vAlign w:val="center"/>
          </w:tcPr>
          <w:p w14:paraId="363531A6">
            <w:pPr>
              <w:spacing w:after="0" w:line="240" w:lineRule="auto"/>
            </w:pPr>
            <w:r>
              <w:rPr>
                <w:b/>
                <w:color w:val="FFFFFF"/>
                <w:sz w:val="16"/>
              </w:rPr>
              <w:t>Resulting artifact</w:t>
            </w:r>
          </w:p>
        </w:tc>
      </w:tr>
      <w:tr w14:paraId="463096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8" w:type="dxa"/>
            <w:vAlign w:val="center"/>
          </w:tcPr>
          <w:p w14:paraId="07211627">
            <w:pPr>
              <w:spacing w:after="0" w:line="240" w:lineRule="auto"/>
            </w:pPr>
            <w:r>
              <w:rPr>
                <w:b w:val="0"/>
                <w:sz w:val="14"/>
              </w:rPr>
              <w:t>Task 1: UI Policy</w:t>
            </w:r>
          </w:p>
        </w:tc>
        <w:tc>
          <w:tcPr>
            <w:tcW w:w="3408" w:type="dxa"/>
            <w:vAlign w:val="center"/>
          </w:tcPr>
          <w:p w14:paraId="33F77E22">
            <w:pPr>
              <w:spacing w:after="0" w:line="240" w:lineRule="auto"/>
            </w:pPr>
            <w:r>
              <w:rPr>
                <w:b w:val="0"/>
                <w:sz w:val="14"/>
              </w:rPr>
              <w:t>FR-01 to FR-04; NFR-03 to NFR-05</w:t>
            </w:r>
          </w:p>
        </w:tc>
        <w:tc>
          <w:tcPr>
            <w:tcW w:w="3408" w:type="dxa"/>
            <w:vAlign w:val="center"/>
          </w:tcPr>
          <w:p w14:paraId="4DFBA0A8">
            <w:pPr>
              <w:spacing w:after="0" w:line="240" w:lineRule="auto"/>
            </w:pPr>
            <w:r>
              <w:rPr>
                <w:b w:val="0"/>
                <w:sz w:val="14"/>
              </w:rPr>
              <w:t>High Impact Control and Policy Actions.</w:t>
            </w:r>
          </w:p>
        </w:tc>
      </w:tr>
      <w:tr w14:paraId="60DD0C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8" w:type="dxa"/>
            <w:vAlign w:val="center"/>
          </w:tcPr>
          <w:p w14:paraId="78FE998A">
            <w:pPr>
              <w:spacing w:after="0" w:line="240" w:lineRule="auto"/>
            </w:pPr>
            <w:r>
              <w:rPr>
                <w:b w:val="0"/>
                <w:sz w:val="14"/>
              </w:rPr>
              <w:t>Task 2: Urgency action</w:t>
            </w:r>
          </w:p>
        </w:tc>
        <w:tc>
          <w:tcPr>
            <w:tcW w:w="3408" w:type="dxa"/>
            <w:vAlign w:val="center"/>
          </w:tcPr>
          <w:p w14:paraId="0C3DC0FB">
            <w:pPr>
              <w:spacing w:after="0" w:line="240" w:lineRule="auto"/>
            </w:pPr>
            <w:r>
              <w:rPr>
                <w:b w:val="0"/>
                <w:sz w:val="14"/>
              </w:rPr>
              <w:t>FR-04 to FR-05</w:t>
            </w:r>
          </w:p>
        </w:tc>
        <w:tc>
          <w:tcPr>
            <w:tcW w:w="3408" w:type="dxa"/>
            <w:vAlign w:val="center"/>
          </w:tcPr>
          <w:p w14:paraId="7CCDA6AD">
            <w:pPr>
              <w:spacing w:after="0" w:line="240" w:lineRule="auto"/>
            </w:pPr>
            <w:r>
              <w:rPr>
                <w:b w:val="0"/>
                <w:sz w:val="14"/>
              </w:rPr>
              <w:t>Urgency read-only action and onChange script.</w:t>
            </w:r>
          </w:p>
        </w:tc>
      </w:tr>
      <w:tr w14:paraId="397AE0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8" w:type="dxa"/>
            <w:vAlign w:val="center"/>
          </w:tcPr>
          <w:p w14:paraId="4A2D1363">
            <w:pPr>
              <w:spacing w:after="0" w:line="240" w:lineRule="auto"/>
            </w:pPr>
            <w:r>
              <w:rPr>
                <w:b w:val="0"/>
                <w:sz w:val="14"/>
              </w:rPr>
              <w:t>Task 3: onChange</w:t>
            </w:r>
          </w:p>
        </w:tc>
        <w:tc>
          <w:tcPr>
            <w:tcW w:w="3408" w:type="dxa"/>
            <w:vAlign w:val="center"/>
          </w:tcPr>
          <w:p w14:paraId="1729E311">
            <w:pPr>
              <w:spacing w:after="0" w:line="240" w:lineRule="auto"/>
            </w:pPr>
            <w:r>
              <w:rPr>
                <w:b w:val="0"/>
                <w:sz w:val="14"/>
              </w:rPr>
              <w:t>FR-05; NFR-01 to NFR-03</w:t>
            </w:r>
          </w:p>
        </w:tc>
        <w:tc>
          <w:tcPr>
            <w:tcW w:w="3408" w:type="dxa"/>
            <w:vAlign w:val="center"/>
          </w:tcPr>
          <w:p w14:paraId="4ECC5EEF">
            <w:pPr>
              <w:spacing w:after="0" w:line="240" w:lineRule="auto"/>
            </w:pPr>
            <w:r>
              <w:rPr>
                <w:b w:val="0"/>
                <w:sz w:val="14"/>
              </w:rPr>
              <w:t>Auto set urgency for high impact.</w:t>
            </w:r>
          </w:p>
        </w:tc>
      </w:tr>
      <w:tr w14:paraId="37B4DE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8" w:type="dxa"/>
            <w:vAlign w:val="center"/>
          </w:tcPr>
          <w:p w14:paraId="4AC495A3">
            <w:pPr>
              <w:spacing w:after="0" w:line="240" w:lineRule="auto"/>
            </w:pPr>
            <w:r>
              <w:rPr>
                <w:b w:val="0"/>
                <w:sz w:val="14"/>
              </w:rPr>
              <w:t>Task 4: onSubmit</w:t>
            </w:r>
          </w:p>
        </w:tc>
        <w:tc>
          <w:tcPr>
            <w:tcW w:w="3408" w:type="dxa"/>
            <w:vAlign w:val="center"/>
          </w:tcPr>
          <w:p w14:paraId="05B2DD6D">
            <w:pPr>
              <w:spacing w:after="0" w:line="240" w:lineRule="auto"/>
            </w:pPr>
            <w:r>
              <w:rPr>
                <w:b w:val="0"/>
                <w:sz w:val="14"/>
              </w:rPr>
              <w:t>FR-06; NFR-01</w:t>
            </w:r>
          </w:p>
        </w:tc>
        <w:tc>
          <w:tcPr>
            <w:tcW w:w="3408" w:type="dxa"/>
            <w:vAlign w:val="center"/>
          </w:tcPr>
          <w:p w14:paraId="2AFA0749">
            <w:pPr>
              <w:spacing w:after="0" w:line="240" w:lineRule="auto"/>
            </w:pPr>
            <w:r>
              <w:rPr>
                <w:b w:val="0"/>
                <w:sz w:val="14"/>
              </w:rPr>
              <w:t>Prevent save if Assigned To missing.</w:t>
            </w:r>
          </w:p>
        </w:tc>
      </w:tr>
      <w:tr w14:paraId="2CB2D5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8" w:type="dxa"/>
            <w:vAlign w:val="center"/>
          </w:tcPr>
          <w:p w14:paraId="7971561E">
            <w:pPr>
              <w:spacing w:after="0" w:line="240" w:lineRule="auto"/>
            </w:pPr>
            <w:r>
              <w:rPr>
                <w:b w:val="0"/>
                <w:sz w:val="14"/>
              </w:rPr>
              <w:t>Task 5: onCellEdit</w:t>
            </w:r>
          </w:p>
        </w:tc>
        <w:tc>
          <w:tcPr>
            <w:tcW w:w="3408" w:type="dxa"/>
            <w:vAlign w:val="center"/>
          </w:tcPr>
          <w:p w14:paraId="1A46FFBB">
            <w:pPr>
              <w:spacing w:after="0" w:line="240" w:lineRule="auto"/>
            </w:pPr>
            <w:r>
              <w:rPr>
                <w:b w:val="0"/>
                <w:sz w:val="14"/>
              </w:rPr>
              <w:t>FR-07; NFR-01</w:t>
            </w:r>
          </w:p>
        </w:tc>
        <w:tc>
          <w:tcPr>
            <w:tcW w:w="3408" w:type="dxa"/>
            <w:vAlign w:val="center"/>
          </w:tcPr>
          <w:p w14:paraId="1859FC8C">
            <w:pPr>
              <w:spacing w:after="0" w:line="240" w:lineRule="auto"/>
            </w:pPr>
            <w:r>
              <w:rPr>
                <w:b w:val="0"/>
                <w:sz w:val="14"/>
              </w:rPr>
              <w:t>Prevent State change via list edit.</w:t>
            </w:r>
          </w:p>
        </w:tc>
      </w:tr>
      <w:tr w14:paraId="191AA6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8" w:type="dxa"/>
            <w:vAlign w:val="center"/>
          </w:tcPr>
          <w:p w14:paraId="684D90CF">
            <w:pPr>
              <w:spacing w:after="0" w:line="240" w:lineRule="auto"/>
            </w:pPr>
            <w:r>
              <w:rPr>
                <w:b w:val="0"/>
                <w:sz w:val="14"/>
              </w:rPr>
              <w:t>Task 6: testing</w:t>
            </w:r>
          </w:p>
        </w:tc>
        <w:tc>
          <w:tcPr>
            <w:tcW w:w="3408" w:type="dxa"/>
            <w:vAlign w:val="center"/>
          </w:tcPr>
          <w:p w14:paraId="2381EB09">
            <w:pPr>
              <w:spacing w:after="0" w:line="240" w:lineRule="auto"/>
            </w:pPr>
            <w:r>
              <w:rPr>
                <w:b w:val="0"/>
                <w:sz w:val="14"/>
              </w:rPr>
              <w:t>FR-08 to FR-09; NFR-04 to NFR-06</w:t>
            </w:r>
          </w:p>
        </w:tc>
        <w:tc>
          <w:tcPr>
            <w:tcW w:w="3408" w:type="dxa"/>
            <w:vAlign w:val="center"/>
          </w:tcPr>
          <w:p w14:paraId="0184A5DF">
            <w:pPr>
              <w:spacing w:after="0" w:line="240" w:lineRule="auto"/>
            </w:pPr>
            <w:r>
              <w:rPr>
                <w:b w:val="0"/>
                <w:sz w:val="14"/>
              </w:rPr>
              <w:t>UAT matrix and evidence checklist.</w:t>
            </w:r>
          </w:p>
        </w:tc>
      </w:tr>
    </w:tbl>
    <w:p w14:paraId="00497C0E"/>
    <w:sectPr>
      <w:pgSz w:w="12240" w:h="15840"/>
      <w:pgMar w:top="936" w:right="1008" w:bottom="936" w:left="1008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0AD24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490</Words>
  <Characters>2833</Characters>
  <Lines>0</Lines>
  <Paragraphs>0</Paragraphs>
  <TotalTime>0</TotalTime>
  <ScaleCrop>false</ScaleCrop>
  <LinksUpToDate>false</LinksUpToDate>
  <CharactersWithSpaces>3216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Pooja Janarthanan</cp:lastModifiedBy>
  <dcterms:modified xsi:type="dcterms:W3CDTF">2026-10-02T10:23:06Z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eyJoZGlkIjoiNjU0ZTU1NWIwZThkOTk1MjJmZWQ2YzQ3ZjliY2RjZjUiLCJ1c2VySWQiOiI1NDk3NjcyNzczNjYifQ==</vt:lpwstr>
  </property>
  <property fmtid="{D5CDD505-2E9C-101B-9397-08002B2CF9AE}" pid="3" name="KSOProductBuildVer">
    <vt:lpwstr>1033-12.1.0.28485</vt:lpwstr>
  </property>
  <property fmtid="{D5CDD505-2E9C-101B-9397-08002B2CF9AE}" pid="4" name="ICV">
    <vt:lpwstr>2B6BA286C7734E4F8CE9BF88FB8C3D04_12</vt:lpwstr>
  </property>
</Properties>
</file>