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6E5B9">
      <w:pPr>
        <w:jc w:val="center"/>
      </w:pPr>
      <w:r>
        <w:rPr>
          <w:b/>
          <w:color w:val="17365D"/>
          <w:sz w:val="40"/>
        </w:rPr>
        <w:t>Requirement Analysis — Technology Stack</w:t>
      </w:r>
    </w:p>
    <w:p w14:paraId="14417D2D">
      <w:pPr>
        <w:jc w:val="center"/>
      </w:pPr>
      <w:r>
        <w:rPr>
          <w:b/>
          <w:color w:val="0F9D9A"/>
          <w:sz w:val="26"/>
        </w:rPr>
        <w:t>Implement Client Script &amp; UI Policy (Incident)</w:t>
      </w:r>
    </w:p>
    <w:p w14:paraId="13C4CA95">
      <w:pPr>
        <w:jc w:val="center"/>
      </w:pPr>
      <w:r>
        <w:rPr>
          <w:i/>
        </w:rPr>
        <w:t>0</w:t>
      </w:r>
      <w:r>
        <w:rPr>
          <w:rFonts w:hint="default"/>
          <w:i/>
          <w:lang w:val="en-US"/>
        </w:rPr>
        <w:t>1</w:t>
      </w:r>
      <w:r>
        <w:rPr>
          <w:i/>
        </w:rPr>
        <w:t xml:space="preserve"> October 2026 | Requirement Analysis | </w:t>
      </w:r>
      <w:r>
        <w:rPr>
          <w:rFonts w:hint="default"/>
          <w:i/>
        </w:rPr>
        <w:t>SWTID-2026-4755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1E3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61EEAD75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6E49B2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Project value</w:t>
            </w:r>
          </w:p>
        </w:tc>
      </w:tr>
      <w:tr w14:paraId="0B4B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F77AB64">
            <w:pPr>
              <w:spacing w:after="0" w:line="240" w:lineRule="auto"/>
            </w:pPr>
            <w:r>
              <w:rPr>
                <w:b w:val="0"/>
                <w:sz w:val="14"/>
              </w:rPr>
              <w:t>Date</w:t>
            </w:r>
          </w:p>
        </w:tc>
        <w:tc>
          <w:tcPr>
            <w:tcW w:w="5112" w:type="dxa"/>
            <w:vAlign w:val="center"/>
          </w:tcPr>
          <w:p w14:paraId="45005C40">
            <w:pPr>
              <w:spacing w:after="0" w:line="240" w:lineRule="auto"/>
            </w:pPr>
            <w:r>
              <w:rPr>
                <w:b w:val="0"/>
                <w:sz w:val="14"/>
              </w:rPr>
              <w:t>0</w:t>
            </w:r>
            <w:r>
              <w:rPr>
                <w:rFonts w:hint="default"/>
                <w:b w:val="0"/>
                <w:sz w:val="14"/>
                <w:lang w:val="en-US"/>
              </w:rPr>
              <w:t>1</w:t>
            </w:r>
            <w:r>
              <w:rPr>
                <w:b w:val="0"/>
                <w:sz w:val="14"/>
              </w:rPr>
              <w:t xml:space="preserve"> October 2026</w:t>
            </w:r>
          </w:p>
        </w:tc>
      </w:tr>
      <w:tr w14:paraId="2F00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C6BAE84">
            <w:pPr>
              <w:spacing w:after="0" w:line="240" w:lineRule="auto"/>
            </w:pPr>
            <w:r>
              <w:rPr>
                <w:b w:val="0"/>
                <w:sz w:val="14"/>
              </w:rPr>
              <w:t>Team ID</w:t>
            </w:r>
          </w:p>
        </w:tc>
        <w:tc>
          <w:tcPr>
            <w:tcW w:w="5112" w:type="dxa"/>
            <w:vAlign w:val="center"/>
          </w:tcPr>
          <w:p w14:paraId="5390371C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</w:rPr>
              <w:t>SWTID-2026-4755</w:t>
            </w:r>
            <w:bookmarkStart w:id="0" w:name="_GoBack"/>
            <w:bookmarkEnd w:id="0"/>
          </w:p>
        </w:tc>
      </w:tr>
      <w:tr w14:paraId="492A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29E5744">
            <w:pPr>
              <w:spacing w:after="0" w:line="240" w:lineRule="auto"/>
            </w:pPr>
            <w:r>
              <w:rPr>
                <w:b w:val="0"/>
                <w:sz w:val="14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3F54D715">
            <w:pPr>
              <w:spacing w:after="0" w:line="240" w:lineRule="auto"/>
            </w:pPr>
            <w:r>
              <w:rPr>
                <w:b w:val="0"/>
                <w:sz w:val="14"/>
              </w:rPr>
              <w:t>Implement Client Script &amp; UI Policy (Incident)</w:t>
            </w:r>
          </w:p>
        </w:tc>
      </w:tr>
      <w:tr w14:paraId="7B6A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BB35526">
            <w:pPr>
              <w:spacing w:after="0" w:line="240" w:lineRule="auto"/>
            </w:pPr>
            <w:r>
              <w:rPr>
                <w:b w:val="0"/>
                <w:sz w:val="14"/>
              </w:rPr>
              <w:t>Analysis focus</w:t>
            </w:r>
          </w:p>
        </w:tc>
        <w:tc>
          <w:tcPr>
            <w:tcW w:w="5112" w:type="dxa"/>
            <w:vAlign w:val="center"/>
          </w:tcPr>
          <w:p w14:paraId="589B6A6D">
            <w:pPr>
              <w:spacing w:after="0" w:line="240" w:lineRule="auto"/>
            </w:pPr>
            <w:r>
              <w:rPr>
                <w:b w:val="0"/>
                <w:sz w:val="14"/>
              </w:rPr>
              <w:t>Native ServiceNow platform, UI Policy, Client Scripts, and Incident data model</w:t>
            </w:r>
          </w:p>
        </w:tc>
      </w:tr>
    </w:tbl>
    <w:p w14:paraId="4666157E">
      <w:pPr>
        <w:spacing w:before="180" w:after="80"/>
      </w:pPr>
      <w:r>
        <w:rPr>
          <w:b/>
          <w:color w:val="17365D"/>
          <w:sz w:val="30"/>
        </w:rPr>
        <w:t>1. Technical architecture summary</w:t>
      </w:r>
    </w:p>
    <w:p w14:paraId="74D3E359">
      <w:r>
        <w:t>The project is a native ServiceNow configuration solution. It does not require a separate React frontend, Node.js backend, MongoDB database, external API, Tableau/Power BI layer, or AI model. The standard ServiceNow Incident form and list are the user interface; UI Policies and Client Scripts provide conditional behavior; the Incident table and native history/reporting provide persistence and auditability.</w:t>
      </w:r>
    </w:p>
    <w:p w14:paraId="009D18E4">
      <w:pPr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5ECF">
      <w:pPr>
        <w:jc w:val="center"/>
      </w:pPr>
      <w:r>
        <w:rPr>
          <w:i/>
          <w:sz w:val="16"/>
        </w:rPr>
        <w:t>Generated project architecture visual: ServiceNow Incident experience and control layers.</w:t>
      </w:r>
    </w:p>
    <w:p w14:paraId="70519C01">
      <w:pPr>
        <w:spacing w:before="180" w:after="80"/>
      </w:pPr>
      <w:r>
        <w:rPr>
          <w:b/>
          <w:color w:val="17365D"/>
          <w:sz w:val="30"/>
        </w:rPr>
        <w:t>2. Components and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CA9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4736789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232BA8D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Technology / object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40D99CE6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Role in this project</w:t>
            </w:r>
          </w:p>
        </w:tc>
      </w:tr>
      <w:tr w14:paraId="30A2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22B0057">
            <w:pPr>
              <w:spacing w:after="0" w:line="240" w:lineRule="auto"/>
            </w:pPr>
            <w:r>
              <w:rPr>
                <w:b w:val="0"/>
                <w:sz w:val="14"/>
              </w:rPr>
              <w:t>User interface</w:t>
            </w:r>
          </w:p>
        </w:tc>
        <w:tc>
          <w:tcPr>
            <w:tcW w:w="3408" w:type="dxa"/>
            <w:vAlign w:val="center"/>
          </w:tcPr>
          <w:p w14:paraId="324C15CA">
            <w:pPr>
              <w:spacing w:after="0" w:line="240" w:lineRule="auto"/>
            </w:pPr>
            <w:r>
              <w:rPr>
                <w:b w:val="0"/>
                <w:sz w:val="14"/>
              </w:rPr>
              <w:t>ServiceNow Incident form and Incident list</w:t>
            </w:r>
          </w:p>
        </w:tc>
        <w:tc>
          <w:tcPr>
            <w:tcW w:w="3408" w:type="dxa"/>
            <w:vAlign w:val="center"/>
          </w:tcPr>
          <w:p w14:paraId="291DCD17">
            <w:pPr>
              <w:spacing w:after="0" w:line="240" w:lineRule="auto"/>
            </w:pPr>
            <w:r>
              <w:rPr>
                <w:b w:val="0"/>
                <w:sz w:val="14"/>
              </w:rPr>
              <w:t>Capture Impact, Urgency, Assignment group, Assigned To, State, and description; present messages and field states.</w:t>
            </w:r>
          </w:p>
        </w:tc>
      </w:tr>
      <w:tr w14:paraId="2D64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3BB1E81">
            <w:pPr>
              <w:spacing w:after="0" w:line="240" w:lineRule="auto"/>
            </w:pPr>
            <w:r>
              <w:rPr>
                <w:b w:val="0"/>
                <w:sz w:val="14"/>
              </w:rPr>
              <w:t>Conditional policy</w:t>
            </w:r>
          </w:p>
        </w:tc>
        <w:tc>
          <w:tcPr>
            <w:tcW w:w="3408" w:type="dxa"/>
            <w:vAlign w:val="center"/>
          </w:tcPr>
          <w:p w14:paraId="7D37F9C6">
            <w:pPr>
              <w:spacing w:after="0" w:line="240" w:lineRule="auto"/>
            </w:pPr>
            <w:r>
              <w:rPr>
                <w:b w:val="0"/>
                <w:sz w:val="14"/>
              </w:rPr>
              <w:t>UI Policy: High Impact Control</w:t>
            </w:r>
          </w:p>
        </w:tc>
        <w:tc>
          <w:tcPr>
            <w:tcW w:w="3408" w:type="dxa"/>
            <w:vAlign w:val="center"/>
          </w:tcPr>
          <w:p w14:paraId="74090721">
            <w:pPr>
              <w:spacing w:after="0" w:line="240" w:lineRule="auto"/>
            </w:pPr>
            <w:r>
              <w:rPr>
                <w:b w:val="0"/>
                <w:sz w:val="14"/>
              </w:rPr>
              <w:t>Condition Impact is 1 – High; applies mandatory/read-only actions and reverses when false.</w:t>
            </w:r>
          </w:p>
        </w:tc>
      </w:tr>
      <w:tr w14:paraId="355C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CFA872B">
            <w:pPr>
              <w:spacing w:after="0" w:line="240" w:lineRule="auto"/>
            </w:pPr>
            <w:r>
              <w:rPr>
                <w:b w:val="0"/>
                <w:sz w:val="14"/>
              </w:rPr>
              <w:t>Policy actions</w:t>
            </w:r>
          </w:p>
        </w:tc>
        <w:tc>
          <w:tcPr>
            <w:tcW w:w="3408" w:type="dxa"/>
            <w:vAlign w:val="center"/>
          </w:tcPr>
          <w:p w14:paraId="4DEBFDE1">
            <w:pPr>
              <w:spacing w:after="0" w:line="240" w:lineRule="auto"/>
            </w:pPr>
            <w:r>
              <w:rPr>
                <w:b w:val="0"/>
                <w:sz w:val="14"/>
              </w:rPr>
              <w:t>UI Policy Actions</w:t>
            </w:r>
          </w:p>
        </w:tc>
        <w:tc>
          <w:tcPr>
            <w:tcW w:w="3408" w:type="dxa"/>
            <w:vAlign w:val="center"/>
          </w:tcPr>
          <w:p w14:paraId="080EEDBE">
            <w:pPr>
              <w:spacing w:after="0" w:line="240" w:lineRule="auto"/>
            </w:pPr>
            <w:r>
              <w:rPr>
                <w:b w:val="0"/>
                <w:sz w:val="14"/>
              </w:rPr>
              <w:t>Assignment group mandatory; Urgency read-only while the policy is active.</w:t>
            </w:r>
          </w:p>
        </w:tc>
      </w:tr>
      <w:tr w14:paraId="43E5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A5AEEC2">
            <w:pPr>
              <w:spacing w:after="0" w:line="240" w:lineRule="auto"/>
            </w:pPr>
            <w:r>
              <w:rPr>
                <w:b w:val="0"/>
                <w:sz w:val="14"/>
              </w:rPr>
              <w:t>Event logic</w:t>
            </w:r>
          </w:p>
        </w:tc>
        <w:tc>
          <w:tcPr>
            <w:tcW w:w="3408" w:type="dxa"/>
            <w:vAlign w:val="center"/>
          </w:tcPr>
          <w:p w14:paraId="1AFCEF9E">
            <w:pPr>
              <w:spacing w:after="0" w:line="240" w:lineRule="auto"/>
            </w:pPr>
            <w:r>
              <w:rPr>
                <w:b w:val="0"/>
                <w:sz w:val="14"/>
              </w:rPr>
              <w:t>Client Scripts</w:t>
            </w:r>
          </w:p>
        </w:tc>
        <w:tc>
          <w:tcPr>
            <w:tcW w:w="3408" w:type="dxa"/>
            <w:vAlign w:val="center"/>
          </w:tcPr>
          <w:p w14:paraId="2B2B6E8D">
            <w:pPr>
              <w:spacing w:after="0" w:line="240" w:lineRule="auto"/>
            </w:pPr>
            <w:r>
              <w:rPr>
                <w:b w:val="0"/>
                <w:sz w:val="14"/>
              </w:rPr>
              <w:t>onChange on Impact, onSubmit on Incident form, and onCellEdit on State.</w:t>
            </w:r>
          </w:p>
        </w:tc>
      </w:tr>
      <w:tr w14:paraId="7F6B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FC00C4F">
            <w:pPr>
              <w:spacing w:after="0" w:line="240" w:lineRule="auto"/>
            </w:pPr>
            <w:r>
              <w:rPr>
                <w:b w:val="0"/>
                <w:sz w:val="14"/>
              </w:rPr>
              <w:t>Data storage</w:t>
            </w:r>
          </w:p>
        </w:tc>
        <w:tc>
          <w:tcPr>
            <w:tcW w:w="3408" w:type="dxa"/>
            <w:vAlign w:val="center"/>
          </w:tcPr>
          <w:p w14:paraId="29B57BB5">
            <w:pPr>
              <w:spacing w:after="0" w:line="240" w:lineRule="auto"/>
            </w:pPr>
            <w:r>
              <w:rPr>
                <w:b w:val="0"/>
                <w:sz w:val="14"/>
              </w:rPr>
              <w:t>Incident table</w:t>
            </w:r>
          </w:p>
        </w:tc>
        <w:tc>
          <w:tcPr>
            <w:tcW w:w="3408" w:type="dxa"/>
            <w:vAlign w:val="center"/>
          </w:tcPr>
          <w:p w14:paraId="04106C45">
            <w:pPr>
              <w:spacing w:after="0" w:line="240" w:lineRule="auto"/>
            </w:pPr>
            <w:r>
              <w:rPr>
                <w:b w:val="0"/>
                <w:sz w:val="14"/>
              </w:rPr>
              <w:t>Persist Incident fields and the resulting valid record.</w:t>
            </w:r>
          </w:p>
        </w:tc>
      </w:tr>
      <w:tr w14:paraId="50C1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F7E4F39">
            <w:pPr>
              <w:spacing w:after="0" w:line="240" w:lineRule="auto"/>
            </w:pPr>
            <w:r>
              <w:rPr>
                <w:b w:val="0"/>
                <w:sz w:val="14"/>
              </w:rPr>
              <w:t>Audit / reporting</w:t>
            </w:r>
          </w:p>
        </w:tc>
        <w:tc>
          <w:tcPr>
            <w:tcW w:w="3408" w:type="dxa"/>
            <w:vAlign w:val="center"/>
          </w:tcPr>
          <w:p w14:paraId="462AFCFE">
            <w:pPr>
              <w:spacing w:after="0" w:line="240" w:lineRule="auto"/>
            </w:pPr>
            <w:r>
              <w:rPr>
                <w:b w:val="0"/>
                <w:sz w:val="14"/>
              </w:rPr>
              <w:t>ServiceNow history and native reporting</w:t>
            </w:r>
          </w:p>
        </w:tc>
        <w:tc>
          <w:tcPr>
            <w:tcW w:w="3408" w:type="dxa"/>
            <w:vAlign w:val="center"/>
          </w:tcPr>
          <w:p w14:paraId="2ED90216">
            <w:pPr>
              <w:spacing w:after="0" w:line="240" w:lineRule="auto"/>
            </w:pPr>
            <w:r>
              <w:rPr>
                <w:b w:val="0"/>
                <w:sz w:val="14"/>
              </w:rPr>
              <w:t>Retain changes and support triage, SLA review, and operational reporting.</w:t>
            </w:r>
          </w:p>
        </w:tc>
      </w:tr>
      <w:tr w14:paraId="6F68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D1D7C59">
            <w:pPr>
              <w:spacing w:after="0" w:line="240" w:lineRule="auto"/>
            </w:pPr>
            <w:r>
              <w:rPr>
                <w:b w:val="0"/>
                <w:sz w:val="14"/>
              </w:rPr>
              <w:t>Authorization boundary</w:t>
            </w:r>
          </w:p>
        </w:tc>
        <w:tc>
          <w:tcPr>
            <w:tcW w:w="3408" w:type="dxa"/>
            <w:vAlign w:val="center"/>
          </w:tcPr>
          <w:p w14:paraId="0C42B6E1">
            <w:pPr>
              <w:spacing w:after="0" w:line="240" w:lineRule="auto"/>
            </w:pPr>
            <w:r>
              <w:rPr>
                <w:b w:val="0"/>
                <w:sz w:val="14"/>
              </w:rPr>
              <w:t>ServiceNow roles, ACLs, and server-side policies</w:t>
            </w:r>
          </w:p>
        </w:tc>
        <w:tc>
          <w:tcPr>
            <w:tcW w:w="3408" w:type="dxa"/>
            <w:vAlign w:val="center"/>
          </w:tcPr>
          <w:p w14:paraId="2AF5B3DE">
            <w:pPr>
              <w:spacing w:after="0" w:line="240" w:lineRule="auto"/>
            </w:pPr>
            <w:r>
              <w:rPr>
                <w:b w:val="0"/>
                <w:sz w:val="14"/>
              </w:rPr>
              <w:t>Remain authoritative; client controls improve data quality and usability.</w:t>
            </w:r>
          </w:p>
        </w:tc>
      </w:tr>
    </w:tbl>
    <w:p w14:paraId="69792A34">
      <w:pPr>
        <w:spacing w:before="180" w:after="80"/>
      </w:pPr>
      <w:r>
        <w:rPr>
          <w:b/>
          <w:color w:val="17365D"/>
          <w:sz w:val="30"/>
        </w:rPr>
        <w:t>3. Field and event contract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86C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29FE71A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Field / event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066D1A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343903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 w14:paraId="03C4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213A4B">
            <w:pPr>
              <w:spacing w:after="0" w:line="240" w:lineRule="auto"/>
            </w:pPr>
            <w:r>
              <w:rPr>
                <w:b w:val="0"/>
                <w:sz w:val="14"/>
              </w:rPr>
              <w:t>Impact</w:t>
            </w:r>
          </w:p>
        </w:tc>
        <w:tc>
          <w:tcPr>
            <w:tcW w:w="3408" w:type="dxa"/>
            <w:vAlign w:val="center"/>
          </w:tcPr>
          <w:p w14:paraId="081FE3C1">
            <w:pPr>
              <w:spacing w:after="0" w:line="240" w:lineRule="auto"/>
            </w:pPr>
            <w:r>
              <w:rPr>
                <w:b w:val="0"/>
                <w:sz w:val="14"/>
              </w:rPr>
              <w:t>Incident field</w:t>
            </w:r>
          </w:p>
        </w:tc>
        <w:tc>
          <w:tcPr>
            <w:tcW w:w="3408" w:type="dxa"/>
            <w:vAlign w:val="center"/>
          </w:tcPr>
          <w:p w14:paraId="28FA34DD">
            <w:pPr>
              <w:spacing w:after="0" w:line="240" w:lineRule="auto"/>
            </w:pPr>
            <w:r>
              <w:rPr>
                <w:b w:val="0"/>
                <w:sz w:val="14"/>
              </w:rPr>
              <w:t>Value 1 represents High and activates the UI Policy/onChange behavior.</w:t>
            </w:r>
          </w:p>
        </w:tc>
      </w:tr>
      <w:tr w14:paraId="76964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12EC5F9">
            <w:pPr>
              <w:spacing w:after="0" w:line="240" w:lineRule="auto"/>
            </w:pPr>
            <w:r>
              <w:rPr>
                <w:b w:val="0"/>
                <w:sz w:val="14"/>
              </w:rPr>
              <w:t>Urgency</w:t>
            </w:r>
          </w:p>
        </w:tc>
        <w:tc>
          <w:tcPr>
            <w:tcW w:w="3408" w:type="dxa"/>
            <w:vAlign w:val="center"/>
          </w:tcPr>
          <w:p w14:paraId="47D87F52">
            <w:pPr>
              <w:spacing w:after="0" w:line="240" w:lineRule="auto"/>
            </w:pPr>
            <w:r>
              <w:rPr>
                <w:b w:val="0"/>
                <w:sz w:val="14"/>
              </w:rPr>
              <w:t>Incident field</w:t>
            </w:r>
          </w:p>
        </w:tc>
        <w:tc>
          <w:tcPr>
            <w:tcW w:w="3408" w:type="dxa"/>
            <w:vAlign w:val="center"/>
          </w:tcPr>
          <w:p w14:paraId="6EE06E90">
            <w:pPr>
              <w:spacing w:after="0" w:line="240" w:lineRule="auto"/>
            </w:pPr>
            <w:r>
              <w:rPr>
                <w:b w:val="0"/>
                <w:sz w:val="14"/>
              </w:rPr>
              <w:t>Set to 1 / High when Impact becomes High; read-only under the UI Policy.</w:t>
            </w:r>
          </w:p>
        </w:tc>
      </w:tr>
      <w:tr w14:paraId="7DAF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A3DC72B">
            <w:pPr>
              <w:spacing w:after="0" w:line="240" w:lineRule="auto"/>
            </w:pPr>
            <w:r>
              <w:rPr>
                <w:b w:val="0"/>
                <w:sz w:val="14"/>
              </w:rPr>
              <w:t>Assignment group</w:t>
            </w:r>
          </w:p>
        </w:tc>
        <w:tc>
          <w:tcPr>
            <w:tcW w:w="3408" w:type="dxa"/>
            <w:vAlign w:val="center"/>
          </w:tcPr>
          <w:p w14:paraId="7612C0E1">
            <w:pPr>
              <w:spacing w:after="0" w:line="240" w:lineRule="auto"/>
            </w:pPr>
            <w:r>
              <w:rPr>
                <w:b w:val="0"/>
                <w:sz w:val="14"/>
              </w:rPr>
              <w:t>Incident field</w:t>
            </w:r>
          </w:p>
        </w:tc>
        <w:tc>
          <w:tcPr>
            <w:tcW w:w="3408" w:type="dxa"/>
            <w:vAlign w:val="center"/>
          </w:tcPr>
          <w:p w14:paraId="242A1C11">
            <w:pPr>
              <w:spacing w:after="0" w:line="240" w:lineRule="auto"/>
            </w:pPr>
            <w:r>
              <w:rPr>
                <w:b w:val="0"/>
                <w:sz w:val="14"/>
              </w:rPr>
              <w:t>Mandatory when Impact is High.</w:t>
            </w:r>
          </w:p>
        </w:tc>
      </w:tr>
      <w:tr w14:paraId="7059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2161101">
            <w:pPr>
              <w:spacing w:after="0" w:line="240" w:lineRule="auto"/>
            </w:pPr>
            <w:r>
              <w:rPr>
                <w:b w:val="0"/>
                <w:sz w:val="14"/>
              </w:rPr>
              <w:t>Assigned To</w:t>
            </w:r>
          </w:p>
        </w:tc>
        <w:tc>
          <w:tcPr>
            <w:tcW w:w="3408" w:type="dxa"/>
            <w:vAlign w:val="center"/>
          </w:tcPr>
          <w:p w14:paraId="094C91DC">
            <w:pPr>
              <w:spacing w:after="0" w:line="240" w:lineRule="auto"/>
            </w:pPr>
            <w:r>
              <w:rPr>
                <w:b w:val="0"/>
                <w:sz w:val="14"/>
              </w:rPr>
              <w:t>Incident field</w:t>
            </w:r>
          </w:p>
        </w:tc>
        <w:tc>
          <w:tcPr>
            <w:tcW w:w="3408" w:type="dxa"/>
            <w:vAlign w:val="center"/>
          </w:tcPr>
          <w:p w14:paraId="652EB959">
            <w:pPr>
              <w:spacing w:after="0" w:line="240" w:lineRule="auto"/>
            </w:pPr>
            <w:r>
              <w:rPr>
                <w:b w:val="0"/>
                <w:sz w:val="14"/>
              </w:rPr>
              <w:t>Required before submit when Impact is High.</w:t>
            </w:r>
          </w:p>
        </w:tc>
      </w:tr>
      <w:tr w14:paraId="0B46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4358EC0">
            <w:pPr>
              <w:spacing w:after="0" w:line="240" w:lineRule="auto"/>
            </w:pPr>
            <w:r>
              <w:rPr>
                <w:b w:val="0"/>
                <w:sz w:val="14"/>
              </w:rPr>
              <w:t>State</w:t>
            </w:r>
          </w:p>
        </w:tc>
        <w:tc>
          <w:tcPr>
            <w:tcW w:w="3408" w:type="dxa"/>
            <w:vAlign w:val="center"/>
          </w:tcPr>
          <w:p w14:paraId="4D81E82B">
            <w:pPr>
              <w:spacing w:after="0" w:line="240" w:lineRule="auto"/>
            </w:pPr>
            <w:r>
              <w:rPr>
                <w:b w:val="0"/>
                <w:sz w:val="14"/>
              </w:rPr>
              <w:t>Incident field</w:t>
            </w:r>
          </w:p>
        </w:tc>
        <w:tc>
          <w:tcPr>
            <w:tcW w:w="3408" w:type="dxa"/>
            <w:vAlign w:val="center"/>
          </w:tcPr>
          <w:p w14:paraId="5021B655">
            <w:pPr>
              <w:spacing w:after="0" w:line="240" w:lineRule="auto"/>
            </w:pPr>
            <w:r>
              <w:rPr>
                <w:b w:val="0"/>
                <w:sz w:val="14"/>
              </w:rPr>
              <w:t>Direct list edit is rejected; form update remains allowed.</w:t>
            </w:r>
          </w:p>
        </w:tc>
      </w:tr>
      <w:tr w14:paraId="6358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F1D18BF">
            <w:pPr>
              <w:spacing w:after="0" w:line="240" w:lineRule="auto"/>
            </w:pPr>
            <w:r>
              <w:rPr>
                <w:b w:val="0"/>
                <w:sz w:val="14"/>
              </w:rPr>
              <w:t>onChange</w:t>
            </w:r>
          </w:p>
        </w:tc>
        <w:tc>
          <w:tcPr>
            <w:tcW w:w="3408" w:type="dxa"/>
            <w:vAlign w:val="center"/>
          </w:tcPr>
          <w:p w14:paraId="40563028">
            <w:pPr>
              <w:spacing w:after="0" w:line="240" w:lineRule="auto"/>
            </w:pPr>
            <w:r>
              <w:rPr>
                <w:b w:val="0"/>
                <w:sz w:val="14"/>
              </w:rPr>
              <w:t>Client Script type</w:t>
            </w:r>
          </w:p>
        </w:tc>
        <w:tc>
          <w:tcPr>
            <w:tcW w:w="3408" w:type="dxa"/>
            <w:vAlign w:val="center"/>
          </w:tcPr>
          <w:p w14:paraId="613F16D1">
            <w:pPr>
              <w:spacing w:after="0" w:line="240" w:lineRule="auto"/>
            </w:pPr>
            <w:r>
              <w:rPr>
                <w:b w:val="0"/>
                <w:sz w:val="14"/>
              </w:rPr>
              <w:t>Runs when Impact changes; skips loading/blank values.</w:t>
            </w:r>
          </w:p>
        </w:tc>
      </w:tr>
      <w:tr w14:paraId="569B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DE99B51">
            <w:pPr>
              <w:spacing w:after="0" w:line="240" w:lineRule="auto"/>
            </w:pPr>
            <w:r>
              <w:rPr>
                <w:b w:val="0"/>
                <w:sz w:val="14"/>
              </w:rPr>
              <w:t>onSubmit</w:t>
            </w:r>
          </w:p>
        </w:tc>
        <w:tc>
          <w:tcPr>
            <w:tcW w:w="3408" w:type="dxa"/>
            <w:vAlign w:val="center"/>
          </w:tcPr>
          <w:p w14:paraId="73F60E0F">
            <w:pPr>
              <w:spacing w:after="0" w:line="240" w:lineRule="auto"/>
            </w:pPr>
            <w:r>
              <w:rPr>
                <w:b w:val="0"/>
                <w:sz w:val="14"/>
              </w:rPr>
              <w:t>Client Script type</w:t>
            </w:r>
          </w:p>
        </w:tc>
        <w:tc>
          <w:tcPr>
            <w:tcW w:w="3408" w:type="dxa"/>
            <w:vAlign w:val="center"/>
          </w:tcPr>
          <w:p w14:paraId="35F94D44">
            <w:pPr>
              <w:spacing w:after="0" w:line="240" w:lineRule="auto"/>
            </w:pPr>
            <w:r>
              <w:rPr>
                <w:b w:val="0"/>
                <w:sz w:val="14"/>
              </w:rPr>
              <w:t>Returns false for invalid high-impact ownership; otherwise true.</w:t>
            </w:r>
          </w:p>
        </w:tc>
      </w:tr>
      <w:tr w14:paraId="4466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F2ABF9B">
            <w:pPr>
              <w:spacing w:after="0" w:line="240" w:lineRule="auto"/>
            </w:pPr>
            <w:r>
              <w:rPr>
                <w:b w:val="0"/>
                <w:sz w:val="14"/>
              </w:rPr>
              <w:t>onCellEdit</w:t>
            </w:r>
          </w:p>
        </w:tc>
        <w:tc>
          <w:tcPr>
            <w:tcW w:w="3408" w:type="dxa"/>
            <w:vAlign w:val="center"/>
          </w:tcPr>
          <w:p w14:paraId="60500940">
            <w:pPr>
              <w:spacing w:after="0" w:line="240" w:lineRule="auto"/>
            </w:pPr>
            <w:r>
              <w:rPr>
                <w:b w:val="0"/>
                <w:sz w:val="14"/>
              </w:rPr>
              <w:t>Client Script type</w:t>
            </w:r>
          </w:p>
        </w:tc>
        <w:tc>
          <w:tcPr>
            <w:tcW w:w="3408" w:type="dxa"/>
            <w:vAlign w:val="center"/>
          </w:tcPr>
          <w:p w14:paraId="469B8E3C">
            <w:pPr>
              <w:spacing w:after="0" w:line="240" w:lineRule="auto"/>
            </w:pPr>
            <w:r>
              <w:rPr>
                <w:b w:val="0"/>
                <w:sz w:val="14"/>
              </w:rPr>
              <w:t>Calls callback(false) for State list editing.</w:t>
            </w:r>
          </w:p>
        </w:tc>
      </w:tr>
    </w:tbl>
    <w:p w14:paraId="67B112D9">
      <w:pPr>
        <w:spacing w:before="180" w:after="80"/>
      </w:pPr>
      <w:r>
        <w:rPr>
          <w:b/>
          <w:color w:val="17365D"/>
          <w:sz w:val="30"/>
        </w:rPr>
        <w:t>4. Why this stack fits</w:t>
      </w:r>
    </w:p>
    <w:p w14:paraId="2AFE724F">
      <w:pPr>
        <w:spacing w:after="40"/>
        <w:ind w:left="360" w:hanging="245"/>
      </w:pPr>
      <w:r>
        <w:t>• Uses the platform’s standard Incident experience, reducing adoption friction.</w:t>
      </w:r>
    </w:p>
    <w:p w14:paraId="70F053D1">
      <w:pPr>
        <w:spacing w:after="40"/>
        <w:ind w:left="360" w:hanging="245"/>
      </w:pPr>
      <w:r>
        <w:t>• Keeps high-impact rules close to the field and event where the risk appears.</w:t>
      </w:r>
    </w:p>
    <w:p w14:paraId="1E436DF5">
      <w:pPr>
        <w:spacing w:after="40"/>
        <w:ind w:left="360" w:hanging="245"/>
      </w:pPr>
      <w:r>
        <w:t>• Provides clear, deterministic behavior that is simple to test and explain.</w:t>
      </w:r>
    </w:p>
    <w:p w14:paraId="263774E9">
      <w:pPr>
        <w:spacing w:after="40"/>
        <w:ind w:left="360" w:hanging="245"/>
      </w:pPr>
      <w:r>
        <w:t>• Avoids unnecessary external infrastructure for a small workflow-governance problem.</w:t>
      </w:r>
    </w:p>
    <w:p w14:paraId="627898C9">
      <w:pPr>
        <w:spacing w:after="40"/>
        <w:ind w:left="360" w:hanging="245"/>
      </w:pPr>
      <w:r>
        <w:t>• Leaves room for future server-side enforcement if integrations must follow the same rules.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00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2588</Characters>
  <Lines>0</Lines>
  <Paragraphs>0</Paragraphs>
  <TotalTime>0</TotalTime>
  <ScaleCrop>false</ScaleCrop>
  <LinksUpToDate>false</LinksUpToDate>
  <CharactersWithSpaces>2940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Pooja Janarthanan</cp:lastModifiedBy>
  <dcterms:modified xsi:type="dcterms:W3CDTF">2026-10-02T10:21:23Z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eyJoZGlkIjoiNjU0ZTU1NWIwZThkOTk1MjJmZWQ2YzQ3ZjliY2RjZjUiLCJ1c2VySWQiOiI1NDk3NjcyNzczNjYifQ==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073DD5BF1EFC443FAFFF803F44FFBA02_12</vt:lpwstr>
  </property>
</Properties>
</file>