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Design Phase — Problem–Solution Fit Report</w:t>
      </w:r>
    </w:p>
    <w:p>
      <w:pPr>
        <w:jc w:val="center"/>
      </w:pPr>
      <w:r>
        <w:rPr>
          <w:b/>
          <w:color w:val="0F9D9A"/>
          <w:sz w:val="26"/>
        </w:rPr>
        <w:t>Implement Client Script &amp; UI Policy (Incident)</w:t>
      </w:r>
    </w:p>
    <w:p>
      <w:pPr>
        <w:jc w:val="center"/>
      </w:pPr>
      <w:r>
        <w:rPr>
          <w:i/>
        </w:rPr>
        <w:t>01 October 2026 | Project Design Phase | SWTID-2026-4755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Project value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01 October 2026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ID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SWTID-2026-4755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Name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 Client Script &amp; UI Policy (Incident)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 focus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Validate that the Incident controls solve a real operational problem</w:t>
            </w:r>
          </w:p>
        </w:tc>
      </w:tr>
    </w:tbl>
    <w:p>
      <w:pPr>
        <w:spacing w:before="180" w:after="80"/>
      </w:pPr>
      <w:r>
        <w:rPr>
          <w:b/>
          <w:color w:val="17365D"/>
          <w:sz w:val="30"/>
        </w:rPr>
        <w:t>1. Problem context</w:t>
      </w:r>
    </w:p>
    <w:p>
      <w:r>
        <w:t>Incident records are used for triage, routing, resolution, SLA compliance, and reporting. When agents rely only on memory or manual review, high-impact records can be incomplete or inconsistent. The supplied project PDF identifies a clear fit opportunity: use native UI controls to enforce data integrity at the point of entry.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incident_new_control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project visual: new Incident control lifecycle from High Impact detection to safe update.</w:t>
      </w:r>
    </w:p>
    <w:p>
      <w:pPr>
        <w:spacing w:before="180" w:after="80"/>
      </w:pPr>
      <w:r>
        <w:rPr>
          <w:b/>
          <w:color w:val="17365D"/>
          <w:sz w:val="30"/>
        </w:rPr>
        <w:t>2. Target users and recurring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Need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 desk agent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Creating or updating an Incident under time pressure.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Fast, visible guidance with a clear correction path.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Incident manager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Receiving a high-impact record for triage.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Reliable routing, urgency, ownership, and State context.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SLA/reporting owner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Reviewing operational records.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Consistent values and dependable history.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ServiceNow administrator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Maintaining the configuration.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Small, named, reversible, testable controls.</w:t>
            </w:r>
          </w:p>
        </w:tc>
      </w:tr>
    </w:tbl>
    <w:p>
      <w:pPr>
        <w:spacing w:before="180" w:after="80"/>
      </w:pPr>
      <w:r>
        <w:rPr>
          <w:b/>
          <w:color w:val="17365D"/>
          <w:sz w:val="30"/>
        </w:rPr>
        <w:t>3. Problem–Solution Fit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Canvas area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Incident project answer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Customer problem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High-impact Incident records can be saved or changed with incomplete routing/ownership or inconsistent urgency.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Current behavior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Agents enter Impact, Urgency, Assignment group, Assigned To, and State manually; list editing can bypass form context.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High-cost consequence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Delayed ownership, weaker triage, SLA risk, rework, and unreliable operational reporting.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Desired outcome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High-impact records are complete, urgency is aligned, unsafe State list edits are rejected, and valid form updates remain possible.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Solution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 Impact Control UI Policy plus onChange, onSubmit, and onCellEdit Client Scripts.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Fit signal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Negative tests are blocked; positive tests save; reverse condition restores normal behavior.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Adoption reason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Native ServiceNow behavior, no new platform, no external service, and messages explain the rule.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4149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incident_new_test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project visual: new verification evidence for positive, negative, reverse, and list-edit scenarios.</w:t>
      </w:r>
    </w:p>
    <w:p>
      <w:pPr>
        <w:spacing w:before="180" w:after="80"/>
      </w:pPr>
      <w:r>
        <w:rPr>
          <w:b/>
          <w:color w:val="17365D"/>
          <w:sz w:val="30"/>
        </w:rPr>
        <w:t>4. Value proposition</w:t>
      </w:r>
    </w:p>
    <w:p>
      <w:r>
        <w:t>For service desk teams that need trustworthy high-impact Incidents, the proposed ServiceNow control layer is a native, explainable, reversible solution that guides agents at the moment of risk. Unlike a static checklist, it enforces the rule in the form and list experience; unlike an opaque prediction, every result can be traced to an explicit condition or event script.</w:t>
      </w:r>
    </w:p>
    <w:p>
      <w:pPr>
        <w:spacing w:before="180" w:after="80"/>
      </w:pPr>
      <w:r>
        <w:rPr>
          <w:b/>
          <w:color w:val="17365D"/>
          <w:sz w:val="30"/>
        </w:rPr>
        <w:t>5. Alternatives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Alternative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Why not the first choice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Manual checklist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Low implementation effort.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Depends on memory and does not block invalid save.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Server-side-only rule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Strong integration coverage.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Less immediate UI guidance; can be a later hardening layer.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workflow app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Could centralize complex workflows.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Adds infrastructure for a small native form-governance problem.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 recommendation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Could suggest priority.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needed for explicit rules; less explainable and outside project scope.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 Policy + Client Scripts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Native, immediate, conditional, reversible, testable.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Selected baseline solution.</w:t>
            </w:r>
          </w:p>
        </w:tc>
      </w:tr>
    </w:tbl>
    <w:p>
      <w:pPr>
        <w:spacing w:before="180" w:after="80"/>
      </w:pPr>
      <w:r>
        <w:rPr>
          <w:b/>
          <w:color w:val="17365D"/>
          <w:sz w:val="30"/>
        </w:rPr>
        <w:t>6. Fit risks and mitigations</w:t>
      </w:r>
    </w:p>
    <w:p>
      <w:pPr>
        <w:spacing w:after="40"/>
        <w:ind w:left="360" w:hanging="245"/>
      </w:pPr>
      <w:r>
        <w:t>• Client-side controls are not the security boundary: retain ServiceNow ACLs and server-side policies.</w:t>
      </w:r>
    </w:p>
    <w:p>
      <w:pPr>
        <w:spacing w:after="40"/>
        <w:ind w:left="360" w:hanging="245"/>
      </w:pPr>
      <w:r>
        <w:t>• Agents may be surprised by blocked State list edits: provide a clear message and direct them to the form.</w:t>
      </w:r>
    </w:p>
    <w:p>
      <w:pPr>
        <w:spacing w:after="40"/>
        <w:ind w:left="360" w:hanging="245"/>
      </w:pPr>
      <w:r>
        <w:t>• Rules may remain active after Impact changes: set Reverse if false = true and test the transition.</w:t>
      </w:r>
    </w:p>
    <w:p>
      <w:pPr>
        <w:spacing w:after="40"/>
        <w:ind w:left="360" w:hanging="245"/>
      </w:pPr>
      <w:r>
        <w:t>• Field/value changes could break scripts: keep names documented and include regression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ru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project visual: explicit rule path from Impact condition to automation, validation, or blocked action.</w:t>
      </w:r>
    </w:p>
    <w:p>
      <w:pPr>
        <w:spacing w:before="180" w:after="80"/>
      </w:pPr>
      <w:r>
        <w:rPr>
          <w:b/>
          <w:color w:val="17365D"/>
          <w:sz w:val="30"/>
        </w:rPr>
        <w:t>7. Fit conclusion</w:t>
      </w:r>
    </w:p>
    <w:p>
      <w:r>
        <w:t>The solution fits the problem because it directly reduces the failure modes named in the project PDF: incomplete fields, inconsistent urgency, invalid submission, and unsafe list editing. The implementation remains appropriately small for the problem and creates a clear base for later server-side hardening.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